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8ED28" w14:textId="0CEC461A" w:rsidR="00812881" w:rsidRPr="00774C0D" w:rsidRDefault="00812881" w:rsidP="00812881">
      <w:pPr>
        <w:pStyle w:val="Articletitle"/>
      </w:pPr>
      <w:r w:rsidRPr="00774C0D">
        <w:t>Investigating the Demographic and Attitudinal Predictors of Rape Myth Acceptance in U.K. Police Officers: Developing an Evidence-base for Training and Professional Development</w:t>
      </w:r>
    </w:p>
    <w:p w14:paraId="6EEEF138" w14:textId="77777777" w:rsidR="00812881" w:rsidRDefault="00812881" w:rsidP="00812881">
      <w:pPr>
        <w:pStyle w:val="Authornames"/>
      </w:pPr>
    </w:p>
    <w:p w14:paraId="5FA8DB71" w14:textId="77777777" w:rsidR="00812881" w:rsidRPr="00774C0D" w:rsidRDefault="00812881" w:rsidP="00812881">
      <w:pPr>
        <w:pStyle w:val="Authornames"/>
      </w:pPr>
      <w:r w:rsidRPr="00774C0D">
        <w:t>Anthony Murphy</w:t>
      </w:r>
      <w:r w:rsidRPr="00774C0D">
        <w:rPr>
          <w:vertAlign w:val="superscript"/>
        </w:rPr>
        <w:t xml:space="preserve"> a</w:t>
      </w:r>
      <w:r>
        <w:t>*</w:t>
      </w:r>
      <w:r w:rsidRPr="00774C0D">
        <w:t xml:space="preserve"> &amp; Benjamin </w:t>
      </w:r>
      <w:proofErr w:type="spellStart"/>
      <w:r w:rsidRPr="00774C0D">
        <w:t>Hine</w:t>
      </w:r>
      <w:r w:rsidRPr="00774C0D">
        <w:rPr>
          <w:vertAlign w:val="superscript"/>
        </w:rPr>
        <w:t>a</w:t>
      </w:r>
      <w:proofErr w:type="spellEnd"/>
    </w:p>
    <w:p w14:paraId="6BF75FAE" w14:textId="77777777" w:rsidR="00812881" w:rsidRDefault="00812881" w:rsidP="00812881">
      <w:pPr>
        <w:pStyle w:val="Affiliation"/>
      </w:pPr>
      <w:r w:rsidRPr="00774C0D">
        <w:t>University of West London</w:t>
      </w:r>
    </w:p>
    <w:p w14:paraId="0C1E8A0E" w14:textId="77777777" w:rsidR="00812881" w:rsidRDefault="00812881" w:rsidP="00812881">
      <w:pPr>
        <w:pStyle w:val="Newparagraph"/>
      </w:pPr>
    </w:p>
    <w:p w14:paraId="0AA2E7AC" w14:textId="77777777" w:rsidR="00812881" w:rsidRDefault="00812881" w:rsidP="00812881">
      <w:pPr>
        <w:pStyle w:val="Newparagraph"/>
      </w:pPr>
    </w:p>
    <w:p w14:paraId="269E67E2" w14:textId="77777777" w:rsidR="00812881" w:rsidRDefault="00812881" w:rsidP="00812881">
      <w:pPr>
        <w:pStyle w:val="Newparagraph"/>
      </w:pPr>
    </w:p>
    <w:p w14:paraId="26041DFF" w14:textId="77777777" w:rsidR="00812881" w:rsidRDefault="00812881" w:rsidP="00812881">
      <w:pPr>
        <w:pStyle w:val="Newparagraph"/>
      </w:pPr>
    </w:p>
    <w:p w14:paraId="06FF91C3" w14:textId="77777777" w:rsidR="00812881" w:rsidRDefault="00812881" w:rsidP="00812881">
      <w:pPr>
        <w:pStyle w:val="Newparagraph"/>
        <w:ind w:firstLine="0"/>
      </w:pPr>
    </w:p>
    <w:p w14:paraId="15879C51" w14:textId="77777777" w:rsidR="00812881" w:rsidRDefault="00812881" w:rsidP="00812881">
      <w:pPr>
        <w:pStyle w:val="Correspondencedetails"/>
      </w:pPr>
      <w:r w:rsidRPr="00A4261C">
        <w:t>*corresponding author. Requests for reprints should be addressed to Dr Anthony Murphy, School of Human &amp; Social Sciences, University of West London, Paragon House, Boston Manor Road, Brentford, TW8 9GA, UK, (e</w:t>
      </w:r>
      <w:r>
        <w:t>mail: Anthony.murphy@uwl.ac.uk).</w:t>
      </w:r>
    </w:p>
    <w:p w14:paraId="18CD0AB9" w14:textId="77777777" w:rsidR="00812881" w:rsidRDefault="00812881">
      <w:pPr>
        <w:spacing w:line="240" w:lineRule="auto"/>
        <w:rPr>
          <w:b/>
          <w:sz w:val="28"/>
        </w:rPr>
      </w:pPr>
    </w:p>
    <w:p w14:paraId="20506391" w14:textId="77777777" w:rsidR="00812881" w:rsidRDefault="00812881">
      <w:pPr>
        <w:spacing w:line="240" w:lineRule="auto"/>
        <w:rPr>
          <w:b/>
          <w:sz w:val="28"/>
        </w:rPr>
      </w:pPr>
      <w:r>
        <w:br w:type="page"/>
      </w:r>
    </w:p>
    <w:p w14:paraId="003580DA" w14:textId="41EC4644" w:rsidR="0061414A" w:rsidRPr="00774C0D" w:rsidRDefault="006A7FFE" w:rsidP="002314E5">
      <w:pPr>
        <w:pStyle w:val="Articletitle"/>
      </w:pPr>
      <w:r>
        <w:lastRenderedPageBreak/>
        <w:t xml:space="preserve"> </w:t>
      </w:r>
      <w:r w:rsidR="0061414A" w:rsidRPr="00774C0D">
        <w:t>Investigating the Demographic and Attitudinal Predictors of Rape Myth Acceptance in U.K. Police Officers: Developing an Evidence-base for Training and Professional Development</w:t>
      </w:r>
    </w:p>
    <w:p w14:paraId="4268244A" w14:textId="569E3175" w:rsidR="0038435F" w:rsidRPr="00853258" w:rsidRDefault="0038435F" w:rsidP="00392106">
      <w:pPr>
        <w:pStyle w:val="Abstract"/>
      </w:pPr>
      <w:r w:rsidRPr="00853258">
        <w:t xml:space="preserve">Efforts to understand rape myth acceptance (RMA) as a cognitive framework in police, unifying key cognitive/attitudinal and demographic factors into one coherent model, are lacking. </w:t>
      </w:r>
      <w:r w:rsidR="00B766D8">
        <w:t>Using a cross-sectional survey design, p</w:t>
      </w:r>
      <w:r w:rsidR="00B766D8" w:rsidRPr="00853258">
        <w:t xml:space="preserve">redictors </w:t>
      </w:r>
      <w:r w:rsidR="001A79E6">
        <w:t>of RMA were assessed by</w:t>
      </w:r>
      <w:r w:rsidRPr="00853258">
        <w:t xml:space="preserve"> linear hierarchical regression, including demographic (age, length of service, gender, experience of specialist rape investigati</w:t>
      </w:r>
      <w:r w:rsidR="00BC117D">
        <w:t>on</w:t>
      </w:r>
      <w:r w:rsidRPr="00853258">
        <w:t xml:space="preserve"> training) and attitudinal factors (hostility towards wom</w:t>
      </w:r>
      <w:r>
        <w:t>en, sexist attitudes</w:t>
      </w:r>
      <w:r w:rsidRPr="00853258">
        <w:t>,</w:t>
      </w:r>
      <w:r>
        <w:t xml:space="preserve"> and</w:t>
      </w:r>
      <w:r w:rsidRPr="00853258">
        <w:t xml:space="preserve"> explicit power/sex</w:t>
      </w:r>
      <w:r>
        <w:t xml:space="preserve"> beliefs</w:t>
      </w:r>
      <w:r w:rsidRPr="00853258">
        <w:t xml:space="preserve">) among officers from a large U.K. police force (N = 912). The final model explained 44% of variance in RMA. Gender and previous specialist training significantly predicted RMA, but to a much lesser extent </w:t>
      </w:r>
      <w:r w:rsidR="001A79E6">
        <w:t>than attitudinal variables, which explain 42% of RMA variance</w:t>
      </w:r>
      <w:r w:rsidRPr="00853258">
        <w:t>. Only specialist rape investigation training remained significant when attitudinal variables were added.</w:t>
      </w:r>
      <w:r w:rsidR="00DF41FB">
        <w:t xml:space="preserve"> </w:t>
      </w:r>
      <w:r w:rsidRPr="00853258">
        <w:t>T</w:t>
      </w:r>
      <w:r w:rsidR="001A79E6">
        <w:t>he greater contribution from</w:t>
      </w:r>
      <w:r w:rsidRPr="00853258">
        <w:t xml:space="preserve"> attitudinal variables suggests that efforts to address RMA in officers must consider the broader attitudinal structures underpinning RMA. Findings highlight implications for evidence-based training for rape investigators.</w:t>
      </w:r>
    </w:p>
    <w:p w14:paraId="30450B51" w14:textId="77777777" w:rsidR="0038435F" w:rsidRPr="00853258" w:rsidRDefault="0038435F" w:rsidP="00457493">
      <w:pPr>
        <w:pStyle w:val="Keywords"/>
      </w:pPr>
      <w:r w:rsidRPr="00853258">
        <w:rPr>
          <w:i/>
        </w:rPr>
        <w:t>Keywords:</w:t>
      </w:r>
      <w:r w:rsidRPr="00853258">
        <w:t xml:space="preserve"> Rape, Rape Myths, Police Officers, Police Investigation</w:t>
      </w:r>
    </w:p>
    <w:p w14:paraId="63CFF37F" w14:textId="77777777" w:rsidR="0038435F" w:rsidRPr="004B4A49" w:rsidRDefault="0038435F" w:rsidP="00392106">
      <w:pPr>
        <w:pStyle w:val="Paragraph"/>
        <w:rPr>
          <w:kern w:val="32"/>
        </w:rPr>
      </w:pPr>
      <w:r w:rsidRPr="00853258">
        <w:br w:type="page"/>
      </w:r>
    </w:p>
    <w:p w14:paraId="4B9568A1" w14:textId="00BE5CDE" w:rsidR="00DA0421" w:rsidRPr="00853258" w:rsidRDefault="00123370" w:rsidP="00457493">
      <w:pPr>
        <w:pStyle w:val="Paragraph"/>
      </w:pPr>
      <w:r>
        <w:lastRenderedPageBreak/>
        <w:t xml:space="preserve">Despite increased interest in the existence, levels, and correlates of negative attitudes towards rape since the 1970s, the process of rape investigation is still plagued by myriad issues. Such issues are characterised both empirically, for example through severe levels of </w:t>
      </w:r>
      <w:r w:rsidR="006B493C">
        <w:t xml:space="preserve">case </w:t>
      </w:r>
      <w:r>
        <w:t xml:space="preserve">attrition </w:t>
      </w:r>
      <w:r w:rsidRPr="00853258">
        <w:t>(Brown, 2011</w:t>
      </w:r>
      <w:r>
        <w:t xml:space="preserve">; </w:t>
      </w:r>
      <w:r w:rsidR="00DA0421" w:rsidRPr="00853258">
        <w:t>Campbell et al., 2014</w:t>
      </w:r>
      <w:r w:rsidR="00DA0421">
        <w:t xml:space="preserve">; </w:t>
      </w:r>
      <w:r w:rsidRPr="00853258">
        <w:t>CPS, 2013</w:t>
      </w:r>
      <w:r w:rsidR="00DA0421">
        <w:t>, 2015</w:t>
      </w:r>
      <w:r>
        <w:t xml:space="preserve">; </w:t>
      </w:r>
      <w:r w:rsidRPr="00853258">
        <w:t xml:space="preserve">Grace, Lloyd, &amp; Smith, 1992; </w:t>
      </w:r>
      <w:r w:rsidR="00DA0421" w:rsidRPr="00853258">
        <w:t>Hester, 2015</w:t>
      </w:r>
      <w:r w:rsidR="00DA0421">
        <w:t xml:space="preserve">; </w:t>
      </w:r>
      <w:proofErr w:type="spellStart"/>
      <w:r w:rsidRPr="00853258">
        <w:t>Hohl</w:t>
      </w:r>
      <w:proofErr w:type="spellEnd"/>
      <w:r w:rsidRPr="00853258">
        <w:t xml:space="preserve"> &amp; Stanko, 2015; </w:t>
      </w:r>
      <w:r w:rsidR="00DA0421" w:rsidRPr="00853258">
        <w:t>HMIC, 2014</w:t>
      </w:r>
      <w:r w:rsidR="00DA0421">
        <w:t xml:space="preserve">; </w:t>
      </w:r>
      <w:r w:rsidR="00624911">
        <w:t>HMIC &amp; HMCPSI</w:t>
      </w:r>
      <w:r w:rsidR="00DA0421">
        <w:t xml:space="preserve">, </w:t>
      </w:r>
      <w:r w:rsidRPr="00853258">
        <w:t>2007; Home office and Ministry of Justice, 2013</w:t>
      </w:r>
      <w:r>
        <w:t xml:space="preserve">; </w:t>
      </w:r>
      <w:r w:rsidRPr="00853258">
        <w:t xml:space="preserve">Kelly, Lovett, &amp; Regan, 2005; </w:t>
      </w:r>
      <w:r w:rsidR="00DA0421" w:rsidRPr="00853258">
        <w:t>Lonsway &amp; Archambault, 2012; Lovett &amp; Kelly, 2009</w:t>
      </w:r>
      <w:r w:rsidR="00DA0421">
        <w:t xml:space="preserve">; </w:t>
      </w:r>
      <w:r w:rsidRPr="00853258">
        <w:t xml:space="preserve">Stanko &amp; Williams, 2009; </w:t>
      </w:r>
      <w:r w:rsidR="00DA0421" w:rsidRPr="00853258">
        <w:t>Shaw, Campbell, Cain, &amp; Feeney, 2016</w:t>
      </w:r>
      <w:r w:rsidRPr="00853258">
        <w:t>)</w:t>
      </w:r>
      <w:r>
        <w:t xml:space="preserve">, and experientially, as demonstrated </w:t>
      </w:r>
      <w:r w:rsidR="00DA0421">
        <w:t>by the</w:t>
      </w:r>
      <w:r w:rsidR="00DA0421" w:rsidRPr="00DA0421">
        <w:t xml:space="preserve"> </w:t>
      </w:r>
      <w:r w:rsidR="00DA0421" w:rsidRPr="00853258">
        <w:t xml:space="preserve">profound levels of trauma and negative </w:t>
      </w:r>
      <w:r w:rsidR="00CD07D2">
        <w:t>contact reported by</w:t>
      </w:r>
      <w:r w:rsidR="00DA0421" w:rsidRPr="00853258">
        <w:t xml:space="preserve"> sexual assault </w:t>
      </w:r>
      <w:r w:rsidR="006A7790" w:rsidRPr="00853258">
        <w:t>survivor</w:t>
      </w:r>
      <w:r w:rsidR="006A7790">
        <w:t>s</w:t>
      </w:r>
      <w:r w:rsidR="006A7790" w:rsidRPr="00853258">
        <w:t xml:space="preserve"> </w:t>
      </w:r>
      <w:r w:rsidR="00DA0421" w:rsidRPr="00853258">
        <w:t>when</w:t>
      </w:r>
      <w:r w:rsidR="00C0257B">
        <w:t xml:space="preserve"> engaging with</w:t>
      </w:r>
      <w:r w:rsidR="00DA0421" w:rsidRPr="00853258">
        <w:t xml:space="preserve"> law enforcement </w:t>
      </w:r>
      <w:r w:rsidR="0038435F" w:rsidRPr="00853258">
        <w:t>(</w:t>
      </w:r>
      <w:r w:rsidR="00DA0421" w:rsidRPr="00853258">
        <w:t>Camp</w:t>
      </w:r>
      <w:r w:rsidR="00B766D8">
        <w:t>b</w:t>
      </w:r>
      <w:r w:rsidR="00DA0421" w:rsidRPr="00853258">
        <w:t xml:space="preserve">ell, 2006; Chen &amp; Ullman, 2010; Jordan, 2001; Rich &amp; </w:t>
      </w:r>
      <w:proofErr w:type="spellStart"/>
      <w:r w:rsidR="00DA0421" w:rsidRPr="00853258">
        <w:t>Seffrin</w:t>
      </w:r>
      <w:proofErr w:type="spellEnd"/>
      <w:r w:rsidR="00DA0421" w:rsidRPr="00853258">
        <w:t xml:space="preserve">, 2012; Temkin &amp; </w:t>
      </w:r>
      <w:proofErr w:type="spellStart"/>
      <w:r w:rsidR="00DA0421" w:rsidRPr="00853258">
        <w:t>Krah</w:t>
      </w:r>
      <w:r w:rsidR="00632135">
        <w:t>é</w:t>
      </w:r>
      <w:proofErr w:type="spellEnd"/>
      <w:r w:rsidR="00DA0421" w:rsidRPr="00853258">
        <w:t>, 2008; Ullman &amp; Townsend, 2007</w:t>
      </w:r>
      <w:r w:rsidR="00DA0421">
        <w:t xml:space="preserve">; </w:t>
      </w:r>
      <w:proofErr w:type="spellStart"/>
      <w:r w:rsidR="0038435F" w:rsidRPr="00853258">
        <w:t>Venema</w:t>
      </w:r>
      <w:proofErr w:type="spellEnd"/>
      <w:r w:rsidR="0038435F" w:rsidRPr="00853258">
        <w:t>, 2016a)</w:t>
      </w:r>
      <w:r w:rsidR="00DA0421">
        <w:t xml:space="preserve">. Such issues are </w:t>
      </w:r>
      <w:r w:rsidR="0014648A">
        <w:t>most strongly</w:t>
      </w:r>
      <w:r w:rsidR="00DA0421">
        <w:t xml:space="preserve"> characterised by the high levels of </w:t>
      </w:r>
      <w:r w:rsidR="00DA0421" w:rsidRPr="00853258">
        <w:t>‘secondary victimisation’</w:t>
      </w:r>
      <w:r w:rsidR="00DA0421">
        <w:t xml:space="preserve"> cited </w:t>
      </w:r>
      <w:r w:rsidR="00DA0421" w:rsidRPr="00853258">
        <w:t>(</w:t>
      </w:r>
      <w:proofErr w:type="spellStart"/>
      <w:r w:rsidR="00DA0421" w:rsidRPr="00853258">
        <w:t>Alderden</w:t>
      </w:r>
      <w:proofErr w:type="spellEnd"/>
      <w:r w:rsidR="00624911">
        <w:t xml:space="preserve"> &amp; Ullman, 2012; Campbell, Wasco, Ahrens, </w:t>
      </w:r>
      <w:proofErr w:type="spellStart"/>
      <w:r w:rsidR="00624911">
        <w:t>Sefl</w:t>
      </w:r>
      <w:proofErr w:type="spellEnd"/>
      <w:r w:rsidR="00624911">
        <w:t>, &amp; Barnes</w:t>
      </w:r>
      <w:r w:rsidR="00DA0421" w:rsidRPr="00853258">
        <w:t xml:space="preserve">, 2001) including “victim blaming attitudes, behaviours, and practices engaged in by service providers, which further the rape event, resulting in additional trauma” (Campbell et al., 2001, p.1240). </w:t>
      </w:r>
    </w:p>
    <w:p w14:paraId="7F32E5EC" w14:textId="66CCDF39" w:rsidR="00DA0421" w:rsidRDefault="00C0257B" w:rsidP="00392106">
      <w:pPr>
        <w:pStyle w:val="Newparagraph"/>
      </w:pPr>
      <w:r w:rsidRPr="00457493">
        <w:t xml:space="preserve">In attempting to explain the issues surrounding rape cases, </w:t>
      </w:r>
      <w:r w:rsidR="00E56C92" w:rsidRPr="00457493">
        <w:t>police officers have been</w:t>
      </w:r>
      <w:r w:rsidR="00E56C92">
        <w:t xml:space="preserve"> subject to substantial scrutiny</w:t>
      </w:r>
      <w:r w:rsidR="00311895">
        <w:t xml:space="preserve">, due to the </w:t>
      </w:r>
      <w:r w:rsidR="009E35D6">
        <w:t xml:space="preserve">pivotal </w:t>
      </w:r>
      <w:r>
        <w:t>part</w:t>
      </w:r>
      <w:r w:rsidR="00311895">
        <w:t xml:space="preserve"> they play</w:t>
      </w:r>
      <w:r w:rsidR="009E35D6">
        <w:t xml:space="preserve"> within the investigat</w:t>
      </w:r>
      <w:r w:rsidR="00413532">
        <w:t>iv</w:t>
      </w:r>
      <w:r w:rsidR="00E56C92">
        <w:t>e</w:t>
      </w:r>
      <w:r w:rsidR="009E35D6">
        <w:t xml:space="preserve"> process, and in affecting the progression of cases through the </w:t>
      </w:r>
      <w:r w:rsidR="00B766D8">
        <w:t xml:space="preserve">criminal justice </w:t>
      </w:r>
      <w:r w:rsidR="009E35D6">
        <w:t xml:space="preserve">system. </w:t>
      </w:r>
      <w:r w:rsidR="00311895">
        <w:t>For example, it is maintained that p</w:t>
      </w:r>
      <w:r w:rsidR="009E35D6">
        <w:t xml:space="preserve">olice officers </w:t>
      </w:r>
      <w:r w:rsidR="009E35D6" w:rsidRPr="00853258">
        <w:t>act as gatekeepers to</w:t>
      </w:r>
      <w:r w:rsidR="00413532">
        <w:t xml:space="preserve"> </w:t>
      </w:r>
      <w:r w:rsidR="00635D74">
        <w:t>this</w:t>
      </w:r>
      <w:r>
        <w:t xml:space="preserve"> system</w:t>
      </w:r>
      <w:r w:rsidR="009E35D6" w:rsidRPr="00853258">
        <w:t xml:space="preserve"> (</w:t>
      </w:r>
      <w:proofErr w:type="spellStart"/>
      <w:r w:rsidR="009E35D6" w:rsidRPr="00853258">
        <w:t>Kerstetter</w:t>
      </w:r>
      <w:proofErr w:type="spellEnd"/>
      <w:r w:rsidR="009E35D6" w:rsidRPr="00853258">
        <w:t xml:space="preserve"> 1990; Sleath &amp; Bull, 2015); </w:t>
      </w:r>
      <w:r w:rsidR="00CA404F" w:rsidRPr="00853258">
        <w:t>have a key role in case prog</w:t>
      </w:r>
      <w:r w:rsidR="00CA404F">
        <w:t xml:space="preserve">ression (Spohn &amp; </w:t>
      </w:r>
      <w:proofErr w:type="spellStart"/>
      <w:r w:rsidR="00CA404F">
        <w:t>Tellis</w:t>
      </w:r>
      <w:proofErr w:type="spellEnd"/>
      <w:r w:rsidR="00CA404F">
        <w:t xml:space="preserve">, 2012); </w:t>
      </w:r>
      <w:r w:rsidR="00CA404F" w:rsidRPr="00853258">
        <w:t xml:space="preserve">have significant room for discretion in decision-making (Page, 2008b; </w:t>
      </w:r>
      <w:proofErr w:type="spellStart"/>
      <w:r w:rsidR="00CA404F" w:rsidRPr="00853258">
        <w:t>Venema</w:t>
      </w:r>
      <w:proofErr w:type="spellEnd"/>
      <w:r w:rsidR="00CA404F" w:rsidRPr="00853258">
        <w:t>, 2016b)</w:t>
      </w:r>
      <w:r w:rsidR="00CA404F">
        <w:t xml:space="preserve">; and </w:t>
      </w:r>
      <w:r w:rsidR="009E35D6" w:rsidRPr="00853258">
        <w:t>act as crucial determinants of the responses</w:t>
      </w:r>
      <w:r w:rsidR="00CA404F">
        <w:t xml:space="preserve">, </w:t>
      </w:r>
      <w:r w:rsidR="009E35D6" w:rsidRPr="00853258">
        <w:t>experiences</w:t>
      </w:r>
      <w:r w:rsidR="00875E86">
        <w:t>,</w:t>
      </w:r>
      <w:r w:rsidR="009E35D6" w:rsidRPr="00853258">
        <w:t xml:space="preserve"> </w:t>
      </w:r>
      <w:r w:rsidR="00CA404F">
        <w:t xml:space="preserve">and level of care that </w:t>
      </w:r>
      <w:r w:rsidR="009E35D6" w:rsidRPr="00853258">
        <w:t>victim</w:t>
      </w:r>
      <w:r w:rsidR="006A7790">
        <w:t>s</w:t>
      </w:r>
      <w:r w:rsidR="009E35D6" w:rsidRPr="00853258">
        <w:t xml:space="preserve"> receive (</w:t>
      </w:r>
      <w:proofErr w:type="spellStart"/>
      <w:r w:rsidR="009E35D6" w:rsidRPr="00853258">
        <w:t>DuMont</w:t>
      </w:r>
      <w:proofErr w:type="spellEnd"/>
      <w:r w:rsidR="009E35D6" w:rsidRPr="00853258">
        <w:t xml:space="preserve">, Miller, &amp; </w:t>
      </w:r>
      <w:proofErr w:type="spellStart"/>
      <w:r w:rsidR="009E35D6" w:rsidRPr="00853258">
        <w:t>Mhyr</w:t>
      </w:r>
      <w:proofErr w:type="spellEnd"/>
      <w:r w:rsidR="009E35D6" w:rsidRPr="00853258">
        <w:t xml:space="preserve">, 2003; </w:t>
      </w:r>
      <w:r w:rsidR="00CA404F" w:rsidRPr="00853258">
        <w:t>Lonsway, Welch, &amp; Fitzgerald, 2001</w:t>
      </w:r>
      <w:r w:rsidR="00CA404F">
        <w:t xml:space="preserve">; </w:t>
      </w:r>
      <w:r w:rsidR="009E35D6" w:rsidRPr="00853258">
        <w:t>Sleath &amp; Bull, 2015</w:t>
      </w:r>
      <w:r w:rsidR="00CA404F">
        <w:t>).</w:t>
      </w:r>
      <w:r w:rsidR="009E35D6" w:rsidRPr="00853258">
        <w:t xml:space="preserve"> </w:t>
      </w:r>
      <w:r w:rsidR="009E35D6">
        <w:t xml:space="preserve">This is echoed by Shaw and colleagues (2016) who argue that officers </w:t>
      </w:r>
      <w:r>
        <w:t>hold the key</w:t>
      </w:r>
      <w:r w:rsidR="009E35D6">
        <w:t xml:space="preserve"> responsibility of bridging investigation and prosecution, and </w:t>
      </w:r>
      <w:proofErr w:type="spellStart"/>
      <w:r w:rsidR="009E35D6">
        <w:t>Hohl</w:t>
      </w:r>
      <w:proofErr w:type="spellEnd"/>
      <w:r w:rsidR="009E35D6">
        <w:t xml:space="preserve"> and Stanko (2015), who </w:t>
      </w:r>
      <w:r w:rsidR="009E35D6">
        <w:lastRenderedPageBreak/>
        <w:t xml:space="preserve">discuss the dual role of officers of a) investigating the complaint and b) keeping the victim engaged in the criminal justice process. </w:t>
      </w:r>
      <w:r w:rsidR="00311895">
        <w:t>Police officers therefore occupy a position of unique responsibility</w:t>
      </w:r>
      <w:r>
        <w:t xml:space="preserve"> in rape investigations</w:t>
      </w:r>
      <w:r w:rsidR="00311895">
        <w:t>, and i</w:t>
      </w:r>
      <w:r w:rsidR="009E35D6">
        <w:t>t is further argued that such a unique role is susceptible to considerable personal bias (</w:t>
      </w:r>
      <w:r w:rsidR="009E35D6" w:rsidRPr="00853258">
        <w:t xml:space="preserve">O’Keeffe, Brown, &amp; Lyons, 2009; </w:t>
      </w:r>
      <w:proofErr w:type="spellStart"/>
      <w:r w:rsidR="009E35D6" w:rsidRPr="00853258">
        <w:t>Venema</w:t>
      </w:r>
      <w:proofErr w:type="spellEnd"/>
      <w:r w:rsidR="009E35D6" w:rsidRPr="00853258">
        <w:t>, 2016a)</w:t>
      </w:r>
      <w:r>
        <w:t xml:space="preserve">. Principally, </w:t>
      </w:r>
      <w:r w:rsidR="009E35D6">
        <w:t>that negative beliefs or myths about rape cases</w:t>
      </w:r>
      <w:r w:rsidR="00311895">
        <w:t xml:space="preserve"> </w:t>
      </w:r>
      <w:r w:rsidR="00DA0421" w:rsidRPr="00853258">
        <w:t xml:space="preserve">are likely </w:t>
      </w:r>
      <w:r w:rsidR="009E35D6">
        <w:t>to</w:t>
      </w:r>
      <w:r w:rsidR="00DA0421" w:rsidRPr="00853258">
        <w:t xml:space="preserve"> significan</w:t>
      </w:r>
      <w:r w:rsidR="009E35D6">
        <w:t>tly</w:t>
      </w:r>
      <w:r w:rsidR="00DA0421" w:rsidRPr="00853258">
        <w:t xml:space="preserve"> impact police officer judgments, responses to victims, and progression of cases (Sleath &amp; Bull, 2012; 2015; 2017)</w:t>
      </w:r>
      <w:r w:rsidR="009E35D6">
        <w:t>.</w:t>
      </w:r>
    </w:p>
    <w:p w14:paraId="4E9E300A" w14:textId="59D4DA99" w:rsidR="0038435F" w:rsidRPr="00853258" w:rsidRDefault="00C0257B" w:rsidP="00586123">
      <w:pPr>
        <w:pStyle w:val="Newparagraph"/>
        <w:ind w:firstLine="0"/>
      </w:pPr>
      <w:r w:rsidRPr="00457493">
        <w:tab/>
      </w:r>
      <w:r w:rsidR="00311895" w:rsidRPr="00457493">
        <w:t>The</w:t>
      </w:r>
      <w:r w:rsidR="0038435F" w:rsidRPr="00457493">
        <w:t xml:space="preserve"> Crown Prosecution Service (CPS) defines a rape myth as “a commonly held</w:t>
      </w:r>
      <w:r w:rsidR="0038435F" w:rsidRPr="00853258">
        <w:t xml:space="preserve"> belief, idea or explanation that is not true”, further stating that: “They attempt to explain events, like rape and abuse, in ways that fit with our preconceived ideas about the world – they arise from and reinforce our prejud</w:t>
      </w:r>
      <w:r w:rsidR="00FD0EC6">
        <w:t>ices and stereotypes” (CPS, 2015</w:t>
      </w:r>
      <w:r w:rsidR="0038435F" w:rsidRPr="00853258">
        <w:t xml:space="preserve">, p. 1). </w:t>
      </w:r>
      <w:r w:rsidR="0014648A">
        <w:t>The</w:t>
      </w:r>
      <w:r w:rsidR="0038435F" w:rsidRPr="00853258">
        <w:t xml:space="preserve"> coalesce</w:t>
      </w:r>
      <w:r w:rsidR="0014648A">
        <w:t xml:space="preserve">nce of such myths </w:t>
      </w:r>
      <w:r w:rsidR="00413532">
        <w:t>can be seen in</w:t>
      </w:r>
      <w:r w:rsidR="0014648A">
        <w:t xml:space="preserve"> the</w:t>
      </w:r>
      <w:r w:rsidR="0038435F" w:rsidRPr="00853258">
        <w:t xml:space="preserve"> ‘real rape stereotype’ (i.e., the belief that rape tends to happen suddenly, at night, with considerable aggression, </w:t>
      </w:r>
      <w:r w:rsidR="00CA404F">
        <w:t xml:space="preserve">and </w:t>
      </w:r>
      <w:r w:rsidR="0038435F" w:rsidRPr="00853258">
        <w:t>with clear evidence of resistance</w:t>
      </w:r>
      <w:r w:rsidR="00CA404F">
        <w:t xml:space="preserve">; </w:t>
      </w:r>
      <w:proofErr w:type="spellStart"/>
      <w:r w:rsidR="0038435F" w:rsidRPr="00853258">
        <w:t>Estrich</w:t>
      </w:r>
      <w:proofErr w:type="spellEnd"/>
      <w:r w:rsidR="0038435F" w:rsidRPr="00853258">
        <w:t>, 1987; Horvath &amp; Brown, 2009). Rape myth acceptance</w:t>
      </w:r>
      <w:r w:rsidR="00413532">
        <w:t xml:space="preserve"> (RMA)</w:t>
      </w:r>
      <w:r w:rsidR="0038435F" w:rsidRPr="00853258">
        <w:t xml:space="preserve"> </w:t>
      </w:r>
      <w:r>
        <w:t xml:space="preserve">(i.e., </w:t>
      </w:r>
      <w:r w:rsidR="0038435F" w:rsidRPr="00853258">
        <w:t>the extent to which an individual subscribes to such beliefs</w:t>
      </w:r>
      <w:r>
        <w:t>)</w:t>
      </w:r>
      <w:r w:rsidR="0038435F" w:rsidRPr="00853258">
        <w:t xml:space="preserve"> has been examined to some extent in police officers</w:t>
      </w:r>
      <w:r>
        <w:t xml:space="preserve"> in an attempt to understand the possible impact of such attitudes on the</w:t>
      </w:r>
      <w:r w:rsidR="00CA404F">
        <w:t>ir</w:t>
      </w:r>
      <w:r>
        <w:t xml:space="preserve"> judgements, decision making</w:t>
      </w:r>
      <w:r w:rsidR="00413532">
        <w:t>,</w:t>
      </w:r>
      <w:r>
        <w:t xml:space="preserve"> and behaviour, and to offer attempts at improvement in this regard. However, whilst s</w:t>
      </w:r>
      <w:r w:rsidR="0038435F" w:rsidRPr="00853258">
        <w:t xml:space="preserve">tudies </w:t>
      </w:r>
      <w:r>
        <w:t xml:space="preserve">have provided valuable evidence on officers’ descriptive </w:t>
      </w:r>
      <w:r w:rsidR="0038435F" w:rsidRPr="00853258">
        <w:t xml:space="preserve">accounts of investigation, levels of </w:t>
      </w:r>
      <w:r>
        <w:t xml:space="preserve">rape myth </w:t>
      </w:r>
      <w:r w:rsidR="0038435F" w:rsidRPr="00853258">
        <w:t xml:space="preserve">acceptance, </w:t>
      </w:r>
      <w:r>
        <w:t xml:space="preserve">and related </w:t>
      </w:r>
      <w:r w:rsidR="0038435F" w:rsidRPr="00853258">
        <w:t>judgements (Sleath &amp; Bull, 2017)</w:t>
      </w:r>
      <w:r w:rsidR="00D82C08">
        <w:t>, interventions designed to challenge negative attitudes and related behaviours demonstrate low levels of efficacy (e.g., Lonsway</w:t>
      </w:r>
      <w:r w:rsidR="00FD0EC6">
        <w:t xml:space="preserve"> et al.</w:t>
      </w:r>
      <w:r w:rsidR="00D82C08">
        <w:t>, 2001)</w:t>
      </w:r>
      <w:r w:rsidR="0038435F" w:rsidRPr="00853258">
        <w:t xml:space="preserve">. </w:t>
      </w:r>
      <w:r w:rsidR="00D82C08">
        <w:t>The authors of this article argue that this may be due, in part, to the d</w:t>
      </w:r>
      <w:r w:rsidR="0038435F" w:rsidRPr="00853258">
        <w:t xml:space="preserve">istinct lack of research examining how rape myth acceptance fits within a broader cognitive framework, operating in relation to both attitudinal and demographic factors. </w:t>
      </w:r>
      <w:r w:rsidR="0014648A">
        <w:t xml:space="preserve">Such inquiry </w:t>
      </w:r>
      <w:r>
        <w:t>would</w:t>
      </w:r>
      <w:r w:rsidR="0038435F" w:rsidRPr="00853258">
        <w:t xml:space="preserve"> provide important avenues for improvement in officers’ interactions with victims (e.g., through training programmes and education)</w:t>
      </w:r>
      <w:r w:rsidR="00A8713F">
        <w:t xml:space="preserve">, </w:t>
      </w:r>
      <w:r w:rsidR="00A8713F">
        <w:lastRenderedPageBreak/>
        <w:t xml:space="preserve">particularly as officers </w:t>
      </w:r>
      <w:r w:rsidR="00A8713F" w:rsidRPr="00853258">
        <w:t xml:space="preserve">may be informed by attitudes that are reflective of broader constructs which may contribute to the development and maintenance of </w:t>
      </w:r>
      <w:r w:rsidR="006B493C">
        <w:t>these beliefs</w:t>
      </w:r>
      <w:r w:rsidR="00A8713F">
        <w:t xml:space="preserve"> (Temkin &amp; </w:t>
      </w:r>
      <w:proofErr w:type="spellStart"/>
      <w:r w:rsidR="00A8713F">
        <w:t>Krah</w:t>
      </w:r>
      <w:r w:rsidR="00A8713F" w:rsidRPr="00853258">
        <w:t>é</w:t>
      </w:r>
      <w:proofErr w:type="spellEnd"/>
      <w:r w:rsidR="00A8713F">
        <w:t>, 2008)</w:t>
      </w:r>
      <w:r w:rsidR="0038435F" w:rsidRPr="00853258">
        <w:t>. The present study</w:t>
      </w:r>
      <w:r w:rsidR="00875E86">
        <w:t>,</w:t>
      </w:r>
      <w:r w:rsidR="0038435F" w:rsidRPr="00853258">
        <w:t xml:space="preserve"> therefore</w:t>
      </w:r>
      <w:r w:rsidR="00875E86">
        <w:t>,</w:t>
      </w:r>
      <w:r w:rsidR="0038435F" w:rsidRPr="00853258">
        <w:t xml:space="preserve"> examine</w:t>
      </w:r>
      <w:r w:rsidR="00875E86">
        <w:t>s</w:t>
      </w:r>
      <w:r w:rsidR="00E56C92">
        <w:t xml:space="preserve"> </w:t>
      </w:r>
      <w:r w:rsidR="0038435F" w:rsidRPr="00853258">
        <w:t>the predictive relationship between attitudes representative of hostility towards women, sexism, and the relationship between power and sex whilst controlling for demographic variables such as officer gender, years of service and presence/absence of previous specialist</w:t>
      </w:r>
      <w:r w:rsidR="00875E86">
        <w:t xml:space="preserve"> rape investigation</w:t>
      </w:r>
      <w:r w:rsidR="0038435F" w:rsidRPr="00853258">
        <w:t xml:space="preserve"> training.</w:t>
      </w:r>
    </w:p>
    <w:p w14:paraId="221BA706" w14:textId="48DCF7BB" w:rsidR="001E2CA7" w:rsidRDefault="0014648A" w:rsidP="00457493">
      <w:pPr>
        <w:pStyle w:val="Heading2"/>
      </w:pPr>
      <w:r>
        <w:t>Rape Myth Acceptance in Police Officers</w:t>
      </w:r>
    </w:p>
    <w:p w14:paraId="73AD16DB" w14:textId="4B1FF6F4" w:rsidR="00E47433" w:rsidRDefault="001E2CA7" w:rsidP="001F6921">
      <w:pPr>
        <w:pStyle w:val="Paragraph"/>
      </w:pPr>
      <w:r w:rsidRPr="00853258">
        <w:t xml:space="preserve">The literature examining officers’ </w:t>
      </w:r>
      <w:r w:rsidR="00D82C08">
        <w:t>acceptance and use of rape myths</w:t>
      </w:r>
      <w:r w:rsidRPr="00853258">
        <w:t xml:space="preserve"> is summarised in Sleath</w:t>
      </w:r>
      <w:r w:rsidRPr="00853258">
        <w:rPr>
          <w:rStyle w:val="CommentReference"/>
          <w:szCs w:val="24"/>
        </w:rPr>
        <w:t xml:space="preserve"> </w:t>
      </w:r>
      <w:r w:rsidRPr="00853258">
        <w:t xml:space="preserve">and Bull’s (2017) systematic review of police perceptions and case decision-making. They conclude that studies generally highlight that officers </w:t>
      </w:r>
      <w:r w:rsidR="00157D97">
        <w:t>exhibit</w:t>
      </w:r>
      <w:r w:rsidRPr="00853258">
        <w:t xml:space="preserve"> low levels of rape myth acceptance</w:t>
      </w:r>
      <w:r w:rsidR="00157D97">
        <w:t xml:space="preserve"> overall</w:t>
      </w:r>
      <w:r w:rsidRPr="00853258">
        <w:t xml:space="preserve"> (</w:t>
      </w:r>
      <w:r w:rsidR="00D82C08">
        <w:t xml:space="preserve">e.g., </w:t>
      </w:r>
      <w:proofErr w:type="spellStart"/>
      <w:r w:rsidR="00FD0EC6">
        <w:t>Mennicke</w:t>
      </w:r>
      <w:proofErr w:type="spellEnd"/>
      <w:r w:rsidRPr="00853258">
        <w:t>,</w:t>
      </w:r>
      <w:r w:rsidR="00FD0EC6">
        <w:t xml:space="preserve"> Anderson, </w:t>
      </w:r>
      <w:proofErr w:type="spellStart"/>
      <w:r w:rsidR="00FD0EC6">
        <w:t>Oehme</w:t>
      </w:r>
      <w:proofErr w:type="spellEnd"/>
      <w:r w:rsidR="00FD0EC6">
        <w:t>, &amp; Kennedy,</w:t>
      </w:r>
      <w:r w:rsidRPr="00853258">
        <w:t xml:space="preserve"> 2014). </w:t>
      </w:r>
      <w:r w:rsidR="00157D97">
        <w:t>Additionally</w:t>
      </w:r>
      <w:r w:rsidRPr="00853258">
        <w:t>, studies comparing police officers to other populations, such as undergraduate</w:t>
      </w:r>
      <w:r w:rsidR="00CA404F">
        <w:t xml:space="preserve"> students</w:t>
      </w:r>
      <w:r w:rsidRPr="00853258">
        <w:t xml:space="preserve">, find that overall levels of RMA do not significantly differ between groups, both exhibiting low levels of </w:t>
      </w:r>
      <w:r w:rsidR="00CA404F">
        <w:t>acceptance</w:t>
      </w:r>
      <w:r w:rsidR="00BB329F">
        <w:t xml:space="preserve"> (Sleath &amp; Bull, 2017)</w:t>
      </w:r>
      <w:r w:rsidRPr="00853258">
        <w:t>. Examinati</w:t>
      </w:r>
      <w:r w:rsidR="00875E86">
        <w:t>on of specific myths highlights</w:t>
      </w:r>
      <w:r w:rsidRPr="00853258">
        <w:t xml:space="preserve"> that police officers in the U.K. tend to subscribe to ‘she lied’ myths to a greater extent than psychology and law students, while endorsing ‘she asked for it’ and ‘he didn’t mean to’ myths to a lesser extent (Sleath &amp; Bull, 201</w:t>
      </w:r>
      <w:r w:rsidR="00E47433">
        <w:t>5</w:t>
      </w:r>
      <w:r w:rsidRPr="00853258">
        <w:t>). Additionally, endorsement of specific myths</w:t>
      </w:r>
      <w:r w:rsidR="00BB329F">
        <w:t>, even when general rape myth acceptance is low,</w:t>
      </w:r>
      <w:r w:rsidRPr="00853258">
        <w:t xml:space="preserve"> has been noted (Page, 2007, 2008a, 2008b, 2010). </w:t>
      </w:r>
      <w:r w:rsidR="00D82C08">
        <w:t xml:space="preserve">For example, </w:t>
      </w:r>
      <w:r w:rsidRPr="00853258">
        <w:t>whil</w:t>
      </w:r>
      <w:r w:rsidR="00BB329F">
        <w:t>st</w:t>
      </w:r>
      <w:r w:rsidRPr="00853258">
        <w:t xml:space="preserve"> officers in the U.S. agree</w:t>
      </w:r>
      <w:r w:rsidR="00BB329F">
        <w:t>d</w:t>
      </w:r>
      <w:r w:rsidRPr="00853258">
        <w:t xml:space="preserve"> that “any woman can be raped”, 20% suggest</w:t>
      </w:r>
      <w:r w:rsidR="00BB329F">
        <w:t>ed</w:t>
      </w:r>
      <w:r w:rsidRPr="00853258">
        <w:t xml:space="preserve"> that provocatively dressed women are inviting sex</w:t>
      </w:r>
      <w:r w:rsidR="00CA404F">
        <w:t xml:space="preserve"> and that</w:t>
      </w:r>
      <w:r w:rsidRPr="00853258">
        <w:t xml:space="preserve"> any victim can resist a rape if they want to (22.7%)</w:t>
      </w:r>
      <w:r w:rsidR="00CA404F">
        <w:t xml:space="preserve">, </w:t>
      </w:r>
      <w:r w:rsidRPr="00853258">
        <w:t xml:space="preserve">thereby violating </w:t>
      </w:r>
      <w:r w:rsidR="00D82C08">
        <w:t>the broader notion to which they had previously agreed (Page, 2007)</w:t>
      </w:r>
      <w:r w:rsidRPr="00853258">
        <w:t xml:space="preserve">. </w:t>
      </w:r>
    </w:p>
    <w:p w14:paraId="5C159F66" w14:textId="26686F12" w:rsidR="00A8713F" w:rsidRDefault="00BB329F" w:rsidP="00586123">
      <w:pPr>
        <w:pStyle w:val="Newparagraph"/>
      </w:pPr>
      <w:r>
        <w:t>The relationship</w:t>
      </w:r>
      <w:r w:rsidR="006B493C">
        <w:t>s</w:t>
      </w:r>
      <w:r>
        <w:t xml:space="preserve"> between various demographic factors and rape myth acceptance have also been subject to investigation in officers. Page (2007, 2008b) demonstrated that </w:t>
      </w:r>
      <w:r>
        <w:lastRenderedPageBreak/>
        <w:t>male officers show</w:t>
      </w:r>
      <w:r w:rsidR="00CA404F">
        <w:t>ed</w:t>
      </w:r>
      <w:r>
        <w:t xml:space="preserve"> higher levels of rape myth acceptance than female officers, a finding mirrored in student and general populations </w:t>
      </w:r>
      <w:r w:rsidRPr="00853258">
        <w:t>(</w:t>
      </w:r>
      <w:r w:rsidRPr="00853258">
        <w:rPr>
          <w:bCs/>
        </w:rPr>
        <w:t>Gerg</w:t>
      </w:r>
      <w:r w:rsidRPr="00853258">
        <w:rPr>
          <w:bCs/>
        </w:rPr>
        <w:fldChar w:fldCharType="begin"/>
      </w:r>
      <w:r w:rsidRPr="00853258">
        <w:rPr>
          <w:bCs/>
        </w:rPr>
        <w:instrText xml:space="preserve"> ADDIN EN.CITE &lt;EndNote&gt;&lt;Cite ExcludeAuth="1" ExcludeYear="1"&gt;&lt;Author&gt;Gerger&lt;/Author&gt;&lt;Year&gt;2007&lt;/Year&gt;&lt;RecNum&gt;586&lt;/RecNum&gt;&lt;record&gt;&lt;rec-number&gt;586&lt;/rec-number&gt;&lt;foreign-keys&gt;&lt;key app="EN" db-id="f5p9zd5zqsratqef5sv5pz2wpve092vrdw52"&gt;586&lt;/key&gt;&lt;/foreign-keys&gt;&lt;ref-type name="Journal Article"&gt;17&lt;/ref-type&gt;&lt;contributors&gt;&lt;authors&gt;&lt;author&gt;Gerger, H.&lt;/author&gt;&lt;author&gt;Kley, H.&lt;/author&gt;&lt;author&gt;Bohner, G.&lt;/author&gt;&lt;author&gt;Siebler, F.&lt;/author&gt;&lt;/authors&gt;&lt;/contributors&gt;&lt;titles&gt;&lt;title&gt;The Acceptance of Modern Rape Myths About Sexual Aggression (AMMSA) Scale: Development and validation in German and English&lt;/title&gt;&lt;secondary-title&gt;Aggressive Behaviour&lt;/secondary-title&gt;&lt;/titles&gt;&lt;periodical&gt;&lt;full-title&gt;Aggressive Behaviour&lt;/full-title&gt;&lt;/periodical&gt;&lt;pages&gt;422-440&lt;/pages&gt;&lt;volume&gt;33&lt;/volume&gt;&lt;dates&gt;&lt;year&gt;2007&lt;/year&gt;&lt;/dates&gt;&lt;urls&gt;&lt;/urls&gt;&lt;/record&gt;&lt;/Cite&gt;&lt;/EndNote&gt;</w:instrText>
      </w:r>
      <w:r w:rsidRPr="00853258">
        <w:rPr>
          <w:bCs/>
        </w:rPr>
        <w:fldChar w:fldCharType="end"/>
      </w:r>
      <w:r w:rsidRPr="00853258">
        <w:rPr>
          <w:bCs/>
        </w:rPr>
        <w:t>er, Kley, Bohner, &amp; Siebler, 2007</w:t>
      </w:r>
      <w:r w:rsidRPr="00853258">
        <w:t xml:space="preserve">; Muir, Lonsway, &amp; Payne, 1996; Suarez &amp; </w:t>
      </w:r>
      <w:proofErr w:type="spellStart"/>
      <w:r w:rsidRPr="00853258">
        <w:t>Gadalla</w:t>
      </w:r>
      <w:proofErr w:type="spellEnd"/>
      <w:r w:rsidRPr="00853258">
        <w:t>, 2010, Whatley, 1996)</w:t>
      </w:r>
      <w:r>
        <w:t xml:space="preserve">. </w:t>
      </w:r>
      <w:r w:rsidR="00413532">
        <w:t>RMA</w:t>
      </w:r>
      <w:r>
        <w:t xml:space="preserve"> in male officers is likely promoted by </w:t>
      </w:r>
      <w:r w:rsidR="00CA404F">
        <w:t>the</w:t>
      </w:r>
      <w:r>
        <w:t xml:space="preserve"> organisational culture within which officers operate; one which is characterised by an </w:t>
      </w:r>
      <w:r w:rsidRPr="00853258">
        <w:t>underpinning culture of ideali</w:t>
      </w:r>
      <w:r w:rsidR="00CA404F">
        <w:t>z</w:t>
      </w:r>
      <w:r w:rsidRPr="00853258">
        <w:t>ed hegemonic masculinity (Connell, 2002; Page, 2007),</w:t>
      </w:r>
      <w:r w:rsidRPr="00E47433">
        <w:t xml:space="preserve"> </w:t>
      </w:r>
      <w:r w:rsidRPr="000D18E1">
        <w:t>a</w:t>
      </w:r>
      <w:r w:rsidR="00CA404F">
        <w:t xml:space="preserve"> </w:t>
      </w:r>
      <w:r w:rsidRPr="000D18E1">
        <w:t>form of masculinity venerating dominance, aggression, heterosexuality</w:t>
      </w:r>
      <w:r w:rsidR="00413532">
        <w:t>,</w:t>
      </w:r>
      <w:r w:rsidRPr="000D18E1">
        <w:t xml:space="preserve"> and a lack of emotion </w:t>
      </w:r>
      <w:r w:rsidRPr="000D18E1">
        <w:fldChar w:fldCharType="begin"/>
      </w:r>
      <w:r>
        <w:instrText xml:space="preserve"> ADDIN EN.CITE &lt;EndNote&gt;&lt;Cite&gt;&lt;Author&gt;Connell&lt;/Author&gt;&lt;Year&gt;2002&lt;/Year&gt;&lt;RecNum&gt;904&lt;/RecNum&gt;&lt;DisplayText&gt;(Connell, 2002)&lt;/DisplayText&gt;&lt;record&gt;&lt;rec-number&gt;904&lt;/rec-number&gt;&lt;foreign-keys&gt;&lt;key app="EN" db-id="f5p9zd5zqsratqef5sv5pz2wpve092vrdw52" timestamp="1476884649"&gt;904&lt;/key&gt;&lt;/foreign-keys&gt;&lt;ref-type name="Book"&gt;6&lt;/ref-type&gt;&lt;contributors&gt;&lt;authors&gt;&lt;author&gt;Connell, R. W.&lt;/author&gt;&lt;/authors&gt;&lt;/contributors&gt;&lt;titles&gt;&lt;title&gt;Gender (Short Introductions)&lt;/title&gt;&lt;/titles&gt;&lt;dates&gt;&lt;year&gt;2002&lt;/year&gt;&lt;/dates&gt;&lt;pub-location&gt;Cambridge, UK&lt;/pub-location&gt;&lt;publisher&gt;Polity Press&lt;/publisher&gt;&lt;urls&gt;&lt;/urls&gt;&lt;/record&gt;&lt;/Cite&gt;&lt;/EndNote&gt;</w:instrText>
      </w:r>
      <w:r w:rsidRPr="000D18E1">
        <w:fldChar w:fldCharType="separate"/>
      </w:r>
      <w:r>
        <w:rPr>
          <w:noProof/>
        </w:rPr>
        <w:t>(Connell, 2002)</w:t>
      </w:r>
      <w:r w:rsidRPr="000D18E1">
        <w:fldChar w:fldCharType="end"/>
      </w:r>
      <w:r w:rsidRPr="000D18E1">
        <w:t>.</w:t>
      </w:r>
      <w:r w:rsidR="00CB6BB3">
        <w:t xml:space="preserve"> </w:t>
      </w:r>
      <w:r w:rsidR="00D82C08">
        <w:t>In contrast</w:t>
      </w:r>
      <w:r w:rsidR="00CB6BB3">
        <w:t>, b</w:t>
      </w:r>
      <w:r w:rsidRPr="00853258">
        <w:t xml:space="preserve">oth age and years as a serving police officer demonstrate non-significant </w:t>
      </w:r>
      <w:r w:rsidR="00CB6BB3">
        <w:t>relationships</w:t>
      </w:r>
      <w:r w:rsidRPr="00853258">
        <w:t xml:space="preserve"> with RMA (S</w:t>
      </w:r>
      <w:r w:rsidR="00CB6BB3">
        <w:t xml:space="preserve">uarez &amp; </w:t>
      </w:r>
      <w:proofErr w:type="spellStart"/>
      <w:r w:rsidR="00CB6BB3">
        <w:t>Gadalla</w:t>
      </w:r>
      <w:proofErr w:type="spellEnd"/>
      <w:r w:rsidR="00CB6BB3">
        <w:t xml:space="preserve">, 2010), suggesting that continued exposure to such ‘cultures’ </w:t>
      </w:r>
      <w:r w:rsidR="00D82C08">
        <w:t>does not</w:t>
      </w:r>
      <w:r w:rsidR="00413532">
        <w:t xml:space="preserve"> significantly</w:t>
      </w:r>
      <w:r w:rsidR="00D82C08">
        <w:t xml:space="preserve"> impact on subscription</w:t>
      </w:r>
      <w:r w:rsidR="00CB6BB3">
        <w:t xml:space="preserve"> to </w:t>
      </w:r>
      <w:r w:rsidR="00D82C08">
        <w:t xml:space="preserve">said </w:t>
      </w:r>
      <w:r w:rsidR="00CB6BB3">
        <w:t xml:space="preserve">negative beliefs. </w:t>
      </w:r>
      <w:r w:rsidR="00CB6BB3" w:rsidRPr="00853258">
        <w:t>Overall,</w:t>
      </w:r>
      <w:r w:rsidR="00CB6BB3">
        <w:t xml:space="preserve"> </w:t>
      </w:r>
      <w:r w:rsidR="00D82C08" w:rsidRPr="00853258">
        <w:t xml:space="preserve">it is fair to suggest </w:t>
      </w:r>
      <w:r w:rsidR="00D82C08">
        <w:t xml:space="preserve">that </w:t>
      </w:r>
      <w:r w:rsidR="00CB6BB3">
        <w:t>whilst some demographic and individual variations exist,</w:t>
      </w:r>
      <w:r w:rsidR="00CB6BB3" w:rsidRPr="00853258">
        <w:t xml:space="preserve"> </w:t>
      </w:r>
      <w:r w:rsidR="00D82C08">
        <w:t>and</w:t>
      </w:r>
      <w:r w:rsidR="00CB6BB3" w:rsidRPr="00853258">
        <w:t xml:space="preserve"> </w:t>
      </w:r>
      <w:r w:rsidR="00CB6BB3">
        <w:t>though</w:t>
      </w:r>
      <w:r w:rsidR="00D82C08">
        <w:t xml:space="preserve"> evidence indicates</w:t>
      </w:r>
      <w:r w:rsidR="00CB6BB3" w:rsidRPr="00853258">
        <w:t xml:space="preserve"> generally low levels of RMA in police, a significant minority of officers agree with negative statements about rape and its victims, and that police officers are not significantly different to other populations in their overall levels of RMA.</w:t>
      </w:r>
    </w:p>
    <w:p w14:paraId="0A47C061" w14:textId="6580B765" w:rsidR="001E2CA7" w:rsidRDefault="001E2CA7" w:rsidP="00392106">
      <w:pPr>
        <w:pStyle w:val="Heading2"/>
      </w:pPr>
      <w:r w:rsidRPr="00853258">
        <w:t>R</w:t>
      </w:r>
      <w:r>
        <w:t>ape Myths and Investigative Decision Making</w:t>
      </w:r>
    </w:p>
    <w:p w14:paraId="7B5922B4" w14:textId="726EC2AB" w:rsidR="001E2CA7" w:rsidRPr="00853258" w:rsidRDefault="00D82C08" w:rsidP="001E2CA7">
      <w:pPr>
        <w:pStyle w:val="Paragraph"/>
      </w:pPr>
      <w:r w:rsidRPr="00904EB2">
        <w:t>Despite generally low levels of rape myth acceptance in officers, t</w:t>
      </w:r>
      <w:r w:rsidR="00CB6BB3" w:rsidRPr="00904EB2">
        <w:t xml:space="preserve">he </w:t>
      </w:r>
      <w:r w:rsidR="001E2CA7" w:rsidRPr="00904EB2">
        <w:t xml:space="preserve">influence of </w:t>
      </w:r>
      <w:r w:rsidR="00CB6BB3" w:rsidRPr="00904EB2">
        <w:t xml:space="preserve">such </w:t>
      </w:r>
      <w:r w:rsidR="001E2CA7" w:rsidRPr="00904EB2">
        <w:t>extra-</w:t>
      </w:r>
      <w:r w:rsidR="001E2CA7" w:rsidRPr="0061414A">
        <w:t>legal factors (i.e., peripheral information not directly associated with the transgression of a law) on police officer decision making in rape cases</w:t>
      </w:r>
      <w:r w:rsidR="00CB6BB3">
        <w:t xml:space="preserve"> has been subject to increasing </w:t>
      </w:r>
      <w:r>
        <w:t>scrutiny, with good reason</w:t>
      </w:r>
      <w:r w:rsidR="001E2CA7" w:rsidRPr="0061414A">
        <w:t xml:space="preserve"> (</w:t>
      </w:r>
      <w:proofErr w:type="spellStart"/>
      <w:r w:rsidR="001E2CA7" w:rsidRPr="0061414A">
        <w:t>Alderden</w:t>
      </w:r>
      <w:proofErr w:type="spellEnd"/>
      <w:r w:rsidR="001E2CA7" w:rsidRPr="0061414A">
        <w:t xml:space="preserve"> &amp; Ullman, 2012; </w:t>
      </w:r>
      <w:proofErr w:type="spellStart"/>
      <w:r w:rsidR="001E2CA7" w:rsidRPr="0061414A">
        <w:t>Hohl</w:t>
      </w:r>
      <w:proofErr w:type="spellEnd"/>
      <w:r w:rsidR="001E2CA7" w:rsidRPr="0061414A">
        <w:t xml:space="preserve"> &amp; Stanko, 2015; Spohn, White, &amp; </w:t>
      </w:r>
      <w:proofErr w:type="spellStart"/>
      <w:r w:rsidR="001E2CA7" w:rsidRPr="0061414A">
        <w:t>Tellis</w:t>
      </w:r>
      <w:proofErr w:type="spellEnd"/>
      <w:r w:rsidR="001E2CA7" w:rsidRPr="0061414A">
        <w:t xml:space="preserve">, 2014). </w:t>
      </w:r>
      <w:r w:rsidR="00F55A63">
        <w:t>For example, studies demonstrate that</w:t>
      </w:r>
      <w:r w:rsidR="001E2CA7" w:rsidRPr="0061414A">
        <w:t xml:space="preserve"> officers identify and use a wide variety of case factors in determining case legitimacy, many of which are built directly on myths about rape</w:t>
      </w:r>
      <w:r w:rsidR="008C7C4C">
        <w:t xml:space="preserve"> (</w:t>
      </w:r>
      <w:proofErr w:type="spellStart"/>
      <w:r w:rsidR="008C7C4C">
        <w:t>Venema</w:t>
      </w:r>
      <w:proofErr w:type="spellEnd"/>
      <w:r w:rsidR="008C7C4C">
        <w:t>, 2016b)</w:t>
      </w:r>
      <w:r w:rsidR="001E2CA7" w:rsidRPr="0061414A">
        <w:t xml:space="preserve">. Such myths </w:t>
      </w:r>
      <w:r w:rsidR="00F55A63">
        <w:t xml:space="preserve">also </w:t>
      </w:r>
      <w:r w:rsidR="001E2CA7" w:rsidRPr="0061414A">
        <w:t>influence officers’ perceptions of sexual assault survivors (Campbell &amp; Johnson, 1997; Feldman-Summers &amp; Palmer, 1980; Ullman &amp; Townsend, 2007), particularly perceived victim credibility (</w:t>
      </w:r>
      <w:proofErr w:type="spellStart"/>
      <w:r w:rsidR="001E2CA7" w:rsidRPr="0061414A">
        <w:t>Brownmiller</w:t>
      </w:r>
      <w:proofErr w:type="spellEnd"/>
      <w:r w:rsidR="001E2CA7" w:rsidRPr="0061414A">
        <w:t xml:space="preserve">, 1975; </w:t>
      </w:r>
      <w:proofErr w:type="spellStart"/>
      <w:r w:rsidR="001E2CA7" w:rsidRPr="0061414A">
        <w:t>Venema</w:t>
      </w:r>
      <w:proofErr w:type="spellEnd"/>
      <w:r w:rsidR="001E2CA7" w:rsidRPr="0061414A">
        <w:t xml:space="preserve">, 2016a). For </w:t>
      </w:r>
      <w:r w:rsidR="001E2CA7" w:rsidRPr="0061414A">
        <w:lastRenderedPageBreak/>
        <w:t xml:space="preserve">example, victims are expected to be sober (Sims, Noel, &amp; </w:t>
      </w:r>
      <w:proofErr w:type="spellStart"/>
      <w:r w:rsidR="001E2CA7" w:rsidRPr="0061414A">
        <w:t>Maisto</w:t>
      </w:r>
      <w:proofErr w:type="spellEnd"/>
      <w:r w:rsidR="001E2CA7" w:rsidRPr="0061414A">
        <w:t xml:space="preserve">, 2007), and perpetrators are expected to be unknown to the victim (Felson &amp; Pare, 2008). Subsequently, when such expectations are violated, there is an associated impact on levels of belief, victim blame, and perpetrator exoneration, as well perceived authenticity of the claim, as officers evaluate reports of rape against their predetermined ideas of what rape should look like (Hazelwood &amp; Burgess, 1995). Indeed, extra-legal factors are often present in officers’ definitions of rape cases (Campbell &amp; Johnson, 1997; </w:t>
      </w:r>
      <w:r w:rsidR="008C7C4C">
        <w:t xml:space="preserve">Hazelwood &amp; Burgess, 1995; </w:t>
      </w:r>
      <w:proofErr w:type="spellStart"/>
      <w:r w:rsidR="001E2CA7" w:rsidRPr="0061414A">
        <w:t>Mennicke</w:t>
      </w:r>
      <w:proofErr w:type="spellEnd"/>
      <w:r w:rsidR="001E2CA7" w:rsidRPr="0061414A">
        <w:t xml:space="preserve"> et al., 2014), and several studies have demonstrated that when rape-myth associated information is present, officers are likely to make negative judgements regarding victim and perpetrator responsibility, as well as rape authenticity (Goodman-</w:t>
      </w:r>
      <w:proofErr w:type="spellStart"/>
      <w:r w:rsidR="001E2CA7" w:rsidRPr="0061414A">
        <w:t>Delahunty</w:t>
      </w:r>
      <w:proofErr w:type="spellEnd"/>
      <w:r w:rsidR="001E2CA7" w:rsidRPr="0061414A">
        <w:t xml:space="preserve"> &amp; Graham, 2011; Hine &amp; Murphy, 2017; Lee, Lee, &amp;</w:t>
      </w:r>
      <w:r w:rsidR="001E2CA7" w:rsidRPr="00853258">
        <w:t xml:space="preserve"> Lee, 2012; Schuller &amp; Stewart, 2000; Sleath &amp; Bull, 2012</w:t>
      </w:r>
      <w:r w:rsidR="008C7C4C">
        <w:t xml:space="preserve">; </w:t>
      </w:r>
      <w:proofErr w:type="spellStart"/>
      <w:r w:rsidR="008C7C4C">
        <w:t>Venema</w:t>
      </w:r>
      <w:proofErr w:type="spellEnd"/>
      <w:r w:rsidR="008C7C4C">
        <w:t>, 2016b</w:t>
      </w:r>
      <w:r w:rsidR="001E2CA7" w:rsidRPr="00853258">
        <w:t>). Such research supports the potential influence of individual attitudinal variability on officers’ judgements and decision</w:t>
      </w:r>
      <w:r w:rsidR="00413532">
        <w:t>-</w:t>
      </w:r>
      <w:r w:rsidR="001E2CA7" w:rsidRPr="00853258">
        <w:t xml:space="preserve">making in rape cases (Edwards, </w:t>
      </w:r>
      <w:proofErr w:type="spellStart"/>
      <w:r w:rsidR="001E2CA7" w:rsidRPr="00853258">
        <w:t>Turchik</w:t>
      </w:r>
      <w:proofErr w:type="spellEnd"/>
      <w:r w:rsidR="001E2CA7" w:rsidRPr="00853258">
        <w:t xml:space="preserve">, </w:t>
      </w:r>
      <w:proofErr w:type="spellStart"/>
      <w:r w:rsidR="001E2CA7" w:rsidRPr="00853258">
        <w:t>Dardis</w:t>
      </w:r>
      <w:proofErr w:type="spellEnd"/>
      <w:r w:rsidR="001E2CA7" w:rsidRPr="00853258">
        <w:t xml:space="preserve">, Reynolds, &amp; </w:t>
      </w:r>
      <w:proofErr w:type="spellStart"/>
      <w:r w:rsidR="001E2CA7" w:rsidRPr="00853258">
        <w:t>Gidycz</w:t>
      </w:r>
      <w:proofErr w:type="spellEnd"/>
      <w:r w:rsidR="001E2CA7" w:rsidRPr="00853258">
        <w:t>, 2011; Kelly, 2010).</w:t>
      </w:r>
    </w:p>
    <w:p w14:paraId="2D535283" w14:textId="540D7E34" w:rsidR="00A8713F" w:rsidRPr="00A8713F" w:rsidRDefault="001E2CA7">
      <w:pPr>
        <w:pStyle w:val="Newparagraph"/>
      </w:pPr>
      <w:r w:rsidRPr="00853258">
        <w:t xml:space="preserve">To further complicate decision-making processes, </w:t>
      </w:r>
      <w:proofErr w:type="spellStart"/>
      <w:r w:rsidRPr="00853258">
        <w:t>Frohmann</w:t>
      </w:r>
      <w:proofErr w:type="spellEnd"/>
      <w:r w:rsidRPr="00853258">
        <w:t xml:space="preserve"> (1997) describes a “downstream orientation” (p. 535) within the criminal justice system, in which officers and prosecutors build cases to meet thresholds for reasonable doubt standards (</w:t>
      </w:r>
      <w:proofErr w:type="spellStart"/>
      <w:r w:rsidR="00413532" w:rsidRPr="00853258">
        <w:t>Hohl</w:t>
      </w:r>
      <w:proofErr w:type="spellEnd"/>
      <w:r w:rsidR="00413532" w:rsidRPr="00853258">
        <w:t xml:space="preserve"> &amp; Stanko, 2015</w:t>
      </w:r>
      <w:r w:rsidR="00413532">
        <w:t xml:space="preserve">; </w:t>
      </w:r>
      <w:r w:rsidRPr="00853258">
        <w:t xml:space="preserve">Martin, 2005) and, in doing so, consider the prospective opinions of the judge, jury, and defence when building cases. This is supported by Spohn and colleagues (2014), who suggest that officers suffer from an anticipatory bias, considering the prosecutor’s responses when investigating (Spohn et al., 2014; </w:t>
      </w:r>
      <w:proofErr w:type="spellStart"/>
      <w:r w:rsidRPr="00853258">
        <w:t>Venema</w:t>
      </w:r>
      <w:proofErr w:type="spellEnd"/>
      <w:r w:rsidRPr="00853258">
        <w:t xml:space="preserve">, 2016b), thus removing some objectivity from the evidence-gathering process. This is contextualised by Munro and Kelly (2009), who state that the cycle of attrition is perpetuated by performance targets and resourcing issues within policing and that these limitations force police officers and prosecutors into only advancing cases they believe to have a realistic chance of uptake. To do so, there is a need to </w:t>
      </w:r>
      <w:r w:rsidRPr="00853258">
        <w:lastRenderedPageBreak/>
        <w:t>operate using schematic processing, based on a “repertoire of knowledge” (</w:t>
      </w:r>
      <w:proofErr w:type="spellStart"/>
      <w:r w:rsidRPr="00853258">
        <w:t>Frohmann</w:t>
      </w:r>
      <w:proofErr w:type="spellEnd"/>
      <w:r w:rsidRPr="00853258">
        <w:t xml:space="preserve">, 1991, p. 217), and </w:t>
      </w:r>
      <w:proofErr w:type="spellStart"/>
      <w:r w:rsidRPr="00853258">
        <w:t>Hohl</w:t>
      </w:r>
      <w:proofErr w:type="spellEnd"/>
      <w:r w:rsidRPr="00853258">
        <w:t xml:space="preserve"> and Stanko (2015) argue that officers are therefore required to rely on rape myths and the ‘real rape’ stereotype in such instances. </w:t>
      </w:r>
      <w:r w:rsidR="003B2E25">
        <w:t>This is</w:t>
      </w:r>
      <w:r w:rsidR="008C7C4C">
        <w:t xml:space="preserve"> summarised by </w:t>
      </w:r>
      <w:r w:rsidR="008C7C4C" w:rsidRPr="00853258">
        <w:t xml:space="preserve">Temkin and </w:t>
      </w:r>
      <w:proofErr w:type="spellStart"/>
      <w:r w:rsidR="008C7C4C" w:rsidRPr="00853258">
        <w:t>Krahé</w:t>
      </w:r>
      <w:proofErr w:type="spellEnd"/>
      <w:r w:rsidR="008C7C4C" w:rsidRPr="00853258">
        <w:t xml:space="preserve"> (2008)</w:t>
      </w:r>
      <w:r w:rsidR="008C7C4C">
        <w:t>, who suggest</w:t>
      </w:r>
      <w:r w:rsidR="008C7C4C" w:rsidRPr="00853258">
        <w:t xml:space="preserve"> that the evidence gathering process is often not a normative, objective exercise in fact-finding, but rather one that relies heavily on cognitive heuristics, providing substantial scope for the introduction of beliefs, attitudes, and stereotypes into the judgements that officers make. </w:t>
      </w:r>
    </w:p>
    <w:p w14:paraId="49A42809" w14:textId="0BDC2506" w:rsidR="001E2CA7" w:rsidRDefault="001E2CA7" w:rsidP="00392106">
      <w:pPr>
        <w:pStyle w:val="Heading2"/>
      </w:pPr>
      <w:r>
        <w:t xml:space="preserve">Changing Police Attitudes – </w:t>
      </w:r>
      <w:r w:rsidR="00DA0728">
        <w:t>Intervention and Specialist Training</w:t>
      </w:r>
    </w:p>
    <w:p w14:paraId="69887F7A" w14:textId="22BB51D7" w:rsidR="00580527" w:rsidRDefault="00A8713F">
      <w:pPr>
        <w:pStyle w:val="Paragraph"/>
      </w:pPr>
      <w:r w:rsidRPr="00904EB2">
        <w:t>In</w:t>
      </w:r>
      <w:r w:rsidR="00F93C7D" w:rsidRPr="00904EB2">
        <w:t xml:space="preserve"> an</w:t>
      </w:r>
      <w:r w:rsidR="00E56C92" w:rsidRPr="00904EB2">
        <w:t xml:space="preserve"> attempt to address</w:t>
      </w:r>
      <w:r w:rsidR="00DA0728" w:rsidRPr="00904EB2">
        <w:t xml:space="preserve"> the negative attitudes and behaviours of police officers</w:t>
      </w:r>
      <w:r w:rsidR="00F93C7D" w:rsidRPr="00904EB2">
        <w:t xml:space="preserve"> towards rape</w:t>
      </w:r>
      <w:r w:rsidR="00F93C7D">
        <w:t xml:space="preserve"> victim</w:t>
      </w:r>
      <w:r w:rsidR="006A7790">
        <w:t>s</w:t>
      </w:r>
      <w:r w:rsidR="00DA0728">
        <w:t xml:space="preserve">, a limited number of studies have attempted intervention, with mixed results. </w:t>
      </w:r>
      <w:r w:rsidR="002810E1">
        <w:t xml:space="preserve">Lonsway </w:t>
      </w:r>
      <w:r w:rsidR="00DE3727">
        <w:t>and colleag</w:t>
      </w:r>
      <w:r w:rsidR="00BB2E7F">
        <w:t>u</w:t>
      </w:r>
      <w:r w:rsidR="00DE3727">
        <w:t>es</w:t>
      </w:r>
      <w:r w:rsidR="002810E1">
        <w:t xml:space="preserve"> (2001) produced one of the first comprehensive attempts at officer education, by delivering a modular training programme to police recruits covering a) the Illinois Criminal Sexual Assault Act (60 minutes), b) Dynamic and preliminary investigation of sexual assault (90 minutes), and c) Sexual assault impact and interview (60 minutes). All elements included the exploration and dispelling of rape myths and other misconceptions. When officers were then assessed in comparison to a control group who received basic training, only behavioural, but not attitudinal or cognitive improvements were found (Lonsway et al., 2001). </w:t>
      </w:r>
      <w:proofErr w:type="spellStart"/>
      <w:r w:rsidR="002810E1">
        <w:t>Muram</w:t>
      </w:r>
      <w:proofErr w:type="spellEnd"/>
      <w:r w:rsidR="002810E1">
        <w:t>, Hellman</w:t>
      </w:r>
      <w:r w:rsidR="00DE3727">
        <w:t>,</w:t>
      </w:r>
      <w:r w:rsidR="002810E1">
        <w:t xml:space="preserve"> and </w:t>
      </w:r>
      <w:proofErr w:type="spellStart"/>
      <w:r w:rsidR="002810E1">
        <w:t>Cassinello</w:t>
      </w:r>
      <w:proofErr w:type="spellEnd"/>
      <w:r w:rsidR="002810E1">
        <w:t xml:space="preserve"> (1995) conducted a similar, although less extensive intervention with new recruits. After 482 officers from the Memphis Police Academy completed a measure of rape myth acceptance, a follow-up lecture emphasizing appropriate attitudes towards rape was delivered. </w:t>
      </w:r>
      <w:r w:rsidR="00646C28">
        <w:t>However, w</w:t>
      </w:r>
      <w:r w:rsidR="002810E1">
        <w:t xml:space="preserve">hen the measure was re-administered, no significant difference in attitudes was found. </w:t>
      </w:r>
    </w:p>
    <w:p w14:paraId="776633DA" w14:textId="7C633FF3" w:rsidR="00586123" w:rsidRDefault="00580527" w:rsidP="00586123">
      <w:pPr>
        <w:pStyle w:val="Paragraph"/>
        <w:spacing w:before="120" w:after="120"/>
        <w:ind w:firstLine="720"/>
      </w:pPr>
      <w:r>
        <w:t xml:space="preserve">Such findings are </w:t>
      </w:r>
      <w:r w:rsidRPr="000D18E1">
        <w:t xml:space="preserve">mirrored by research conducted in the United Kingdom evaluating differences </w:t>
      </w:r>
      <w:r>
        <w:t xml:space="preserve">between officers that have already received </w:t>
      </w:r>
      <w:r w:rsidR="00FF5AC4">
        <w:t>speciali</w:t>
      </w:r>
      <w:r>
        <w:t xml:space="preserve">st rape investigation training </w:t>
      </w:r>
      <w:r>
        <w:lastRenderedPageBreak/>
        <w:t xml:space="preserve">and </w:t>
      </w:r>
      <w:r w:rsidR="00FF5AC4">
        <w:t xml:space="preserve">those who have not. Sleath and Bull (2012) compared </w:t>
      </w:r>
      <w:r w:rsidRPr="000D18E1">
        <w:t>‘Specially Trained Officers’ (STOS)</w:t>
      </w:r>
      <w:r w:rsidR="00904EB2" w:rsidRPr="000D18E1">
        <w:t>/ ‘</w:t>
      </w:r>
      <w:r w:rsidRPr="000D18E1">
        <w:t xml:space="preserve">Sexual Offences Investigative Techniques’ (SOIT) officers and non-specialist officers </w:t>
      </w:r>
      <w:r w:rsidR="00FF5AC4">
        <w:t xml:space="preserve">on measures of rape myth acceptance and </w:t>
      </w:r>
      <w:r w:rsidRPr="000D18E1">
        <w:t>victim responsibility</w:t>
      </w:r>
      <w:r w:rsidR="00FF5AC4">
        <w:t>,</w:t>
      </w:r>
      <w:r w:rsidR="00F93C7D">
        <w:t xml:space="preserve"> again</w:t>
      </w:r>
      <w:r w:rsidR="00FF5AC4">
        <w:t xml:space="preserve"> finding no differences. This is supported by work by </w:t>
      </w:r>
      <w:r w:rsidR="00FF5AC4" w:rsidRPr="00586123">
        <w:t>Goodman-</w:t>
      </w:r>
      <w:proofErr w:type="spellStart"/>
      <w:r w:rsidR="00FF5AC4" w:rsidRPr="00586123">
        <w:t>Delahunty</w:t>
      </w:r>
      <w:proofErr w:type="spellEnd"/>
      <w:r w:rsidR="00FF5AC4" w:rsidRPr="00586123">
        <w:t xml:space="preserve"> and Graham (2011)</w:t>
      </w:r>
      <w:r w:rsidR="00FF5AC4">
        <w:t>, which found no differences in judgements of responsibility as a function of victim intoxication and attire</w:t>
      </w:r>
      <w:r w:rsidR="00F93C7D">
        <w:t xml:space="preserve"> between specialist and non-specialist officers</w:t>
      </w:r>
      <w:r w:rsidR="00FF5AC4">
        <w:t xml:space="preserve">. </w:t>
      </w:r>
      <w:r w:rsidR="00D65D28">
        <w:t>T</w:t>
      </w:r>
      <w:r w:rsidR="00E739C2" w:rsidRPr="000D18E1">
        <w:t xml:space="preserve">his is </w:t>
      </w:r>
      <w:r w:rsidR="00D65D28">
        <w:t>further demonstrated b</w:t>
      </w:r>
      <w:r w:rsidR="00E739C2" w:rsidRPr="000D18E1">
        <w:t>y research investigating the impact o</w:t>
      </w:r>
      <w:r w:rsidR="00E739C2">
        <w:t>f speciali</w:t>
      </w:r>
      <w:r w:rsidR="00E739C2" w:rsidRPr="00E257C4">
        <w:t>zed</w:t>
      </w:r>
      <w:r w:rsidR="00E739C2">
        <w:t xml:space="preserve"> prosecution units in the U.S., </w:t>
      </w:r>
      <w:r>
        <w:t xml:space="preserve">as </w:t>
      </w:r>
      <w:r w:rsidR="00E739C2" w:rsidRPr="000D18E1">
        <w:t xml:space="preserve">prosecutors’ charging decisions and predictors of charging are similar in areas with and without such units, with </w:t>
      </w:r>
      <w:r w:rsidR="00AC4962">
        <w:t xml:space="preserve">perceived </w:t>
      </w:r>
      <w:r w:rsidR="00E739C2" w:rsidRPr="000D18E1">
        <w:t xml:space="preserve">victim credibility </w:t>
      </w:r>
      <w:r w:rsidR="00F93C7D">
        <w:t>remaining a</w:t>
      </w:r>
      <w:r w:rsidR="00E739C2" w:rsidRPr="000D18E1">
        <w:t xml:space="preserve"> focal concern for officers in both jurisdictions </w:t>
      </w:r>
      <w:r w:rsidR="00E739C2" w:rsidRPr="000D18E1">
        <w:fldChar w:fldCharType="begin"/>
      </w:r>
      <w:r w:rsidR="00E739C2">
        <w:instrText xml:space="preserve"> ADDIN EN.CITE &lt;EndNote&gt;&lt;Cite&gt;&lt;Author&gt;Beichner&lt;/Author&gt;&lt;Year&gt;2005&lt;/Year&gt;&lt;RecNum&gt;891&lt;/RecNum&gt;&lt;DisplayText&gt;(Beichner &amp;amp; Spohn, 2005)&lt;/DisplayText&gt;&lt;record&gt;&lt;rec-number&gt;891&lt;/rec-number&gt;&lt;foreign-keys&gt;&lt;key app="EN" db-id="f5p9zd5zqsratqef5sv5pz2wpve092vrdw52" timestamp="1476716721"&gt;891&lt;/key&gt;&lt;/foreign-keys&gt;&lt;ref-type name="Journal Article"&gt;17&lt;/ref-type&gt;&lt;contributors&gt;&lt;authors&gt;&lt;author&gt;Beichner, D.&lt;/author&gt;&lt;author&gt;Spohn, C.&lt;/author&gt;&lt;/authors&gt;&lt;/contributors&gt;&lt;titles&gt;&lt;title&gt;Prosecutorial charging decisions in sexual assault cases: Examining the impact of a specialized prosecution unit&lt;/title&gt;&lt;secondary-title&gt;Criminal Justice Policy Review&lt;/secondary-title&gt;&lt;/titles&gt;&lt;periodical&gt;&lt;full-title&gt;Criminal Justice Policy Review&lt;/full-title&gt;&lt;/periodical&gt;&lt;pages&gt;461-498&lt;/pages&gt;&lt;volume&gt;16&lt;/volume&gt;&lt;dates&gt;&lt;year&gt;2005&lt;/year&gt;&lt;/dates&gt;&lt;urls&gt;&lt;/urls&gt;&lt;electronic-resource-num&gt;10.1177/0887403405277195&lt;/electronic-resource-num&gt;&lt;/record&gt;&lt;/Cite&gt;&lt;/EndNote&gt;</w:instrText>
      </w:r>
      <w:r w:rsidR="00E739C2" w:rsidRPr="000D18E1">
        <w:fldChar w:fldCharType="separate"/>
      </w:r>
      <w:r w:rsidR="00E739C2">
        <w:rPr>
          <w:noProof/>
        </w:rPr>
        <w:t>(Beichner &amp; Spohn, 2005)</w:t>
      </w:r>
      <w:r w:rsidR="00E739C2" w:rsidRPr="000D18E1">
        <w:fldChar w:fldCharType="end"/>
      </w:r>
      <w:r w:rsidR="00E739C2" w:rsidRPr="000D18E1">
        <w:t xml:space="preserve">. </w:t>
      </w:r>
    </w:p>
    <w:p w14:paraId="096B98BE" w14:textId="230C9FF8" w:rsidR="00586123" w:rsidRDefault="001E2CA7" w:rsidP="00586123">
      <w:pPr>
        <w:pStyle w:val="Paragraph"/>
        <w:spacing w:before="120" w:after="120"/>
        <w:ind w:firstLine="720"/>
      </w:pPr>
      <w:r w:rsidRPr="00586123">
        <w:t xml:space="preserve">Some studies find more positive outcomes, </w:t>
      </w:r>
      <w:r w:rsidR="00D65D28" w:rsidRPr="00586123">
        <w:t>such as Lee, Lee</w:t>
      </w:r>
      <w:r w:rsidR="00556F00">
        <w:t>,</w:t>
      </w:r>
      <w:r w:rsidR="00D65D28" w:rsidRPr="00586123">
        <w:t xml:space="preserve"> and Lee’s (2012) evaluation of rape myth acceptance in male South Korean police officers, which found those who had attended a sexual assault educational program were less likely to endorse rape-supportive attributions in rape scenarios. In addition, </w:t>
      </w:r>
      <w:r w:rsidRPr="00586123">
        <w:t xml:space="preserve">a </w:t>
      </w:r>
      <w:r w:rsidR="00580527" w:rsidRPr="00586123">
        <w:t xml:space="preserve">more </w:t>
      </w:r>
      <w:r w:rsidRPr="00586123">
        <w:t xml:space="preserve">recent evaluation </w:t>
      </w:r>
      <w:r w:rsidR="00D65D28" w:rsidRPr="00586123">
        <w:t xml:space="preserve">of </w:t>
      </w:r>
      <w:r w:rsidRPr="00586123">
        <w:t>specialist training delivered to officers from Victoria Police Service in Australia</w:t>
      </w:r>
      <w:r w:rsidR="003B2E25">
        <w:t>,</w:t>
      </w:r>
      <w:r w:rsidR="00D65D28" w:rsidRPr="00586123">
        <w:t xml:space="preserve"> again</w:t>
      </w:r>
      <w:r w:rsidR="003B2E25">
        <w:t>,</w:t>
      </w:r>
      <w:r w:rsidR="00D65D28" w:rsidRPr="00586123">
        <w:t xml:space="preserve"> showed more positive effects on officer attitudes</w:t>
      </w:r>
      <w:r w:rsidRPr="00586123">
        <w:t xml:space="preserve"> </w:t>
      </w:r>
      <w:r w:rsidRPr="00586123">
        <w:fldChar w:fldCharType="begin"/>
      </w:r>
      <w:r w:rsidRPr="00586123">
        <w:instrText xml:space="preserve"> ADDIN EN.CITE &lt;EndNote&gt;&lt;Cite&gt;&lt;Author&gt;Darwinkel&lt;/Author&gt;&lt;Year&gt;2013&lt;/Year&gt;&lt;RecNum&gt;892&lt;/RecNum&gt;&lt;DisplayText&gt;(Darwinkel, Powell, &amp;amp; Tidmarsh, 2013)&lt;/DisplayText&gt;&lt;record&gt;&lt;rec-number&gt;892&lt;/rec-number&gt;&lt;foreign-keys&gt;&lt;key app="EN" db-id="f5p9zd5zqsratqef5sv5pz2wpve092vrdw52" timestamp="1476716908"&gt;892&lt;/key&gt;&lt;/foreign-keys&gt;&lt;ref-type name="Journal Article"&gt;17&lt;/ref-type&gt;&lt;contributors&gt;&lt;authors&gt;&lt;author&gt;Darwinkel, E.&lt;/author&gt;&lt;author&gt;Powell, M.&lt;/author&gt;&lt;author&gt;Tidmarsh, P.&lt;/author&gt;&lt;/authors&gt;&lt;/contributors&gt;&lt;titles&gt;&lt;title&gt;Improving police officers&amp;apos; perceptions of sexual offending through intensive training&lt;/title&gt;&lt;secondary-title&gt;Criminal Justice and Behavior&lt;/secondary-title&gt;&lt;/titles&gt;&lt;periodical&gt;&lt;full-title&gt;Criminal Justice and Behavior&lt;/full-title&gt;&lt;/periodical&gt;&lt;pages&gt;895-908&lt;/pages&gt;&lt;volume&gt;40&lt;/volume&gt;&lt;dates&gt;&lt;year&gt;2013&lt;/year&gt;&lt;/dates&gt;&lt;urls&gt;&lt;/urls&gt;&lt;electronic-resource-num&gt;10.1177/0093854813475348&lt;/electronic-resource-num&gt;&lt;/record&gt;&lt;/Cite&gt;&lt;/EndNote&gt;</w:instrText>
      </w:r>
      <w:r w:rsidRPr="00586123">
        <w:fldChar w:fldCharType="separate"/>
      </w:r>
      <w:r w:rsidRPr="00586123">
        <w:rPr>
          <w:noProof/>
        </w:rPr>
        <w:t>(Darwinkel, Powell, &amp; Tidmarsh, 2013)</w:t>
      </w:r>
      <w:r w:rsidRPr="00586123">
        <w:fldChar w:fldCharType="end"/>
      </w:r>
      <w:r w:rsidR="00D65D28" w:rsidRPr="00586123">
        <w:t>. This 4-week programme included modules on understanding the victim, understanding the offender, case examples, and interview theory and practice</w:t>
      </w:r>
      <w:r w:rsidR="003607A2" w:rsidRPr="00586123">
        <w:t>, and o</w:t>
      </w:r>
      <w:r w:rsidR="00D65D28" w:rsidRPr="00586123">
        <w:t xml:space="preserve">fficers </w:t>
      </w:r>
      <w:r w:rsidR="00AC60BE" w:rsidRPr="00586123">
        <w:t xml:space="preserve">who attended showed </w:t>
      </w:r>
      <w:r w:rsidR="003607A2" w:rsidRPr="00586123">
        <w:t>greater confidence in case-authorisation, and lower victim responsibility ratings in post-test measures. Importantly, all of the modules on this programme explored the wider context of rape as a crime, following the ‘Whole Story’ approach (</w:t>
      </w:r>
      <w:proofErr w:type="spellStart"/>
      <w:r w:rsidR="003607A2" w:rsidRPr="00586123">
        <w:t>Tidmarsh</w:t>
      </w:r>
      <w:proofErr w:type="spellEnd"/>
      <w:r w:rsidR="003607A2" w:rsidRPr="00586123">
        <w:t>,</w:t>
      </w:r>
      <w:r w:rsidR="00B351EB">
        <w:t xml:space="preserve"> Powell, &amp; </w:t>
      </w:r>
      <w:proofErr w:type="spellStart"/>
      <w:r w:rsidR="00B351EB">
        <w:t>Darwinkel</w:t>
      </w:r>
      <w:proofErr w:type="spellEnd"/>
      <w:r w:rsidR="00B351EB">
        <w:t>,</w:t>
      </w:r>
      <w:r w:rsidR="003607A2" w:rsidRPr="00586123">
        <w:t xml:space="preserve"> 2012), and placing emphasis on the context within which rape occurs, the relationship between victim and perpetrator, and the numerous beliefs surrounding such c</w:t>
      </w:r>
      <w:r w:rsidR="00F93C7D" w:rsidRPr="00586123">
        <w:t>r</w:t>
      </w:r>
      <w:r w:rsidR="003607A2" w:rsidRPr="00586123">
        <w:t xml:space="preserve">imes. Taken together, the limited research evaluating </w:t>
      </w:r>
      <w:r w:rsidR="00CB72D3" w:rsidRPr="00586123">
        <w:t>training programmes which aim to educate and train</w:t>
      </w:r>
      <w:r w:rsidR="003607A2" w:rsidRPr="00586123">
        <w:t xml:space="preserve"> officers in the area of sexual offences</w:t>
      </w:r>
      <w:r w:rsidR="00CB72D3" w:rsidRPr="00586123">
        <w:t xml:space="preserve"> suggests that, as with college samples (see Anderson &amp; </w:t>
      </w:r>
      <w:r w:rsidR="00CB72D3" w:rsidRPr="00586123">
        <w:lastRenderedPageBreak/>
        <w:t xml:space="preserve">Whiston, 2005 for review), such approaches are largely ineffective at changing </w:t>
      </w:r>
      <w:r w:rsidR="00F93C7D" w:rsidRPr="00586123">
        <w:t xml:space="preserve">either </w:t>
      </w:r>
      <w:r w:rsidR="00CB72D3" w:rsidRPr="00586123">
        <w:t xml:space="preserve">attitudes </w:t>
      </w:r>
      <w:r w:rsidR="00F93C7D" w:rsidRPr="00586123">
        <w:t>or</w:t>
      </w:r>
      <w:r w:rsidR="00CB72D3" w:rsidRPr="00586123">
        <w:t xml:space="preserve"> behaviours. This ineff</w:t>
      </w:r>
      <w:r w:rsidR="00AC4962">
        <w:t>ectiveness</w:t>
      </w:r>
      <w:r w:rsidR="00CB72D3" w:rsidRPr="00586123">
        <w:t xml:space="preserve"> may be, in part, due to the overly narrow focus of most interventions, </w:t>
      </w:r>
      <w:r w:rsidR="00F93C7D" w:rsidRPr="00586123">
        <w:t>in that they</w:t>
      </w:r>
      <w:r w:rsidR="00CB72D3" w:rsidRPr="00586123">
        <w:t xml:space="preserve"> seek to address and challenge rape myths in isolation, without considering the broader context of such beliefs. </w:t>
      </w:r>
    </w:p>
    <w:p w14:paraId="293062BB" w14:textId="7FCF5630" w:rsidR="0038435F" w:rsidRPr="00586123" w:rsidRDefault="0038435F" w:rsidP="00392106">
      <w:pPr>
        <w:pStyle w:val="Heading2"/>
      </w:pPr>
      <w:r w:rsidRPr="00586123">
        <w:t>Attitudes Related to Rape Myth Acceptance</w:t>
      </w:r>
    </w:p>
    <w:p w14:paraId="054610B2" w14:textId="6D5A6A6B" w:rsidR="00586123" w:rsidRDefault="00632135" w:rsidP="007D0AE9">
      <w:pPr>
        <w:pStyle w:val="Paragraph"/>
        <w:spacing w:before="0"/>
      </w:pPr>
      <w:r w:rsidRPr="00904EB2">
        <w:t>It is increasingly acknowledged that rape myths do not exist in isolation, but rather exist</w:t>
      </w:r>
      <w:r>
        <w:t xml:space="preserve"> within a broader framework of attitudes (</w:t>
      </w:r>
      <w:proofErr w:type="spellStart"/>
      <w:r w:rsidRPr="0061414A">
        <w:t>Rozee</w:t>
      </w:r>
      <w:proofErr w:type="spellEnd"/>
      <w:r w:rsidRPr="0061414A">
        <w:t xml:space="preserve"> &amp; Koss, 2001</w:t>
      </w:r>
      <w:r>
        <w:t xml:space="preserve">; </w:t>
      </w:r>
      <w:proofErr w:type="spellStart"/>
      <w:r w:rsidR="00B85792">
        <w:t>Süseenbach</w:t>
      </w:r>
      <w:proofErr w:type="spellEnd"/>
      <w:r w:rsidR="00B85792">
        <w:t xml:space="preserve"> &amp; Bohner, 2011; </w:t>
      </w:r>
      <w:r>
        <w:t xml:space="preserve">Temkin &amp; </w:t>
      </w:r>
      <w:proofErr w:type="spellStart"/>
      <w:r>
        <w:t>Krahé</w:t>
      </w:r>
      <w:proofErr w:type="spellEnd"/>
      <w:r>
        <w:t>, 2008</w:t>
      </w:r>
      <w:r w:rsidRPr="0061414A">
        <w:t>).</w:t>
      </w:r>
      <w:r>
        <w:t xml:space="preserve"> Indeed, v</w:t>
      </w:r>
      <w:r w:rsidR="0038435F" w:rsidRPr="00853258">
        <w:t xml:space="preserve">arious attitudinal correlates </w:t>
      </w:r>
      <w:r w:rsidR="00F93C7D">
        <w:t>of</w:t>
      </w:r>
      <w:r w:rsidR="0038435F" w:rsidRPr="00853258">
        <w:t xml:space="preserve"> rape myth acceptance</w:t>
      </w:r>
      <w:r w:rsidR="00F93C7D">
        <w:t xml:space="preserve"> have been highlighted,</w:t>
      </w:r>
      <w:r w:rsidR="0038435F" w:rsidRPr="00853258">
        <w:t xml:space="preserve"> with sociocultural attitudes, such as ageism, classism, racism, </w:t>
      </w:r>
      <w:r w:rsidR="00B85792">
        <w:t>homophobia, a</w:t>
      </w:r>
      <w:r w:rsidR="0038435F" w:rsidRPr="00853258">
        <w:t>nd religious intolerance all demonstrating strong relation to RMA (</w:t>
      </w:r>
      <w:proofErr w:type="spellStart"/>
      <w:r w:rsidR="00B85792">
        <w:t>A</w:t>
      </w:r>
      <w:r w:rsidR="00F01FBB">
        <w:t>os</w:t>
      </w:r>
      <w:r w:rsidR="00B85792">
        <w:t>ved</w:t>
      </w:r>
      <w:proofErr w:type="spellEnd"/>
      <w:r w:rsidR="00B85792">
        <w:t xml:space="preserve"> &amp; Long, 2006; </w:t>
      </w:r>
      <w:r w:rsidR="0038435F" w:rsidRPr="00853258">
        <w:t xml:space="preserve">Suarez &amp; </w:t>
      </w:r>
      <w:proofErr w:type="spellStart"/>
      <w:r w:rsidR="0038435F" w:rsidRPr="00853258">
        <w:t>Gadalla</w:t>
      </w:r>
      <w:proofErr w:type="spellEnd"/>
      <w:r w:rsidR="0038435F" w:rsidRPr="00853258">
        <w:t>, 2010). Attitudinal systems related to gender and sexuality have also been shown to have a significant relationship to RMA. For example, sexual aggression, male dominance, subscription to traditional gender-role beliefs, and hostile/aggressive attitudes towards women demonstrate a strong, positive association (</w:t>
      </w:r>
      <w:proofErr w:type="spellStart"/>
      <w:r w:rsidR="00B85792">
        <w:t>A</w:t>
      </w:r>
      <w:r w:rsidR="00F01FBB">
        <w:t>os</w:t>
      </w:r>
      <w:r w:rsidR="00B85792">
        <w:t>ved</w:t>
      </w:r>
      <w:proofErr w:type="spellEnd"/>
      <w:r w:rsidR="00B85792">
        <w:t xml:space="preserve"> &amp; Long, 2006; </w:t>
      </w:r>
      <w:r w:rsidR="0038435F" w:rsidRPr="00853258">
        <w:t xml:space="preserve">Forbes, Adams-Curtis, &amp; White, 2004; Lonsway &amp; Fitzgerald, 1994, 1995; Suarez &amp; </w:t>
      </w:r>
      <w:proofErr w:type="spellStart"/>
      <w:r w:rsidR="0038435F" w:rsidRPr="00853258">
        <w:t>Gadalla</w:t>
      </w:r>
      <w:proofErr w:type="spellEnd"/>
      <w:r w:rsidR="0038435F" w:rsidRPr="00853258">
        <w:t xml:space="preserve">, 2010). Anderson, Cooper, and Okamura (1997) further note that sexual aggression, not sexual promiscuity, was related to RMA, </w:t>
      </w:r>
      <w:r w:rsidR="00646C28" w:rsidRPr="00853258">
        <w:t>w</w:t>
      </w:r>
      <w:r w:rsidR="00646C28">
        <w:t>ith</w:t>
      </w:r>
      <w:r w:rsidR="00646C28" w:rsidRPr="00853258">
        <w:t xml:space="preserve"> </w:t>
      </w:r>
      <w:r w:rsidR="0038435F" w:rsidRPr="00853258">
        <w:t xml:space="preserve">male pathology and psychopathy </w:t>
      </w:r>
      <w:r w:rsidR="00646C28">
        <w:t>also providing no predictive validity</w:t>
      </w:r>
      <w:r w:rsidR="0038435F" w:rsidRPr="00853258">
        <w:t>. These findings suggest that hostility in general is not predictive of subscription to rape myths, but rather levels of hostility</w:t>
      </w:r>
      <w:r w:rsidR="00AC4962">
        <w:t xml:space="preserve"> specifically</w:t>
      </w:r>
      <w:r w:rsidR="0038435F" w:rsidRPr="00853258">
        <w:t xml:space="preserve"> directed towards women. Additionally, </w:t>
      </w:r>
      <w:r w:rsidR="0038435F" w:rsidRPr="00853258">
        <w:rPr>
          <w:bCs/>
          <w:color w:val="222222"/>
        </w:rPr>
        <w:t xml:space="preserve">ambivalent forms of sexism, representing </w:t>
      </w:r>
      <w:r w:rsidR="00EC6291">
        <w:rPr>
          <w:color w:val="222222"/>
          <w:shd w:val="clear" w:color="auto" w:fill="FFFFFF"/>
        </w:rPr>
        <w:t xml:space="preserve">an ideology composed of both </w:t>
      </w:r>
      <w:r w:rsidR="0038435F" w:rsidRPr="00853258">
        <w:rPr>
          <w:color w:val="222222"/>
          <w:shd w:val="clear" w:color="auto" w:fill="FFFFFF"/>
        </w:rPr>
        <w:t>"</w:t>
      </w:r>
      <w:r w:rsidR="0038435F" w:rsidRPr="00853258">
        <w:rPr>
          <w:bCs/>
          <w:color w:val="222222"/>
        </w:rPr>
        <w:t>hostile</w:t>
      </w:r>
      <w:r w:rsidR="0038435F" w:rsidRPr="00853258">
        <w:rPr>
          <w:color w:val="222222"/>
          <w:shd w:val="clear" w:color="auto" w:fill="FFFFFF"/>
        </w:rPr>
        <w:t>" and "</w:t>
      </w:r>
      <w:r w:rsidR="0038435F" w:rsidRPr="00853258">
        <w:rPr>
          <w:bCs/>
          <w:color w:val="222222"/>
        </w:rPr>
        <w:t>benevolent</w:t>
      </w:r>
      <w:r w:rsidR="0038435F" w:rsidRPr="00853258">
        <w:rPr>
          <w:color w:val="222222"/>
          <w:shd w:val="clear" w:color="auto" w:fill="FFFFFF"/>
        </w:rPr>
        <w:t>" prejudices toward women</w:t>
      </w:r>
      <w:r w:rsidR="0038435F" w:rsidRPr="00853258">
        <w:rPr>
          <w:bCs/>
          <w:color w:val="222222"/>
        </w:rPr>
        <w:t xml:space="preserve"> (Glick &amp; Fiske, 1996), are strongly related to RMA</w:t>
      </w:r>
      <w:r w:rsidR="0038435F" w:rsidRPr="00853258">
        <w:rPr>
          <w:color w:val="222222"/>
          <w:shd w:val="clear" w:color="auto" w:fill="FFFFFF"/>
        </w:rPr>
        <w:t xml:space="preserve">. </w:t>
      </w:r>
      <w:r w:rsidR="0038435F" w:rsidRPr="00853258">
        <w:rPr>
          <w:bCs/>
          <w:color w:val="222222"/>
        </w:rPr>
        <w:t>Hostile sexism</w:t>
      </w:r>
      <w:r w:rsidR="0038435F" w:rsidRPr="00853258">
        <w:rPr>
          <w:color w:val="222222"/>
          <w:shd w:val="clear" w:color="auto" w:fill="FFFFFF"/>
        </w:rPr>
        <w:t xml:space="preserve"> is composed of antagonistic attitudes towards women, who are often viewed as trying to control men through feminist ideology or sexual seduction </w:t>
      </w:r>
      <w:r w:rsidR="0038435F" w:rsidRPr="00853258">
        <w:t xml:space="preserve">(Abrams, Viki, </w:t>
      </w:r>
      <w:proofErr w:type="spellStart"/>
      <w:r w:rsidR="0038435F" w:rsidRPr="00853258">
        <w:t>Masser</w:t>
      </w:r>
      <w:proofErr w:type="spellEnd"/>
      <w:r w:rsidR="0038435F" w:rsidRPr="00853258">
        <w:t>, Bohner, 2003; Chapleau, Oswald, &amp; Russel, 2007; Glick &amp; Fiske, 1996)</w:t>
      </w:r>
      <w:r w:rsidR="0038435F" w:rsidRPr="00853258">
        <w:rPr>
          <w:color w:val="222222"/>
          <w:shd w:val="clear" w:color="auto" w:fill="FFFFFF"/>
        </w:rPr>
        <w:t xml:space="preserve">, while benevolent sexism may be conceptualised as sexism where women are </w:t>
      </w:r>
      <w:r w:rsidR="0038435F" w:rsidRPr="00853258">
        <w:rPr>
          <w:color w:val="222222"/>
          <w:shd w:val="clear" w:color="auto" w:fill="FFFFFF"/>
        </w:rPr>
        <w:lastRenderedPageBreak/>
        <w:t>stereotyped as affectionate, delicate, and sensitive, including broader chivalrous beliefs and attitudes, which ultimately express power and dominance over a weaker group</w:t>
      </w:r>
      <w:r w:rsidR="0038435F" w:rsidRPr="00853258">
        <w:t xml:space="preserve"> (Glick et al., 2000). Both demonstrate a significant predictive association with RMA, including greater victim minimising attitudes, incident minimisation, and less certainty surrounding the authenticity of a rape claim (</w:t>
      </w:r>
      <w:proofErr w:type="spellStart"/>
      <w:r w:rsidR="0038435F" w:rsidRPr="00853258">
        <w:t>Yamawaki</w:t>
      </w:r>
      <w:proofErr w:type="spellEnd"/>
      <w:r w:rsidR="0038435F" w:rsidRPr="00853258">
        <w:t xml:space="preserve">, Darby, &amp; Queiroz, 2007). Sexism, at least in part, seems to play an important role in perpetuating and informing RMA itself. </w:t>
      </w:r>
    </w:p>
    <w:p w14:paraId="1F1E2D02" w14:textId="6E203076" w:rsidR="00586123" w:rsidRDefault="0038435F" w:rsidP="007D0AE9">
      <w:pPr>
        <w:pStyle w:val="Paragraph"/>
        <w:spacing w:before="0"/>
        <w:ind w:firstLine="720"/>
      </w:pPr>
      <w:r w:rsidRPr="00853258">
        <w:t xml:space="preserve">Other dominance-based beliefs are also related to RMA. For example, </w:t>
      </w:r>
      <w:proofErr w:type="spellStart"/>
      <w:r w:rsidR="00B85792">
        <w:t>Süssenbach</w:t>
      </w:r>
      <w:proofErr w:type="spellEnd"/>
      <w:r w:rsidR="00B85792">
        <w:t xml:space="preserve"> and Bohner (2011) demonstrated that individuals with stronger preferences for hierarchy within the social order (otherwise known as Social Dominance Orientation or SDO) demonstrated higher RMA. </w:t>
      </w:r>
      <w:r w:rsidR="00D072D0">
        <w:t xml:space="preserve">Furthermore, </w:t>
      </w:r>
      <w:r w:rsidR="00646C28">
        <w:t xml:space="preserve">when examining </w:t>
      </w:r>
      <w:r w:rsidR="00250647">
        <w:t xml:space="preserve">the relationship between dominance-based and sexual belief systems, </w:t>
      </w:r>
      <w:proofErr w:type="spellStart"/>
      <w:r w:rsidRPr="00853258">
        <w:t>Bargh</w:t>
      </w:r>
      <w:proofErr w:type="spellEnd"/>
      <w:r w:rsidRPr="00853258">
        <w:t xml:space="preserve">, Raymond, Pryor, and </w:t>
      </w:r>
      <w:proofErr w:type="spellStart"/>
      <w:r w:rsidRPr="00853258">
        <w:t>Strack</w:t>
      </w:r>
      <w:proofErr w:type="spellEnd"/>
      <w:r w:rsidRPr="00853258">
        <w:t xml:space="preserve"> (1995) </w:t>
      </w:r>
      <w:r w:rsidR="00646C28">
        <w:t>found a</w:t>
      </w:r>
      <w:r w:rsidR="00556F00">
        <w:t xml:space="preserve"> significant</w:t>
      </w:r>
      <w:r w:rsidR="00646C28">
        <w:t xml:space="preserve"> mental association between the concepts of power and sex in men </w:t>
      </w:r>
      <w:r w:rsidR="00556F00">
        <w:t>w</w:t>
      </w:r>
      <w:r w:rsidR="00B351EB">
        <w:t xml:space="preserve">ho </w:t>
      </w:r>
      <w:r w:rsidR="00556F00">
        <w:t>demonstrate</w:t>
      </w:r>
      <w:r w:rsidR="00B351EB">
        <w:t>d</w:t>
      </w:r>
      <w:r w:rsidR="00556F00">
        <w:t xml:space="preserve"> </w:t>
      </w:r>
      <w:r w:rsidR="00B351EB">
        <w:t xml:space="preserve">greater tendencies towards </w:t>
      </w:r>
      <w:r w:rsidR="00556F00">
        <w:t>sexual aggression and sexual harassment.</w:t>
      </w:r>
      <w:r w:rsidR="00646C28">
        <w:t xml:space="preserve"> </w:t>
      </w:r>
      <w:r w:rsidR="00250647">
        <w:t xml:space="preserve">Indeed, </w:t>
      </w:r>
      <w:r w:rsidRPr="00853258">
        <w:t xml:space="preserve">Chapleau and Oswald (2010) highlight that subscription to a belief in the relationship between power and sex significantly predicts subscription to rape myths, which in turn predicts proclivity to commit rape. While their work is not without limitations (e.g., the white, male, college sample), their findings support the notion that rape myths are part of a learned system, where consensual sex is associated with power, that may include socialised gender roles, sexual victimisation, and media input (Zurbriggen, 2000). </w:t>
      </w:r>
    </w:p>
    <w:p w14:paraId="1DCD595F" w14:textId="63B1559B" w:rsidR="0038435F" w:rsidRPr="00586123" w:rsidRDefault="0038435F" w:rsidP="00392106">
      <w:pPr>
        <w:pStyle w:val="Heading2"/>
      </w:pPr>
      <w:r w:rsidRPr="00586123">
        <w:t>The Present Study</w:t>
      </w:r>
    </w:p>
    <w:p w14:paraId="69EA625B" w14:textId="51E62217" w:rsidR="0038435F" w:rsidRPr="00853258" w:rsidRDefault="009678CF" w:rsidP="001F6921">
      <w:pPr>
        <w:pStyle w:val="Paragraph"/>
      </w:pPr>
      <w:r>
        <w:t xml:space="preserve">The research presented above supports the notion that rape myth acceptance develops and is maintained as part of a broader </w:t>
      </w:r>
      <w:r w:rsidRPr="00853258">
        <w:t>cognitive framework.</w:t>
      </w:r>
      <w:r w:rsidR="00DF41FB">
        <w:t xml:space="preserve"> </w:t>
      </w:r>
      <w:r w:rsidRPr="00853258">
        <w:t xml:space="preserve">However, at present, </w:t>
      </w:r>
      <w:r w:rsidR="00DE3727">
        <w:t>no</w:t>
      </w:r>
      <w:r w:rsidR="007D0AE9">
        <w:t xml:space="preserve"> </w:t>
      </w:r>
      <w:r w:rsidR="00F5413C">
        <w:t xml:space="preserve">systematic examination of </w:t>
      </w:r>
      <w:r w:rsidRPr="00853258">
        <w:t>these attitudes in police officers</w:t>
      </w:r>
      <w:r>
        <w:t>, or their relationship to RMA</w:t>
      </w:r>
      <w:r w:rsidR="00F5413C">
        <w:t>, has occurred</w:t>
      </w:r>
      <w:r>
        <w:t>. This is a crucial line of inquiry, as understand</w:t>
      </w:r>
      <w:r w:rsidR="00F5413C">
        <w:t>ing</w:t>
      </w:r>
      <w:r>
        <w:t xml:space="preserve"> the </w:t>
      </w:r>
      <w:r w:rsidRPr="0061414A">
        <w:t xml:space="preserve">extent to which such factors are </w:t>
      </w:r>
      <w:r w:rsidRPr="0061414A">
        <w:lastRenderedPageBreak/>
        <w:t xml:space="preserve">predictive of RMA </w:t>
      </w:r>
      <w:r w:rsidR="00F5413C">
        <w:t xml:space="preserve">in policing populations </w:t>
      </w:r>
      <w:r w:rsidRPr="0061414A">
        <w:t>could provid</w:t>
      </w:r>
      <w:r w:rsidR="00F5413C">
        <w:t>e</w:t>
      </w:r>
      <w:r w:rsidRPr="0061414A">
        <w:t xml:space="preserve"> a</w:t>
      </w:r>
      <w:r w:rsidR="00F5413C">
        <w:t xml:space="preserve"> critical</w:t>
      </w:r>
      <w:r w:rsidRPr="0061414A">
        <w:t xml:space="preserve"> evidence base for the effective development of training programmes </w:t>
      </w:r>
      <w:r w:rsidR="00F5413C">
        <w:t xml:space="preserve">to address such attitudes </w:t>
      </w:r>
      <w:r w:rsidRPr="0061414A">
        <w:t>(Chapleau &amp; Oswald, 2010).</w:t>
      </w:r>
      <w:r>
        <w:t xml:space="preserve"> Such an aim is particularly important when considering the role</w:t>
      </w:r>
      <w:r w:rsidRPr="00853258">
        <w:t xml:space="preserve"> officers </w:t>
      </w:r>
      <w:r w:rsidR="00AC4962">
        <w:t xml:space="preserve">have in </w:t>
      </w:r>
      <w:r w:rsidRPr="00853258">
        <w:t>response</w:t>
      </w:r>
      <w:r w:rsidR="00EC6291">
        <w:t xml:space="preserve"> t</w:t>
      </w:r>
      <w:r w:rsidR="00AC4962">
        <w:t>o t</w:t>
      </w:r>
      <w:r w:rsidR="00EC6291">
        <w:t>he crime, as well as the</w:t>
      </w:r>
      <w:r w:rsidRPr="00853258">
        <w:t xml:space="preserve"> service that victim</w:t>
      </w:r>
      <w:r w:rsidR="006A7790">
        <w:t xml:space="preserve">s </w:t>
      </w:r>
      <w:r w:rsidRPr="00853258">
        <w:t>will receive (Sleath &amp; Bull, 2012)</w:t>
      </w:r>
      <w:r>
        <w:t xml:space="preserve"> and the impact</w:t>
      </w:r>
      <w:r w:rsidRPr="00853258">
        <w:t xml:space="preserve"> </w:t>
      </w:r>
      <w:r w:rsidR="0001172E">
        <w:t xml:space="preserve">of negative attitudes </w:t>
      </w:r>
      <w:r w:rsidRPr="00853258">
        <w:t>on</w:t>
      </w:r>
      <w:r w:rsidR="0001172E">
        <w:t xml:space="preserve"> interactions with victim</w:t>
      </w:r>
      <w:r w:rsidR="006A7790">
        <w:t>s</w:t>
      </w:r>
      <w:r w:rsidRPr="00853258">
        <w:t xml:space="preserve"> and case trajectories (</w:t>
      </w:r>
      <w:proofErr w:type="spellStart"/>
      <w:r w:rsidRPr="00853258">
        <w:t>Brownmiller</w:t>
      </w:r>
      <w:proofErr w:type="spellEnd"/>
      <w:r w:rsidRPr="00853258">
        <w:t>, 1975; Campbell &amp; Johnson, 1997; Feldman-</w:t>
      </w:r>
      <w:r w:rsidR="00B351EB">
        <w:t>Summers &amp; Palmer, 1980; Rich &amp;</w:t>
      </w:r>
      <w:r w:rsidRPr="00853258">
        <w:t xml:space="preserve"> </w:t>
      </w:r>
      <w:proofErr w:type="spellStart"/>
      <w:r w:rsidRPr="00853258">
        <w:t>Seffrin</w:t>
      </w:r>
      <w:proofErr w:type="spellEnd"/>
      <w:r w:rsidRPr="00853258">
        <w:t xml:space="preserve"> 2012; Ullman &amp; Townsend, 2007; </w:t>
      </w:r>
      <w:proofErr w:type="spellStart"/>
      <w:r w:rsidRPr="00853258">
        <w:t>Venema</w:t>
      </w:r>
      <w:proofErr w:type="spellEnd"/>
      <w:r w:rsidRPr="00853258">
        <w:t>, 2016a)</w:t>
      </w:r>
      <w:r w:rsidR="0001172E">
        <w:t xml:space="preserve">. </w:t>
      </w:r>
      <w:r w:rsidR="0038435F" w:rsidRPr="0061414A">
        <w:t xml:space="preserve">The present study </w:t>
      </w:r>
      <w:r w:rsidR="0001172E">
        <w:t xml:space="preserve">therefore </w:t>
      </w:r>
      <w:r w:rsidR="0038435F" w:rsidRPr="0061414A">
        <w:t xml:space="preserve">examines the predictive relationship between several </w:t>
      </w:r>
      <w:r w:rsidR="00413532">
        <w:t>d</w:t>
      </w:r>
      <w:r w:rsidR="00413532" w:rsidRPr="0061414A">
        <w:t>emographic</w:t>
      </w:r>
      <w:r w:rsidR="00413532">
        <w:t xml:space="preserve"> </w:t>
      </w:r>
      <w:r w:rsidR="00413532" w:rsidRPr="0061414A">
        <w:t>(officer gender, age, years of service, presence/absence of specialist</w:t>
      </w:r>
      <w:r w:rsidR="00413532" w:rsidRPr="00853258">
        <w:t xml:space="preserve"> training)</w:t>
      </w:r>
      <w:r w:rsidR="00413532">
        <w:t xml:space="preserve"> and attitudinal</w:t>
      </w:r>
      <w:r w:rsidR="0001172E" w:rsidRPr="00853258">
        <w:t xml:space="preserve"> (hostility towards women, ambivalent sexism - hostile and benevolent, the relationship between power and sex)</w:t>
      </w:r>
      <w:r w:rsidR="00413532">
        <w:t xml:space="preserve"> variables</w:t>
      </w:r>
      <w:r w:rsidR="0001172E" w:rsidRPr="00853258">
        <w:t xml:space="preserve"> and rape myth acceptance</w:t>
      </w:r>
      <w:r w:rsidR="00413532">
        <w:t xml:space="preserve"> </w:t>
      </w:r>
      <w:r w:rsidR="0001172E">
        <w:t xml:space="preserve">in a </w:t>
      </w:r>
      <w:r w:rsidR="0038435F" w:rsidRPr="00853258">
        <w:t>large U.K. police sample</w:t>
      </w:r>
      <w:r w:rsidR="0001172E">
        <w:t>.</w:t>
      </w:r>
      <w:r w:rsidR="0038435F" w:rsidRPr="00853258">
        <w:t xml:space="preserve"> </w:t>
      </w:r>
    </w:p>
    <w:p w14:paraId="5FCC3CE2" w14:textId="77777777" w:rsidR="0038435F" w:rsidRPr="00853258" w:rsidRDefault="0038435F" w:rsidP="00392106">
      <w:pPr>
        <w:pStyle w:val="Heading1"/>
      </w:pPr>
      <w:r w:rsidRPr="00853258">
        <w:t>Method</w:t>
      </w:r>
    </w:p>
    <w:p w14:paraId="3948A5A9" w14:textId="77777777" w:rsidR="0038435F" w:rsidRPr="00853258" w:rsidRDefault="0038435F" w:rsidP="00392106">
      <w:pPr>
        <w:pStyle w:val="Heading2"/>
      </w:pPr>
      <w:r w:rsidRPr="00853258">
        <w:t>Design</w:t>
      </w:r>
    </w:p>
    <w:p w14:paraId="33080C07" w14:textId="53C341D3" w:rsidR="0038435F" w:rsidRPr="00853258" w:rsidRDefault="0038435F" w:rsidP="0061414A">
      <w:pPr>
        <w:pStyle w:val="Paragraph"/>
      </w:pPr>
      <w:r w:rsidRPr="00904EB2">
        <w:t>This study adopted a</w:t>
      </w:r>
      <w:r w:rsidR="00183187" w:rsidRPr="00904EB2">
        <w:t xml:space="preserve"> cross-sectional survey design</w:t>
      </w:r>
      <w:r w:rsidRPr="00904EB2">
        <w:t xml:space="preserve"> to examine the extent to which rape myth</w:t>
      </w:r>
      <w:r w:rsidRPr="00853258">
        <w:t xml:space="preserve"> acceptance (RMA) was predicted by several demographic and attitudinal factors. Four demographic factors were included as </w:t>
      </w:r>
      <w:r w:rsidR="00DF41FB">
        <w:t>predictor variables: officer gender</w:t>
      </w:r>
      <w:r w:rsidRPr="00853258">
        <w:t xml:space="preserve">, officer age, years of service, and officer training (i.e., the presence or absence of Sexual Offences Investigation Techniques (SOIT) training at some point in their career). These variables were introduced in block 1 of the overall model and acted as covariates. Four attitudinal predictor variables were introduced in block 2: hostility towards women, ambivalent sexism (hostile), ambivalent sexism (benevolent), and the relationship between power and sex. The outcome variable was the level of RMA. </w:t>
      </w:r>
    </w:p>
    <w:p w14:paraId="56C234E5" w14:textId="77777777" w:rsidR="0038435F" w:rsidRPr="00853258" w:rsidRDefault="0038435F" w:rsidP="00392106">
      <w:pPr>
        <w:pStyle w:val="Heading2"/>
      </w:pPr>
      <w:r w:rsidRPr="00853258">
        <w:lastRenderedPageBreak/>
        <w:t>Participants</w:t>
      </w:r>
    </w:p>
    <w:p w14:paraId="7374128D" w14:textId="77777777" w:rsidR="0038435F" w:rsidRPr="00853258" w:rsidRDefault="0038435F" w:rsidP="0061414A">
      <w:pPr>
        <w:pStyle w:val="Paragraph"/>
      </w:pPr>
      <w:r w:rsidRPr="00904EB2">
        <w:t xml:space="preserve">Participants were 912 police officers (min = 19 years of age, max = 63 years of age, </w:t>
      </w:r>
      <w:r w:rsidRPr="001F6921">
        <w:rPr>
          <w:i/>
        </w:rPr>
        <w:t xml:space="preserve">M </w:t>
      </w:r>
      <w:r w:rsidRPr="00904EB2">
        <w:t>=</w:t>
      </w:r>
      <w:r w:rsidRPr="00853258">
        <w:t xml:space="preserve"> 37.79 years, </w:t>
      </w:r>
      <w:r w:rsidRPr="00895446">
        <w:rPr>
          <w:i/>
        </w:rPr>
        <w:t>SD</w:t>
      </w:r>
      <w:r w:rsidRPr="00853258">
        <w:t xml:space="preserve"> = 9.42, 584 male and 328 female participants) from the Metropolitan Police Service (MPS) in London, United Kingdom. Officers had a broad range of service length (min = 3 months, max 39 years, </w:t>
      </w:r>
      <w:r w:rsidRPr="00853258">
        <w:rPr>
          <w:i/>
        </w:rPr>
        <w:t>M</w:t>
      </w:r>
      <w:r w:rsidRPr="00853258">
        <w:t xml:space="preserve"> = 11.44 years, </w:t>
      </w:r>
      <w:r w:rsidRPr="001F6921">
        <w:rPr>
          <w:i/>
        </w:rPr>
        <w:t>SD</w:t>
      </w:r>
      <w:r w:rsidRPr="00853258">
        <w:t xml:space="preserve"> = 8.27), and a variety of ranks were represented in the data (64.8% Constables, 18.1% Sergeants, 4.8% Inspector, with the remainder of the sample accounted for by ranks ranging from Police Community Support Officer to Chief Superintendent). Participants were from a variety of ethnic backgrounds, although most were white (84%). Finally, a total of 112 (12.3%) officers had received Sex Offences Investigation Techniques (SOIT) training at some point in their career. This sample is largely representative of both the Metropolitan Police Service, as well as the larger policing population of England and Wales (Office for National Statistics, 2015).</w:t>
      </w:r>
    </w:p>
    <w:p w14:paraId="46F89180" w14:textId="77777777" w:rsidR="0038435F" w:rsidRPr="00853258" w:rsidRDefault="0038435F" w:rsidP="001E0BFC">
      <w:pPr>
        <w:pStyle w:val="Heading2"/>
      </w:pPr>
      <w:r w:rsidRPr="00853258">
        <w:t xml:space="preserve">Materials </w:t>
      </w:r>
    </w:p>
    <w:p w14:paraId="48F2B317" w14:textId="10D16640" w:rsidR="0038435F" w:rsidRPr="00853258" w:rsidRDefault="0038435F" w:rsidP="0061414A">
      <w:pPr>
        <w:pStyle w:val="Paragraph"/>
      </w:pPr>
      <w:r w:rsidRPr="00904EB2">
        <w:t>All items were presented as a randomised battery using the online survey platform</w:t>
      </w:r>
      <w:r w:rsidR="00AC4962">
        <w:t>,</w:t>
      </w:r>
      <w:r w:rsidRPr="00904EB2">
        <w:t xml:space="preserve"> </w:t>
      </w:r>
      <w:r w:rsidRPr="00895446">
        <w:t>Qualtrics</w:t>
      </w:r>
      <w:r w:rsidR="00AC4962">
        <w:t>.</w:t>
      </w:r>
      <w:r w:rsidRPr="00853258">
        <w:t xml:space="preserve"> For each scale, individual items were averaged to provide participant’s overall scores. </w:t>
      </w:r>
    </w:p>
    <w:p w14:paraId="21CD6029" w14:textId="4CC0254D" w:rsidR="0038435F" w:rsidRPr="00853258" w:rsidRDefault="0038435F" w:rsidP="0038435F">
      <w:pPr>
        <w:pStyle w:val="Heading3"/>
        <w:spacing w:before="0" w:after="0" w:line="480" w:lineRule="auto"/>
        <w:ind w:firstLine="709"/>
        <w:rPr>
          <w:rFonts w:cs="Times New Roman"/>
          <w:i w:val="0"/>
          <w:szCs w:val="24"/>
        </w:rPr>
      </w:pPr>
      <w:r w:rsidRPr="00904EB2">
        <w:rPr>
          <w:rFonts w:eastAsiaTheme="minorHAnsi"/>
        </w:rPr>
        <w:t>Hostility towards women</w:t>
      </w:r>
      <w:r w:rsidRPr="0061414A">
        <w:rPr>
          <w:rFonts w:eastAsiaTheme="minorHAnsi"/>
        </w:rPr>
        <w:t>.</w:t>
      </w:r>
      <w:r w:rsidRPr="00853258">
        <w:rPr>
          <w:rFonts w:cs="Times New Roman"/>
          <w:b/>
          <w:i w:val="0"/>
          <w:szCs w:val="24"/>
        </w:rPr>
        <w:t xml:space="preserve"> </w:t>
      </w:r>
      <w:r w:rsidRPr="00853258">
        <w:rPr>
          <w:rFonts w:cs="Times New Roman"/>
          <w:i w:val="0"/>
          <w:szCs w:val="24"/>
        </w:rPr>
        <w:t xml:space="preserve">Hostility towards women was measured using a modified version of Check, </w:t>
      </w:r>
      <w:proofErr w:type="spellStart"/>
      <w:r w:rsidRPr="00853258">
        <w:rPr>
          <w:rFonts w:cs="Times New Roman"/>
          <w:i w:val="0"/>
          <w:szCs w:val="24"/>
        </w:rPr>
        <w:t>Malamuth</w:t>
      </w:r>
      <w:proofErr w:type="spellEnd"/>
      <w:r w:rsidRPr="00853258">
        <w:rPr>
          <w:rFonts w:cs="Times New Roman"/>
          <w:i w:val="0"/>
          <w:szCs w:val="24"/>
        </w:rPr>
        <w:t xml:space="preserve">, Elias, and Barton’s (1985) original Hostility Towards Women Scale by Lonsway and Fitzgerald (1995). The modification created a 10-question version of the scale that could be distributed to both male and female participants. Example questions include: “I feel that many times women flirt with men just to tease them or hurt them” and “Sometimes (other) women bother me just by being around”. Participants gave answers on a 7-point Likert scale ranging from “strongly disagree” to “strongly agree”. Cronbach’s alpha computed in this study </w:t>
      </w:r>
      <w:r w:rsidRPr="00853258">
        <w:rPr>
          <w:rFonts w:cs="Times New Roman"/>
          <w:i w:val="0"/>
          <w:szCs w:val="24"/>
        </w:rPr>
        <w:lastRenderedPageBreak/>
        <w:t xml:space="preserve">identified a reliability test score of .82, consistent with previous reliability analysis (.78) (Dang &amp; </w:t>
      </w:r>
      <w:proofErr w:type="spellStart"/>
      <w:r w:rsidRPr="00853258">
        <w:rPr>
          <w:rFonts w:cs="Times New Roman"/>
          <w:i w:val="0"/>
          <w:szCs w:val="24"/>
        </w:rPr>
        <w:t>Gorzalka</w:t>
      </w:r>
      <w:proofErr w:type="spellEnd"/>
      <w:r w:rsidRPr="00853258">
        <w:rPr>
          <w:rFonts w:cs="Times New Roman"/>
          <w:i w:val="0"/>
          <w:szCs w:val="24"/>
        </w:rPr>
        <w:t>, 2015).</w:t>
      </w:r>
    </w:p>
    <w:p w14:paraId="5EEEC076" w14:textId="77777777" w:rsidR="0038435F" w:rsidRPr="00853258" w:rsidRDefault="0038435F" w:rsidP="0038435F">
      <w:pPr>
        <w:pStyle w:val="Heading3"/>
        <w:tabs>
          <w:tab w:val="left" w:pos="709"/>
        </w:tabs>
        <w:spacing w:before="0" w:after="0" w:line="480" w:lineRule="auto"/>
        <w:ind w:firstLine="709"/>
        <w:rPr>
          <w:rFonts w:cs="Times New Roman"/>
          <w:b/>
          <w:i w:val="0"/>
          <w:szCs w:val="24"/>
        </w:rPr>
      </w:pPr>
      <w:r w:rsidRPr="0061414A">
        <w:rPr>
          <w:rFonts w:eastAsiaTheme="minorHAnsi"/>
        </w:rPr>
        <w:t>Ambivalent sexism.</w:t>
      </w:r>
      <w:r w:rsidRPr="00853258">
        <w:rPr>
          <w:rFonts w:cs="Times New Roman"/>
          <w:b/>
          <w:i w:val="0"/>
          <w:szCs w:val="24"/>
        </w:rPr>
        <w:t xml:space="preserve"> </w:t>
      </w:r>
      <w:r w:rsidRPr="00853258">
        <w:rPr>
          <w:rFonts w:cs="Times New Roman"/>
          <w:i w:val="0"/>
          <w:szCs w:val="24"/>
        </w:rPr>
        <w:t>Ambivalent sexism was measured by Glick and Fiske’s (1996) Ambivalent Sexism Inventory (ASI). This two-factored scale is comprised of 22 questions accessing both hostile and benevolent sexism, including: “Feminists are making entirely reasonable demands of men” (hostile – reverse coded) and “Men should be willing to sacrifice their own wellbeing in order to provide financially for the women in their lives” (benevolent). Participants answered on a 7-point Likert scale ranging from “strongly disagree” to “strongly agree”. The ASI achieved a Cronbach’s alpha level of .84 in the present study (compared to .90 in Glick &amp; Fiske, 1990).</w:t>
      </w:r>
      <w:r w:rsidRPr="00853258">
        <w:rPr>
          <w:rFonts w:cs="Times New Roman"/>
          <w:szCs w:val="24"/>
        </w:rPr>
        <w:t xml:space="preserve"> </w:t>
      </w:r>
    </w:p>
    <w:p w14:paraId="085A5838" w14:textId="47C62850" w:rsidR="0038435F" w:rsidRPr="00853258" w:rsidRDefault="0038435F" w:rsidP="0038435F">
      <w:pPr>
        <w:pStyle w:val="Heading3"/>
        <w:spacing w:before="0" w:after="0" w:line="480" w:lineRule="auto"/>
        <w:ind w:firstLine="709"/>
        <w:rPr>
          <w:rFonts w:cs="Times New Roman"/>
          <w:b/>
          <w:i w:val="0"/>
          <w:szCs w:val="24"/>
        </w:rPr>
      </w:pPr>
      <w:r w:rsidRPr="0061414A">
        <w:rPr>
          <w:rFonts w:eastAsiaTheme="minorHAnsi"/>
        </w:rPr>
        <w:t>Relationship between power and sex.</w:t>
      </w:r>
      <w:r w:rsidRPr="00853258">
        <w:rPr>
          <w:rFonts w:cs="Times New Roman"/>
          <w:b/>
          <w:i w:val="0"/>
          <w:szCs w:val="24"/>
        </w:rPr>
        <w:t xml:space="preserve"> </w:t>
      </w:r>
      <w:r w:rsidRPr="00853258">
        <w:rPr>
          <w:rFonts w:cs="Times New Roman"/>
          <w:i w:val="0"/>
          <w:szCs w:val="24"/>
        </w:rPr>
        <w:t xml:space="preserve">The explicit power-sex questionnaire (Chapleau &amp; Oswald, 2010) measured participant’s explicit associations between power and sex through the use of 11 questions, including: “During sex, one person is typically ‘in charge’ of the other” and “Having sex means gaining possession of someone else’s body”. Again, participants answered on a 7-point Likert scale ranging from “strongly disagree” to “strongly agree”. Reliability analysis by Chapleau and Oswald (2010) </w:t>
      </w:r>
      <w:r w:rsidR="00AC4962">
        <w:rPr>
          <w:rFonts w:cs="Times New Roman"/>
          <w:i w:val="0"/>
          <w:szCs w:val="24"/>
        </w:rPr>
        <w:t>generated</w:t>
      </w:r>
      <w:r w:rsidRPr="00853258">
        <w:rPr>
          <w:rFonts w:cs="Times New Roman"/>
          <w:i w:val="0"/>
          <w:szCs w:val="24"/>
        </w:rPr>
        <w:t xml:space="preserve"> a Cronbach’s alpha coefficient of .83; </w:t>
      </w:r>
      <w:r w:rsidR="00AC4962">
        <w:rPr>
          <w:rFonts w:cs="Times New Roman"/>
          <w:i w:val="0"/>
          <w:szCs w:val="24"/>
        </w:rPr>
        <w:t>with the</w:t>
      </w:r>
      <w:r w:rsidRPr="00853258">
        <w:rPr>
          <w:rFonts w:cs="Times New Roman"/>
          <w:i w:val="0"/>
          <w:szCs w:val="24"/>
        </w:rPr>
        <w:t xml:space="preserve"> present stu</w:t>
      </w:r>
      <w:r w:rsidR="00AC4962">
        <w:rPr>
          <w:rFonts w:cs="Times New Roman"/>
          <w:i w:val="0"/>
          <w:szCs w:val="24"/>
        </w:rPr>
        <w:t>dy generating a Cronbach’s alpha of</w:t>
      </w:r>
      <w:r w:rsidRPr="00853258">
        <w:rPr>
          <w:rFonts w:cs="Times New Roman"/>
          <w:i w:val="0"/>
          <w:szCs w:val="24"/>
        </w:rPr>
        <w:t xml:space="preserve"> .87. </w:t>
      </w:r>
    </w:p>
    <w:p w14:paraId="0CF71EA9" w14:textId="626D6585" w:rsidR="0038435F" w:rsidRPr="00853258" w:rsidRDefault="0038435F" w:rsidP="0038435F">
      <w:pPr>
        <w:pStyle w:val="Heading3"/>
        <w:spacing w:before="0" w:after="0" w:line="480" w:lineRule="auto"/>
        <w:ind w:firstLine="851"/>
        <w:rPr>
          <w:rFonts w:cs="Times New Roman"/>
          <w:b/>
          <w:i w:val="0"/>
          <w:szCs w:val="24"/>
        </w:rPr>
      </w:pPr>
      <w:r w:rsidRPr="0061414A">
        <w:rPr>
          <w:rFonts w:eastAsiaTheme="minorHAnsi"/>
        </w:rPr>
        <w:t>Rape myth acceptance.</w:t>
      </w:r>
      <w:r w:rsidRPr="00853258">
        <w:rPr>
          <w:rFonts w:cs="Times New Roman"/>
          <w:b/>
          <w:i w:val="0"/>
          <w:szCs w:val="24"/>
        </w:rPr>
        <w:t xml:space="preserve"> </w:t>
      </w:r>
      <w:r w:rsidRPr="00853258">
        <w:rPr>
          <w:rFonts w:cs="Times New Roman"/>
          <w:i w:val="0"/>
          <w:szCs w:val="24"/>
        </w:rPr>
        <w:t>The Acceptance of Modern Myths About Sexual Aggression (AMMSA) scale (Gerg</w:t>
      </w:r>
      <w:r w:rsidRPr="00853258">
        <w:rPr>
          <w:rFonts w:cs="Times New Roman"/>
          <w:i w:val="0"/>
          <w:szCs w:val="24"/>
        </w:rPr>
        <w:fldChar w:fldCharType="begin"/>
      </w:r>
      <w:r w:rsidRPr="00853258">
        <w:rPr>
          <w:rFonts w:cs="Times New Roman"/>
          <w:i w:val="0"/>
          <w:szCs w:val="24"/>
        </w:rPr>
        <w:instrText xml:space="preserve"> ADDIN EN.CITE &lt;EndNote&gt;&lt;Cite ExcludeAuth="1" ExcludeYear="1"&gt;&lt;Author&gt;Gerger&lt;/Author&gt;&lt;Year&gt;2007&lt;/Year&gt;&lt;RecNum&gt;586&lt;/RecNum&gt;&lt;record&gt;&lt;rec-number&gt;586&lt;/rec-number&gt;&lt;foreign-keys&gt;&lt;key app="EN" db-id="f5p9zd5zqsratqef5sv5pz2wpve092vrdw52"&gt;586&lt;/key&gt;&lt;/foreign-keys&gt;&lt;ref-type name="Journal Article"&gt;17&lt;/ref-type&gt;&lt;contributors&gt;&lt;authors&gt;&lt;author&gt;Gerger, H.&lt;/author&gt;&lt;author&gt;Kley, H.&lt;/author&gt;&lt;author&gt;Bohner, G.&lt;/author&gt;&lt;author&gt;Siebler, F.&lt;/author&gt;&lt;/authors&gt;&lt;/contributors&gt;&lt;titles&gt;&lt;title&gt;The Acceptance of Modern Rape Myths About Sexual Aggression (AMMSA) Scale: Development and validation in German and English&lt;/title&gt;&lt;secondary-title&gt;Aggressive Behaviour&lt;/secondary-title&gt;&lt;/titles&gt;&lt;periodical&gt;&lt;full-title&gt;Aggressive Behaviour&lt;/full-title&gt;&lt;/periodical&gt;&lt;pages&gt;422-440&lt;/pages&gt;&lt;volume&gt;33&lt;/volume&gt;&lt;dates&gt;&lt;year&gt;2007&lt;/year&gt;&lt;/dates&gt;&lt;urls&gt;&lt;/urls&gt;&lt;/record&gt;&lt;/Cite&gt;&lt;/EndNote&gt;</w:instrText>
      </w:r>
      <w:r w:rsidRPr="00853258">
        <w:rPr>
          <w:rFonts w:cs="Times New Roman"/>
          <w:i w:val="0"/>
          <w:szCs w:val="24"/>
        </w:rPr>
        <w:fldChar w:fldCharType="end"/>
      </w:r>
      <w:r w:rsidRPr="00853258">
        <w:rPr>
          <w:rFonts w:cs="Times New Roman"/>
          <w:i w:val="0"/>
          <w:szCs w:val="24"/>
        </w:rPr>
        <w:t xml:space="preserve">er et al., 2007) provided a measure of rape myth acceptance and acted as the outcome variable in this study. Participants answered 30 questions, using a Likert scale ranging from “strongly disagree” to “strongly agree”. Examples include “When it comes to sexual contacts, women expect men to take the lead” and “If a woman invites a man to her home for a cup of coffee after a night out this means that she wants to have sex”. This measure was selected as it overcomes </w:t>
      </w:r>
      <w:r w:rsidRPr="00853258">
        <w:rPr>
          <w:rFonts w:cs="Times New Roman"/>
          <w:i w:val="0"/>
          <w:szCs w:val="24"/>
        </w:rPr>
        <w:lastRenderedPageBreak/>
        <w:t xml:space="preserve">many of the pitfalls associated with historical measures of rape myth acceptance (e.g., Rape Myth Acceptance Scale - RMAS; Burt, 1980; Attitudes Towards Rape Scale – ATR; </w:t>
      </w:r>
      <w:r w:rsidR="00297EEE" w:rsidRPr="00853258">
        <w:rPr>
          <w:rFonts w:cs="Times New Roman"/>
          <w:i w:val="0"/>
          <w:szCs w:val="24"/>
        </w:rPr>
        <w:t>Field</w:t>
      </w:r>
      <w:r w:rsidRPr="00853258">
        <w:rPr>
          <w:rFonts w:cs="Times New Roman"/>
          <w:i w:val="0"/>
          <w:szCs w:val="24"/>
        </w:rPr>
        <w:t xml:space="preserve">, 1978; Illinois Rape Myth Acceptance Scale – IRMAS; Payne, Lonsway, &amp; Fitzgerald, 1999), including: improving on the length and complexity of items; avoiding the use of multiple concepts in individual items undermining reliability and validity; use of </w:t>
      </w:r>
      <w:proofErr w:type="spellStart"/>
      <w:r w:rsidRPr="00853258">
        <w:rPr>
          <w:rFonts w:cs="Times New Roman"/>
          <w:i w:val="0"/>
          <w:szCs w:val="24"/>
        </w:rPr>
        <w:t>valenced</w:t>
      </w:r>
      <w:proofErr w:type="spellEnd"/>
      <w:r w:rsidRPr="00853258">
        <w:rPr>
          <w:rFonts w:cs="Times New Roman"/>
          <w:i w:val="0"/>
          <w:szCs w:val="24"/>
        </w:rPr>
        <w:t xml:space="preserve"> questions and colloquial language; lack of floor effects and issues of skewness; and questions designed to address more modern conceptualisations of sexism and sexist beliefs (Bohner, </w:t>
      </w:r>
      <w:proofErr w:type="spellStart"/>
      <w:r w:rsidRPr="00853258">
        <w:rPr>
          <w:rFonts w:cs="Times New Roman"/>
          <w:i w:val="0"/>
          <w:szCs w:val="24"/>
        </w:rPr>
        <w:t>Eyssel</w:t>
      </w:r>
      <w:proofErr w:type="spellEnd"/>
      <w:r w:rsidRPr="00853258">
        <w:rPr>
          <w:rFonts w:cs="Times New Roman"/>
          <w:i w:val="0"/>
          <w:szCs w:val="24"/>
        </w:rPr>
        <w:t xml:space="preserve">, Pina, Siebler, &amp; Viki, 2009; Gerger et al., 2007; </w:t>
      </w:r>
      <w:proofErr w:type="spellStart"/>
      <w:r w:rsidRPr="00853258">
        <w:rPr>
          <w:rFonts w:cs="Times New Roman"/>
          <w:i w:val="0"/>
          <w:szCs w:val="24"/>
        </w:rPr>
        <w:t>Hinck</w:t>
      </w:r>
      <w:proofErr w:type="spellEnd"/>
      <w:r w:rsidRPr="00853258">
        <w:rPr>
          <w:rFonts w:cs="Times New Roman"/>
          <w:i w:val="0"/>
          <w:szCs w:val="24"/>
        </w:rPr>
        <w:t xml:space="preserve"> &amp; Thomas, 1999; Payne, Lonsway, &amp; Fitzgerald, 1999). The AMMSA achieves excellent reliability scores, with a Cronbach’s alpha level of .91 in the present study, in keeping with previous levels of .92 (Gerger et al., 2007).</w:t>
      </w:r>
      <w:r w:rsidRPr="00853258">
        <w:rPr>
          <w:rFonts w:cs="Times New Roman"/>
          <w:szCs w:val="24"/>
        </w:rPr>
        <w:t xml:space="preserve"> </w:t>
      </w:r>
    </w:p>
    <w:p w14:paraId="7F5FE35A" w14:textId="77777777" w:rsidR="0038435F" w:rsidRPr="00853258" w:rsidRDefault="0038435F" w:rsidP="00392106">
      <w:pPr>
        <w:pStyle w:val="Heading2"/>
      </w:pPr>
      <w:r w:rsidRPr="00853258">
        <w:t>Procedure</w:t>
      </w:r>
    </w:p>
    <w:p w14:paraId="1CA1E91C" w14:textId="77777777" w:rsidR="0038435F" w:rsidRPr="00853258" w:rsidRDefault="0038435F" w:rsidP="00895446">
      <w:pPr>
        <w:pStyle w:val="Paragraph"/>
      </w:pPr>
      <w:r w:rsidRPr="00904EB2">
        <w:t>Participants were recruited through a gatekeeper at the MPS training wing. The link to</w:t>
      </w:r>
      <w:r w:rsidRPr="00853258">
        <w:t xml:space="preserve"> the questionnaire battery was emailed to the professional email accounts of police officers in the MPS (approximately 33,600 in total) inviting them to take part in a study exploring ‘attitudes relating to sexual violence’. Officers were only able to complete the battery on an MPS computer, providing a semi-controlled environment for participants. Significant attrition and non-uptake was anticipated by both MPS collaborators and the research team, largely due to the operational time constraints experienced by officers. The final sample of 912 officers (approx. 2.7% of the population) consisted of those who completed the questionnaire battery in full.</w:t>
      </w:r>
    </w:p>
    <w:p w14:paraId="0A78A2EE" w14:textId="77777777" w:rsidR="0038435F" w:rsidRPr="00853258" w:rsidRDefault="0038435F" w:rsidP="0038435F">
      <w:pPr>
        <w:pStyle w:val="Newparagraph"/>
      </w:pPr>
      <w:r w:rsidRPr="00853258">
        <w:t xml:space="preserve">The online battery opened with a statement about the nature of the questions and purpose of the study and made participants aware of their right to withdraw at any time, without explanation. It was also made clear to participants that taking part was entirely </w:t>
      </w:r>
      <w:r w:rsidRPr="00853258">
        <w:lastRenderedPageBreak/>
        <w:t xml:space="preserve">voluntary, that data would not be available to any MPS personnel, participation or non-participation would not have any impact on their position or standing within MPS, and that results could not be traced or fed back to any other personnel within the organisation. Considering the sensitive nature of the study, it was strongly emphasised that results were completely anonymous and confidential and that only members of the research team had access to the data. If a participant then agreed to take part, they were presented with the randomised battery of questionnaires. Instructions accompanied each questionnaire. Upon completion, a debriefing screen was provided, including the contact details of the researchers. </w:t>
      </w:r>
    </w:p>
    <w:p w14:paraId="38BAC2B4" w14:textId="6B752996" w:rsidR="00E56C92" w:rsidRDefault="0038435F" w:rsidP="00C77400">
      <w:pPr>
        <w:pStyle w:val="Heading1"/>
      </w:pPr>
      <w:r w:rsidRPr="00D37687">
        <w:t>Results</w:t>
      </w:r>
    </w:p>
    <w:p w14:paraId="6C3456F8" w14:textId="77777777" w:rsidR="00536249" w:rsidRDefault="00C316D4" w:rsidP="00321F53">
      <w:pPr>
        <w:pStyle w:val="Paragraph"/>
        <w:rPr>
          <w:lang w:val="de-DE"/>
        </w:rPr>
      </w:pPr>
      <w:r>
        <w:rPr>
          <w:lang w:val="de-DE"/>
        </w:rPr>
        <w:t>Descriptive</w:t>
      </w:r>
      <w:r w:rsidR="00556F00" w:rsidRPr="00186122">
        <w:rPr>
          <w:lang w:val="de-DE"/>
        </w:rPr>
        <w:t xml:space="preserve"> statistics in table one suggest that </w:t>
      </w:r>
      <w:r w:rsidR="00186122" w:rsidRPr="00186122">
        <w:rPr>
          <w:lang w:val="de-DE"/>
        </w:rPr>
        <w:t xml:space="preserve">mean </w:t>
      </w:r>
      <w:r w:rsidR="00556F00" w:rsidRPr="00186122">
        <w:rPr>
          <w:lang w:val="de-DE"/>
        </w:rPr>
        <w:t>hostility toward women</w:t>
      </w:r>
      <w:r w:rsidR="00E916CD" w:rsidRPr="00186122">
        <w:rPr>
          <w:lang w:val="de-DE"/>
        </w:rPr>
        <w:t xml:space="preserve"> was not particularly high among this sample (</w:t>
      </w:r>
      <w:r w:rsidR="00536249" w:rsidRPr="00536249">
        <w:rPr>
          <w:lang w:val="de-DE"/>
        </w:rPr>
        <w:t>M</w:t>
      </w:r>
      <w:r w:rsidR="00536249">
        <w:rPr>
          <w:lang w:val="de-DE"/>
        </w:rPr>
        <w:t>=</w:t>
      </w:r>
      <w:r w:rsidR="00E916CD" w:rsidRPr="00536249">
        <w:rPr>
          <w:lang w:val="de-DE"/>
        </w:rPr>
        <w:t>2</w:t>
      </w:r>
      <w:r w:rsidR="00E916CD" w:rsidRPr="00186122">
        <w:rPr>
          <w:lang w:val="de-DE"/>
        </w:rPr>
        <w:t>.46)</w:t>
      </w:r>
      <w:r w:rsidR="00536249">
        <w:rPr>
          <w:lang w:val="de-DE"/>
        </w:rPr>
        <w:t xml:space="preserve"> given the 7-point scale</w:t>
      </w:r>
      <w:r w:rsidR="00E67161">
        <w:rPr>
          <w:lang w:val="de-DE"/>
        </w:rPr>
        <w:t>. Most previous studies have summed scores of HTW, generating different scoring so for purposes of comparison, this study generated a summed mean of 25.27. Compared to</w:t>
      </w:r>
      <w:r w:rsidR="004C7FEA">
        <w:rPr>
          <w:lang w:val="de-DE"/>
        </w:rPr>
        <w:t xml:space="preserve"> Forbes, C</w:t>
      </w:r>
      <w:r w:rsidR="00CB265B">
        <w:rPr>
          <w:lang w:val="de-DE"/>
        </w:rPr>
        <w:t>urtis, and White</w:t>
      </w:r>
      <w:r w:rsidR="004C7FEA">
        <w:rPr>
          <w:lang w:val="de-DE"/>
        </w:rPr>
        <w:t xml:space="preserve"> </w:t>
      </w:r>
      <w:r w:rsidR="00CB265B">
        <w:rPr>
          <w:lang w:val="de-DE"/>
        </w:rPr>
        <w:t>(2004</w:t>
      </w:r>
      <w:r w:rsidR="004C7FEA">
        <w:rPr>
          <w:lang w:val="de-DE"/>
        </w:rPr>
        <w:t xml:space="preserve">), whose study examined </w:t>
      </w:r>
      <w:r w:rsidR="00CB265B">
        <w:rPr>
          <w:lang w:val="de-DE"/>
        </w:rPr>
        <w:t>university-aged students</w:t>
      </w:r>
      <w:r w:rsidR="00536249">
        <w:rPr>
          <w:lang w:val="de-DE"/>
        </w:rPr>
        <w:t>,</w:t>
      </w:r>
      <w:r w:rsidR="00CB265B">
        <w:rPr>
          <w:lang w:val="de-DE"/>
        </w:rPr>
        <w:t xml:space="preserve"> generated mean scores of 33.09 for male and 30.81 for female participants.</w:t>
      </w:r>
      <w:r w:rsidR="00E67161">
        <w:rPr>
          <w:lang w:val="de-DE"/>
        </w:rPr>
        <w:t xml:space="preserve"> </w:t>
      </w:r>
    </w:p>
    <w:p w14:paraId="2F17D4E5" w14:textId="707CE8BC" w:rsidR="00536249" w:rsidRDefault="00556F00" w:rsidP="00321F53">
      <w:pPr>
        <w:pStyle w:val="Newparagraph"/>
        <w:rPr>
          <w:lang w:val="de-DE"/>
        </w:rPr>
      </w:pPr>
      <w:r>
        <w:rPr>
          <w:lang w:val="de-DE"/>
        </w:rPr>
        <w:t xml:space="preserve">Hostile ambivalent sexism generated a mean </w:t>
      </w:r>
      <w:r w:rsidR="00321F53">
        <w:rPr>
          <w:lang w:val="de-DE"/>
        </w:rPr>
        <w:t>of 2.6</w:t>
      </w:r>
      <w:r>
        <w:rPr>
          <w:lang w:val="de-DE"/>
        </w:rPr>
        <w:t>7 in the present sample, this value is roughly in line with the male participants assessed by Glick and Fiske’s</w:t>
      </w:r>
      <w:r w:rsidR="00DF41FB">
        <w:rPr>
          <w:lang w:val="de-DE"/>
        </w:rPr>
        <w:t xml:space="preserve"> </w:t>
      </w:r>
      <w:r>
        <w:rPr>
          <w:lang w:val="de-DE"/>
        </w:rPr>
        <w:t>(1996) original work (</w:t>
      </w:r>
      <w:r w:rsidRPr="00444650">
        <w:rPr>
          <w:i/>
          <w:lang w:val="de-DE"/>
        </w:rPr>
        <w:t>M</w:t>
      </w:r>
      <w:r>
        <w:rPr>
          <w:lang w:val="de-DE"/>
        </w:rPr>
        <w:t xml:space="preserve">=2.49), </w:t>
      </w:r>
      <w:r w:rsidRPr="00444650">
        <w:rPr>
          <w:lang w:val="de-DE"/>
        </w:rPr>
        <w:t>and</w:t>
      </w:r>
      <w:r>
        <w:rPr>
          <w:lang w:val="de-DE"/>
        </w:rPr>
        <w:t xml:space="preserve"> slightly higher than the female participants (</w:t>
      </w:r>
      <w:r>
        <w:rPr>
          <w:i/>
          <w:lang w:val="de-DE"/>
        </w:rPr>
        <w:t>M</w:t>
      </w:r>
      <w:r>
        <w:rPr>
          <w:lang w:val="de-DE"/>
        </w:rPr>
        <w:t>=1.49). Using the same 22-item scale, benevolent ambivalent sexism demonstrated a slightly different pattern, with the present study (</w:t>
      </w:r>
      <w:r>
        <w:rPr>
          <w:i/>
          <w:lang w:val="de-DE"/>
        </w:rPr>
        <w:t>M</w:t>
      </w:r>
      <w:r>
        <w:rPr>
          <w:lang w:val="de-DE"/>
        </w:rPr>
        <w:t>=2.96) being slightly higher on average than the equivalent male participant mean in the original work (</w:t>
      </w:r>
      <w:r>
        <w:rPr>
          <w:i/>
          <w:lang w:val="de-DE"/>
        </w:rPr>
        <w:t>M</w:t>
      </w:r>
      <w:r>
        <w:rPr>
          <w:lang w:val="de-DE"/>
        </w:rPr>
        <w:t>=2.58) and higher still than the female sample (</w:t>
      </w:r>
      <w:r>
        <w:rPr>
          <w:i/>
          <w:lang w:val="de-DE"/>
        </w:rPr>
        <w:t>M=</w:t>
      </w:r>
      <w:r>
        <w:rPr>
          <w:lang w:val="de-DE"/>
        </w:rPr>
        <w:t xml:space="preserve">2.21). </w:t>
      </w:r>
    </w:p>
    <w:p w14:paraId="751B317D" w14:textId="03E485ED" w:rsidR="00E56C92" w:rsidRPr="00E67161" w:rsidRDefault="00556F00" w:rsidP="00321F53">
      <w:pPr>
        <w:pStyle w:val="Newparagraph"/>
        <w:rPr>
          <w:lang w:val="de-DE"/>
        </w:rPr>
      </w:pPr>
      <w:r>
        <w:rPr>
          <w:lang w:val="de-DE"/>
        </w:rPr>
        <w:t>Finally, in assessing the association between power and sex, the present sample (</w:t>
      </w:r>
      <w:r>
        <w:rPr>
          <w:i/>
          <w:lang w:val="de-DE"/>
        </w:rPr>
        <w:t>M=</w:t>
      </w:r>
      <w:r>
        <w:rPr>
          <w:lang w:val="de-DE"/>
        </w:rPr>
        <w:t xml:space="preserve">1.33) was </w:t>
      </w:r>
      <w:r w:rsidR="00321F53">
        <w:rPr>
          <w:lang w:val="de-DE"/>
        </w:rPr>
        <w:t>roughly in line with</w:t>
      </w:r>
      <w:r>
        <w:rPr>
          <w:lang w:val="de-DE"/>
        </w:rPr>
        <w:t xml:space="preserve"> that found by Chapleau and Oswald (2010) (</w:t>
      </w:r>
      <w:r>
        <w:rPr>
          <w:i/>
          <w:lang w:val="de-DE"/>
        </w:rPr>
        <w:t>M</w:t>
      </w:r>
      <w:r>
        <w:rPr>
          <w:lang w:val="de-DE"/>
        </w:rPr>
        <w:t>=1.53).</w:t>
      </w:r>
    </w:p>
    <w:p w14:paraId="6739B1CF" w14:textId="77777777" w:rsidR="00556F00" w:rsidRDefault="00556F00" w:rsidP="00C77400">
      <w:pPr>
        <w:pStyle w:val="Newparagraph"/>
        <w:jc w:val="center"/>
      </w:pPr>
    </w:p>
    <w:p w14:paraId="61B3103B" w14:textId="2F468DC9" w:rsidR="00E56C92" w:rsidRDefault="00E56C92" w:rsidP="00C77400">
      <w:pPr>
        <w:pStyle w:val="Newparagraph"/>
        <w:jc w:val="center"/>
      </w:pPr>
      <w:bookmarkStart w:id="0" w:name="_GoBack"/>
      <w:r>
        <w:t>INSERT TABLE 1 ABOUT HERE</w:t>
      </w:r>
    </w:p>
    <w:bookmarkEnd w:id="0"/>
    <w:p w14:paraId="0352A459" w14:textId="77777777" w:rsidR="00E56C92" w:rsidRDefault="00E56C92" w:rsidP="00C77400">
      <w:pPr>
        <w:pStyle w:val="Newparagraph"/>
      </w:pPr>
    </w:p>
    <w:p w14:paraId="2A239A53" w14:textId="6C09F300" w:rsidR="0054659E" w:rsidRPr="002D169E" w:rsidRDefault="0054659E" w:rsidP="00C77400">
      <w:pPr>
        <w:pStyle w:val="Newparagraph"/>
      </w:pPr>
      <w:r>
        <w:t>Encouragingly, the mean AMMSA score for participants (</w:t>
      </w:r>
      <w:r>
        <w:rPr>
          <w:i/>
        </w:rPr>
        <w:t>M</w:t>
      </w:r>
      <w:r>
        <w:t xml:space="preserve"> = 2.7) was considerably lower than the reported mean among English participants in the original English validation study (</w:t>
      </w:r>
      <w:r>
        <w:rPr>
          <w:i/>
        </w:rPr>
        <w:t>M</w:t>
      </w:r>
      <w:r>
        <w:t xml:space="preserve"> = 3.60) (Gerger et al., 2007). Further examination of the outcome variable by item, noted in table 2, demonstrates that some specific items within the scale generated higher scores than this overall average</w:t>
      </w:r>
      <w:r w:rsidR="00465F87">
        <w:t>, s</w:t>
      </w:r>
      <w:r>
        <w:t xml:space="preserve">pecifically, those items which scored a mean of greater than 3 include: </w:t>
      </w:r>
      <w:r>
        <w:rPr>
          <w:i/>
        </w:rPr>
        <w:t xml:space="preserve">when it comes to sexual contacts, women usually expect men to take the lead </w:t>
      </w:r>
      <w:r>
        <w:t>(</w:t>
      </w:r>
      <w:r>
        <w:rPr>
          <w:i/>
        </w:rPr>
        <w:t>M=</w:t>
      </w:r>
      <w:r>
        <w:t xml:space="preserve">3.2); </w:t>
      </w:r>
      <w:r w:rsidRPr="00C648A8">
        <w:rPr>
          <w:i/>
          <w:lang w:val="de-DE"/>
        </w:rPr>
        <w:t>It is a biological necessity for men to release sexual pressure from time to time</w:t>
      </w:r>
      <w:r w:rsidRPr="00C648A8">
        <w:rPr>
          <w:i/>
        </w:rPr>
        <w:t xml:space="preserve"> </w:t>
      </w:r>
      <w:r>
        <w:t>(</w:t>
      </w:r>
      <w:r>
        <w:rPr>
          <w:i/>
        </w:rPr>
        <w:t>M=</w:t>
      </w:r>
      <w:r>
        <w:t xml:space="preserve">3.02); </w:t>
      </w:r>
      <w:r w:rsidRPr="00C648A8">
        <w:rPr>
          <w:i/>
        </w:rPr>
        <w:t>after a rape, women nowadays receive ample support</w:t>
      </w:r>
      <w:r>
        <w:t xml:space="preserve"> (</w:t>
      </w:r>
      <w:r>
        <w:rPr>
          <w:i/>
        </w:rPr>
        <w:t>M=</w:t>
      </w:r>
      <w:r>
        <w:t xml:space="preserve">3.72); </w:t>
      </w:r>
      <w:r w:rsidRPr="00C648A8">
        <w:rPr>
          <w:i/>
        </w:rPr>
        <w:t>As long as they don't go too far, suggestive remarks and allusions simply tell a woman that she i</w:t>
      </w:r>
      <w:r>
        <w:rPr>
          <w:i/>
        </w:rPr>
        <w:t xml:space="preserve">s attractive </w:t>
      </w:r>
      <w:r>
        <w:t>(</w:t>
      </w:r>
      <w:r>
        <w:rPr>
          <w:i/>
        </w:rPr>
        <w:t>M=</w:t>
      </w:r>
      <w:r>
        <w:t xml:space="preserve">3.11); </w:t>
      </w:r>
      <w:r w:rsidRPr="00C648A8">
        <w:rPr>
          <w:i/>
        </w:rPr>
        <w:t>When a man urges his female partner to have sex, this cannot be called rape</w:t>
      </w:r>
      <w:r>
        <w:rPr>
          <w:i/>
        </w:rPr>
        <w:t xml:space="preserve"> </w:t>
      </w:r>
      <w:r>
        <w:t>(</w:t>
      </w:r>
      <w:r>
        <w:rPr>
          <w:i/>
        </w:rPr>
        <w:t>M=</w:t>
      </w:r>
      <w:r>
        <w:t xml:space="preserve">3.07); </w:t>
      </w:r>
      <w:r w:rsidRPr="00C648A8">
        <w:rPr>
          <w:i/>
        </w:rPr>
        <w:t xml:space="preserve">When politicians deal with the topic of rape, they do so </w:t>
      </w:r>
      <w:r w:rsidRPr="00C648A8">
        <w:rPr>
          <w:i/>
          <w:lang w:val="de-DE"/>
        </w:rPr>
        <w:t>mainly because this topic is likely to attract the attention of the media</w:t>
      </w:r>
      <w:r>
        <w:rPr>
          <w:lang w:val="de-DE"/>
        </w:rPr>
        <w:t xml:space="preserve"> (</w:t>
      </w:r>
      <w:r>
        <w:rPr>
          <w:i/>
        </w:rPr>
        <w:t>M=</w:t>
      </w:r>
      <w:r>
        <w:rPr>
          <w:lang w:val="de-DE"/>
        </w:rPr>
        <w:t xml:space="preserve">4.36); </w:t>
      </w:r>
      <w:r w:rsidRPr="00C648A8">
        <w:rPr>
          <w:i/>
          <w:lang w:val="de-DE"/>
        </w:rPr>
        <w:t>The discussion about sexual harassment on the job has mainly resulted in many a harmless behaviour</w:t>
      </w:r>
      <w:r>
        <w:rPr>
          <w:i/>
          <w:lang w:val="de-DE"/>
        </w:rPr>
        <w:t xml:space="preserve"> </w:t>
      </w:r>
      <w:r w:rsidRPr="00C648A8">
        <w:rPr>
          <w:i/>
          <w:lang w:val="de-DE"/>
        </w:rPr>
        <w:t>being misinterpreted as harassment</w:t>
      </w:r>
      <w:r>
        <w:rPr>
          <w:i/>
          <w:lang w:val="de-DE"/>
        </w:rPr>
        <w:t xml:space="preserve"> </w:t>
      </w:r>
      <w:r>
        <w:rPr>
          <w:lang w:val="de-DE"/>
        </w:rPr>
        <w:t>(</w:t>
      </w:r>
      <w:r>
        <w:rPr>
          <w:i/>
        </w:rPr>
        <w:t>M=</w:t>
      </w:r>
      <w:r>
        <w:rPr>
          <w:lang w:val="de-DE"/>
        </w:rPr>
        <w:t xml:space="preserve">3.18); </w:t>
      </w:r>
      <w:r w:rsidRPr="00C648A8">
        <w:rPr>
          <w:i/>
        </w:rPr>
        <w:t>Although the victims of armed robbery have to fear for their lives, they receive far less psychological support than do rape victims</w:t>
      </w:r>
      <w:r>
        <w:rPr>
          <w:i/>
        </w:rPr>
        <w:t xml:space="preserve"> </w:t>
      </w:r>
      <w:r>
        <w:t>(</w:t>
      </w:r>
      <w:r>
        <w:rPr>
          <w:i/>
        </w:rPr>
        <w:t>M=</w:t>
      </w:r>
      <w:r>
        <w:t xml:space="preserve">4.16); </w:t>
      </w:r>
      <w:r w:rsidRPr="00C648A8">
        <w:rPr>
          <w:i/>
          <w:lang w:val="de-DE"/>
        </w:rPr>
        <w:t>Nowadays, the victims of sexual violence receive sufficient help in the form of women’s shelters, therapy offers, and support groups</w:t>
      </w:r>
      <w:r>
        <w:rPr>
          <w:i/>
          <w:lang w:val="de-DE"/>
        </w:rPr>
        <w:t xml:space="preserve"> </w:t>
      </w:r>
      <w:r>
        <w:rPr>
          <w:lang w:val="de-DE"/>
        </w:rPr>
        <w:t>(</w:t>
      </w:r>
      <w:r>
        <w:rPr>
          <w:i/>
        </w:rPr>
        <w:t>M=</w:t>
      </w:r>
      <w:r>
        <w:rPr>
          <w:lang w:val="de-DE"/>
        </w:rPr>
        <w:t>3.86).</w:t>
      </w:r>
    </w:p>
    <w:p w14:paraId="32E42BF5" w14:textId="406E99C3" w:rsidR="0054659E" w:rsidRDefault="0054659E" w:rsidP="0054659E">
      <w:pPr>
        <w:pStyle w:val="Newparagraph"/>
        <w:ind w:firstLine="0"/>
        <w:rPr>
          <w:lang w:val="de-DE"/>
        </w:rPr>
      </w:pPr>
      <w:r>
        <w:rPr>
          <w:lang w:val="de-DE"/>
        </w:rPr>
        <w:tab/>
        <w:t xml:space="preserve">Contrastingly, the following items generated mean scores of lower than 2: </w:t>
      </w:r>
      <w:r w:rsidRPr="00C648A8">
        <w:rPr>
          <w:i/>
          <w:lang w:val="de-DE"/>
        </w:rPr>
        <w:t>Once a man and a woman have started "making out", a woman's misgivings against sex will automatically disappear</w:t>
      </w:r>
      <w:r>
        <w:rPr>
          <w:i/>
          <w:lang w:val="de-DE"/>
        </w:rPr>
        <w:t xml:space="preserve"> </w:t>
      </w:r>
      <w:r>
        <w:rPr>
          <w:lang w:val="de-DE"/>
        </w:rPr>
        <w:t>(</w:t>
      </w:r>
      <w:r>
        <w:rPr>
          <w:i/>
        </w:rPr>
        <w:t>M=</w:t>
      </w:r>
      <w:r>
        <w:rPr>
          <w:lang w:val="de-DE"/>
        </w:rPr>
        <w:t xml:space="preserve">1.6); </w:t>
      </w:r>
      <w:r w:rsidRPr="00C648A8">
        <w:rPr>
          <w:i/>
        </w:rPr>
        <w:t>If a woman invites a man to her home for a cup of coffee after a night out this means that she wants to have sex</w:t>
      </w:r>
      <w:r>
        <w:rPr>
          <w:i/>
        </w:rPr>
        <w:t xml:space="preserve"> </w:t>
      </w:r>
      <w:r>
        <w:t>(</w:t>
      </w:r>
      <w:r>
        <w:rPr>
          <w:i/>
        </w:rPr>
        <w:t>M=</w:t>
      </w:r>
      <w:r>
        <w:t xml:space="preserve">1.95); </w:t>
      </w:r>
      <w:r w:rsidRPr="00C648A8">
        <w:rPr>
          <w:i/>
        </w:rPr>
        <w:t>Any woman who is careless enough to walk through “dark alleys” at night is partly to be blamed if she is raped</w:t>
      </w:r>
      <w:r>
        <w:t xml:space="preserve"> </w:t>
      </w:r>
      <w:r>
        <w:lastRenderedPageBreak/>
        <w:t>(</w:t>
      </w:r>
      <w:r>
        <w:rPr>
          <w:i/>
        </w:rPr>
        <w:t>M=</w:t>
      </w:r>
      <w:r>
        <w:t>1.43);</w:t>
      </w:r>
      <w:r w:rsidRPr="00F9425A">
        <w:rPr>
          <w:i/>
          <w:lang w:val="de-DE"/>
        </w:rPr>
        <w:t xml:space="preserve"> </w:t>
      </w:r>
      <w:r w:rsidRPr="00C648A8">
        <w:rPr>
          <w:i/>
          <w:lang w:val="de-DE"/>
        </w:rPr>
        <w:t>When a woman starts a relationship with a man, she must be aware that the man will assert his right to have sex</w:t>
      </w:r>
      <w:r>
        <w:rPr>
          <w:i/>
          <w:lang w:val="de-DE"/>
        </w:rPr>
        <w:t xml:space="preserve"> </w:t>
      </w:r>
      <w:r>
        <w:rPr>
          <w:lang w:val="de-DE"/>
        </w:rPr>
        <w:t>(</w:t>
      </w:r>
      <w:r>
        <w:rPr>
          <w:i/>
        </w:rPr>
        <w:t>M=</w:t>
      </w:r>
      <w:r>
        <w:rPr>
          <w:lang w:val="de-DE"/>
        </w:rPr>
        <w:t xml:space="preserve">1.61); </w:t>
      </w:r>
      <w:r w:rsidRPr="00C648A8">
        <w:rPr>
          <w:i/>
          <w:lang w:val="de-DE"/>
        </w:rPr>
        <w:t>When defining "marital rape", there is no clear-cut distinction between normal conjugal intercourse and rape</w:t>
      </w:r>
      <w:r>
        <w:rPr>
          <w:i/>
          <w:lang w:val="de-DE"/>
        </w:rPr>
        <w:t xml:space="preserve"> </w:t>
      </w:r>
      <w:r>
        <w:rPr>
          <w:lang w:val="de-DE"/>
        </w:rPr>
        <w:t>(</w:t>
      </w:r>
      <w:r>
        <w:rPr>
          <w:i/>
        </w:rPr>
        <w:t>M=</w:t>
      </w:r>
      <w:r>
        <w:rPr>
          <w:lang w:val="de-DE"/>
        </w:rPr>
        <w:t xml:space="preserve">1.87); </w:t>
      </w:r>
      <w:r w:rsidRPr="00C648A8">
        <w:rPr>
          <w:i/>
          <w:lang w:val="de-DE"/>
        </w:rPr>
        <w:t>Instead of worrying about alleged victims of sexual violence society should rather attend to more urgent problems, such as environmental destruction</w:t>
      </w:r>
      <w:r>
        <w:rPr>
          <w:i/>
          <w:lang w:val="de-DE"/>
        </w:rPr>
        <w:t xml:space="preserve"> </w:t>
      </w:r>
      <w:r>
        <w:rPr>
          <w:lang w:val="de-DE"/>
        </w:rPr>
        <w:t>(</w:t>
      </w:r>
      <w:r>
        <w:rPr>
          <w:i/>
        </w:rPr>
        <w:t>M=</w:t>
      </w:r>
      <w:r w:rsidR="00536249">
        <w:rPr>
          <w:lang w:val="de-DE"/>
        </w:rPr>
        <w:t>1.6).</w:t>
      </w:r>
    </w:p>
    <w:p w14:paraId="4F0EA685" w14:textId="00172140" w:rsidR="0054659E" w:rsidRDefault="0054659E" w:rsidP="0054659E">
      <w:pPr>
        <w:pStyle w:val="Newparagraph"/>
        <w:ind w:firstLine="0"/>
        <w:rPr>
          <w:lang w:val="de-DE"/>
        </w:rPr>
      </w:pPr>
    </w:p>
    <w:p w14:paraId="12633B11" w14:textId="67D7C16B" w:rsidR="0054659E" w:rsidRDefault="0054659E" w:rsidP="00C77400">
      <w:pPr>
        <w:pStyle w:val="Newparagraph"/>
        <w:ind w:firstLine="0"/>
        <w:jc w:val="center"/>
        <w:rPr>
          <w:lang w:val="de-DE"/>
        </w:rPr>
      </w:pPr>
      <w:r>
        <w:rPr>
          <w:lang w:val="de-DE"/>
        </w:rPr>
        <w:t>INSERT TABLE 2 ABOUT HERE</w:t>
      </w:r>
    </w:p>
    <w:p w14:paraId="451B51F8" w14:textId="571F539E" w:rsidR="0054659E" w:rsidRPr="00B667E4" w:rsidRDefault="006A7790" w:rsidP="0061414A">
      <w:pPr>
        <w:pStyle w:val="Paragraph"/>
        <w:rPr>
          <w:b/>
          <w:i/>
        </w:rPr>
      </w:pPr>
      <w:r>
        <w:rPr>
          <w:b/>
          <w:i/>
        </w:rPr>
        <w:t>Hierarchical Regression Analyses</w:t>
      </w:r>
    </w:p>
    <w:p w14:paraId="4DCDFBC9" w14:textId="7C15E7B3" w:rsidR="0038435F" w:rsidRDefault="0038435F" w:rsidP="0061414A">
      <w:pPr>
        <w:pStyle w:val="Paragraph"/>
      </w:pPr>
      <w:r w:rsidRPr="001F6921">
        <w:t>Data for each questionnaire was assessed for normality, skewness, and kurtosis and prior to</w:t>
      </w:r>
      <w:r w:rsidRPr="00853258">
        <w:t xml:space="preserve"> analyses, appropriate assumptions were assessed. Firstly, the size and random nature of the sample assured the independence of residual scores. Furthermore, </w:t>
      </w:r>
      <w:r w:rsidR="00730435">
        <w:t xml:space="preserve">the </w:t>
      </w:r>
      <w:proofErr w:type="spellStart"/>
      <w:r w:rsidRPr="00853258">
        <w:t>Mahalanobis</w:t>
      </w:r>
      <w:proofErr w:type="spellEnd"/>
      <w:r w:rsidRPr="00853258">
        <w:t>, Cook’s, and leverage distances were examined to identify multivariate outlier cases within the sample, highlighting no causes for adjustment. This generated a sample of 912 officers, providing substantial statistical power given the scope of this model (</w:t>
      </w:r>
      <w:proofErr w:type="spellStart"/>
      <w:r w:rsidRPr="00853258">
        <w:t>Tabachnick</w:t>
      </w:r>
      <w:proofErr w:type="spellEnd"/>
      <w:r w:rsidRPr="00853258">
        <w:t xml:space="preserve"> &amp; Fidel, 2001). The assumption of singularity was also met, highlighting that the explanatory variables did not exhibit perfect correlations and whilst there was some evidence of correlation across the independent variables (correlation coeff</w:t>
      </w:r>
      <w:r w:rsidR="00536249">
        <w:t>icients are provided in Table. 3</w:t>
      </w:r>
      <w:r w:rsidRPr="00853258">
        <w:t xml:space="preserve">), none were high and collinearity diagnostics were all within accepted limits (Hair, Black, </w:t>
      </w:r>
      <w:proofErr w:type="spellStart"/>
      <w:r w:rsidRPr="00853258">
        <w:t>Babin</w:t>
      </w:r>
      <w:proofErr w:type="spellEnd"/>
      <w:r w:rsidRPr="00853258">
        <w:t>, &amp; Anderson, 2010). Residual output and scatter plots indicated the assumptions of normality, linearity, and homoscedasticity had also been met (Hair et al., 2010).</w:t>
      </w:r>
    </w:p>
    <w:p w14:paraId="31AD3D87" w14:textId="3427D57C" w:rsidR="00165C37" w:rsidRDefault="00165C37" w:rsidP="00586123">
      <w:pPr>
        <w:pStyle w:val="Newparagraph"/>
        <w:ind w:firstLine="0"/>
        <w:rPr>
          <w:lang w:val="de-DE"/>
        </w:rPr>
      </w:pPr>
    </w:p>
    <w:p w14:paraId="63732AED" w14:textId="4494B355" w:rsidR="00165C37" w:rsidRDefault="00165C37" w:rsidP="00586123">
      <w:pPr>
        <w:pStyle w:val="Newparagraph"/>
        <w:ind w:firstLine="0"/>
        <w:jc w:val="center"/>
        <w:rPr>
          <w:lang w:val="de-DE"/>
        </w:rPr>
      </w:pPr>
      <w:r>
        <w:rPr>
          <w:lang w:val="de-DE"/>
        </w:rPr>
        <w:t>INSERT TAB</w:t>
      </w:r>
      <w:r w:rsidR="0054659E">
        <w:rPr>
          <w:lang w:val="de-DE"/>
        </w:rPr>
        <w:t>LE 3</w:t>
      </w:r>
      <w:r>
        <w:rPr>
          <w:lang w:val="de-DE"/>
        </w:rPr>
        <w:t xml:space="preserve"> ABOUT HERE</w:t>
      </w:r>
    </w:p>
    <w:p w14:paraId="1D1813AE" w14:textId="77777777" w:rsidR="00165C37" w:rsidRPr="00F9425A" w:rsidRDefault="00165C37" w:rsidP="00586123">
      <w:pPr>
        <w:pStyle w:val="Newparagraph"/>
        <w:ind w:firstLine="0"/>
      </w:pPr>
    </w:p>
    <w:p w14:paraId="72412289" w14:textId="74077D49" w:rsidR="0038435F" w:rsidRDefault="0038435F" w:rsidP="0038435F">
      <w:pPr>
        <w:pStyle w:val="Newparagraph"/>
      </w:pPr>
      <w:r w:rsidRPr="00853258">
        <w:lastRenderedPageBreak/>
        <w:t xml:space="preserve">A </w:t>
      </w:r>
      <w:r w:rsidR="00637BC8" w:rsidRPr="00853258">
        <w:t>hierarchical</w:t>
      </w:r>
      <w:r w:rsidR="00637BC8">
        <w:t xml:space="preserve"> </w:t>
      </w:r>
      <w:r w:rsidR="00637BC8" w:rsidRPr="00853258">
        <w:t>multiple</w:t>
      </w:r>
      <w:r w:rsidRPr="00853258">
        <w:t xml:space="preserve"> regression was conducted to examine the contributions of the predictor variables on the outcome. The demographic </w:t>
      </w:r>
      <w:r w:rsidR="00DF41FB">
        <w:t>predictor variables: gender</w:t>
      </w:r>
      <w:r w:rsidRPr="00853258">
        <w:t>, officer age, years of service, and officer training, were entered in the first block of the regression as control variables. Some of these categorical variables were dichotomised (i.e., each had a single reference category, gender = 1 – male, and training = 0 non-SOIT trained), and further preparation of dummy variables was not necessary. Attitudinal predictor variables: hostility towards women, ambivalent sexism (hostile), ambivalent sexism (benevolent), and the relationship between power and sex, were entered in the second block. The factors entered into block one were therefore fixed, non-malleable constructs, while those entered in block two represented broader attitudinal constructs which may be subject to variation and change (e.g., through training and intervention). Regression st</w:t>
      </w:r>
      <w:r w:rsidR="00536249">
        <w:t>atistics are reported in Table 4</w:t>
      </w:r>
      <w:r w:rsidRPr="00853258">
        <w:t xml:space="preserve">. </w:t>
      </w:r>
    </w:p>
    <w:p w14:paraId="0757799B" w14:textId="41E0E5B5" w:rsidR="0054659E" w:rsidRDefault="0054659E" w:rsidP="0038435F">
      <w:pPr>
        <w:pStyle w:val="Newparagraph"/>
      </w:pPr>
    </w:p>
    <w:p w14:paraId="0486236E" w14:textId="6FBFDF90" w:rsidR="0054659E" w:rsidRDefault="0054659E" w:rsidP="0054659E">
      <w:pPr>
        <w:pStyle w:val="Newparagraph"/>
        <w:ind w:firstLine="0"/>
        <w:jc w:val="center"/>
      </w:pPr>
      <w:r>
        <w:t>INSERT TABLE 4 ABOUT HERE</w:t>
      </w:r>
    </w:p>
    <w:p w14:paraId="6BD925A5" w14:textId="77777777" w:rsidR="0054659E" w:rsidRPr="00853258" w:rsidRDefault="0054659E" w:rsidP="0038435F">
      <w:pPr>
        <w:pStyle w:val="Newparagraph"/>
      </w:pPr>
    </w:p>
    <w:p w14:paraId="47D6DDC7" w14:textId="3029A253" w:rsidR="0038435F" w:rsidRPr="00853258" w:rsidRDefault="0038435F" w:rsidP="0038435F">
      <w:pPr>
        <w:pStyle w:val="Newparagraph"/>
      </w:pPr>
      <w:r w:rsidRPr="00853258">
        <w:t xml:space="preserve">Analyses revealed a significant contribution to the explained variance by the first block of variables within the model, </w:t>
      </w:r>
      <w:r w:rsidRPr="00853258">
        <w:rPr>
          <w:i/>
        </w:rPr>
        <w:t>R</w:t>
      </w:r>
      <w:r w:rsidRPr="00684229">
        <w:rPr>
          <w:vertAlign w:val="superscript"/>
        </w:rPr>
        <w:t>2</w:t>
      </w:r>
      <w:r w:rsidRPr="00853258">
        <w:t>,</w:t>
      </w:r>
      <w:r w:rsidRPr="00853258">
        <w:rPr>
          <w:i/>
        </w:rPr>
        <w:t xml:space="preserve"> </w:t>
      </w:r>
      <w:proofErr w:type="gramStart"/>
      <w:r w:rsidRPr="00853258">
        <w:rPr>
          <w:i/>
        </w:rPr>
        <w:t>F</w:t>
      </w:r>
      <w:r w:rsidRPr="00853258">
        <w:t>(</w:t>
      </w:r>
      <w:proofErr w:type="gramEnd"/>
      <w:r w:rsidR="002C585A">
        <w:t>4</w:t>
      </w:r>
      <w:r w:rsidRPr="00853258">
        <w:t>, 90</w:t>
      </w:r>
      <w:r w:rsidR="002C585A">
        <w:t>7</w:t>
      </w:r>
      <w:r w:rsidRPr="00853258">
        <w:t xml:space="preserve">) = </w:t>
      </w:r>
      <w:r w:rsidR="002C585A">
        <w:t>5</w:t>
      </w:r>
      <w:r w:rsidRPr="00853258">
        <w:t>.</w:t>
      </w:r>
      <w:r w:rsidR="00536249">
        <w:t>53</w:t>
      </w:r>
      <w:r w:rsidRPr="00853258">
        <w:t xml:space="preserve">, </w:t>
      </w:r>
      <w:r w:rsidRPr="00853258">
        <w:rPr>
          <w:i/>
        </w:rPr>
        <w:t xml:space="preserve">p </w:t>
      </w:r>
      <w:r w:rsidRPr="00853258">
        <w:t>&lt; .001, accounting for 2% of the variance in AMMSA. Examination of individual variable contributions in block one reveals</w:t>
      </w:r>
      <w:r w:rsidR="00DF41FB">
        <w:rPr>
          <w:color w:val="000000"/>
        </w:rPr>
        <w:t xml:space="preserve"> that both officer gender</w:t>
      </w:r>
      <w:r w:rsidRPr="00853258">
        <w:rPr>
          <w:color w:val="000000"/>
        </w:rPr>
        <w:t xml:space="preserve"> </w:t>
      </w:r>
      <w:r w:rsidRPr="00637BC8">
        <w:rPr>
          <w:color w:val="000000"/>
        </w:rPr>
        <w:t>(</w:t>
      </w:r>
      <w:r w:rsidR="00320E29">
        <w:rPr>
          <w:i/>
        </w:rPr>
        <w:t>B</w:t>
      </w:r>
      <w:r w:rsidRPr="00853258">
        <w:t xml:space="preserve"> = -.</w:t>
      </w:r>
      <w:r w:rsidR="00320E29">
        <w:t>21</w:t>
      </w:r>
      <w:r w:rsidRPr="00853258">
        <w:t xml:space="preserve">, </w:t>
      </w:r>
      <w:proofErr w:type="gramStart"/>
      <w:r w:rsidRPr="00853258">
        <w:rPr>
          <w:i/>
        </w:rPr>
        <w:t>t</w:t>
      </w:r>
      <w:r w:rsidRPr="00853258">
        <w:t>(</w:t>
      </w:r>
      <w:proofErr w:type="gramEnd"/>
      <w:r w:rsidRPr="00853258">
        <w:t xml:space="preserve">908) = </w:t>
      </w:r>
      <w:r w:rsidR="00320E29">
        <w:t>-</w:t>
      </w:r>
      <w:r w:rsidR="00536249">
        <w:t>3.88</w:t>
      </w:r>
      <w:r w:rsidRPr="00853258">
        <w:t xml:space="preserve">, </w:t>
      </w:r>
      <w:r w:rsidRPr="00853258">
        <w:rPr>
          <w:i/>
        </w:rPr>
        <w:t>p</w:t>
      </w:r>
      <w:r w:rsidRPr="00853258">
        <w:t xml:space="preserve"> &lt; .001) and officer</w:t>
      </w:r>
      <w:r w:rsidR="00DF41FB">
        <w:t xml:space="preserve"> specialist </w:t>
      </w:r>
      <w:r w:rsidRPr="00853258">
        <w:t xml:space="preserve">training </w:t>
      </w:r>
      <w:r w:rsidRPr="00637BC8">
        <w:rPr>
          <w:color w:val="000000"/>
        </w:rPr>
        <w:t>(</w:t>
      </w:r>
      <w:r w:rsidR="00320E29">
        <w:rPr>
          <w:i/>
        </w:rPr>
        <w:t>B</w:t>
      </w:r>
      <w:r w:rsidRPr="00853258">
        <w:t xml:space="preserve"> = .</w:t>
      </w:r>
      <w:r w:rsidR="004A28A1">
        <w:t>2</w:t>
      </w:r>
      <w:r w:rsidR="002C5103">
        <w:t>1</w:t>
      </w:r>
      <w:r w:rsidRPr="00853258">
        <w:t xml:space="preserve">, </w:t>
      </w:r>
      <w:r w:rsidRPr="00853258">
        <w:rPr>
          <w:i/>
        </w:rPr>
        <w:t>t</w:t>
      </w:r>
      <w:r w:rsidR="00684229">
        <w:t>(908) = 2.62</w:t>
      </w:r>
      <w:r w:rsidRPr="00853258">
        <w:t xml:space="preserve">, </w:t>
      </w:r>
      <w:r w:rsidRPr="00853258">
        <w:rPr>
          <w:i/>
        </w:rPr>
        <w:t xml:space="preserve">p </w:t>
      </w:r>
      <w:r w:rsidRPr="00853258">
        <w:t>&lt; .01) significantly predicted RMA. Specifically, officers who were male exhibited 0.21 more units of RMA than female participants, while those who were not SOIT trained exhibited 0.2</w:t>
      </w:r>
      <w:r w:rsidR="002C5103">
        <w:t>1</w:t>
      </w:r>
      <w:r w:rsidRPr="00853258">
        <w:t xml:space="preserve"> more units of RMA (</w:t>
      </w:r>
      <w:r w:rsidRPr="004A28A1">
        <w:t>see</w:t>
      </w:r>
      <w:r w:rsidRPr="00853258">
        <w:t xml:space="preserve"> </w:t>
      </w:r>
      <w:r w:rsidR="00320E29">
        <w:t xml:space="preserve">unstandardized </w:t>
      </w:r>
      <w:r w:rsidR="00320E29">
        <w:rPr>
          <w:i/>
        </w:rPr>
        <w:t>B</w:t>
      </w:r>
      <w:r w:rsidR="00165C37" w:rsidRPr="00853258" w:rsidDel="00165C37">
        <w:t xml:space="preserve"> </w:t>
      </w:r>
      <w:r w:rsidRPr="00853258">
        <w:t xml:space="preserve">coefficients in table. </w:t>
      </w:r>
      <w:r w:rsidR="00536249">
        <w:t>4</w:t>
      </w:r>
      <w:r w:rsidRPr="00853258">
        <w:t xml:space="preserve">). Officer age and years of service </w:t>
      </w:r>
      <w:r w:rsidR="004A28A1">
        <w:t>did not contribute to the model</w:t>
      </w:r>
      <w:r w:rsidRPr="00853258">
        <w:t>.</w:t>
      </w:r>
    </w:p>
    <w:p w14:paraId="1906E673" w14:textId="6C0AB647" w:rsidR="0038435F" w:rsidRPr="00853258" w:rsidRDefault="0038435F" w:rsidP="00A35396">
      <w:pPr>
        <w:pStyle w:val="Newparagraph"/>
      </w:pPr>
      <w:r w:rsidRPr="00853258">
        <w:t>Introducing the attitudinal variables in block two of the model explained an additional 42% of variance in AMMSA</w:t>
      </w:r>
      <w:r w:rsidR="00A35396">
        <w:t xml:space="preserve"> </w:t>
      </w:r>
      <w:r w:rsidRPr="00853258">
        <w:t xml:space="preserve">with a corresponding significant change in </w:t>
      </w:r>
      <w:r w:rsidRPr="00853258">
        <w:rPr>
          <w:i/>
        </w:rPr>
        <w:t>R</w:t>
      </w:r>
      <w:r w:rsidRPr="00853258">
        <w:rPr>
          <w:i/>
          <w:vertAlign w:val="superscript"/>
        </w:rPr>
        <w:t>2</w:t>
      </w:r>
      <w:r w:rsidRPr="00853258">
        <w:t xml:space="preserve">, </w:t>
      </w:r>
      <w:r w:rsidRPr="00853258">
        <w:rPr>
          <w:i/>
        </w:rPr>
        <w:t xml:space="preserve">F </w:t>
      </w:r>
      <w:r w:rsidRPr="00853258">
        <w:t>(</w:t>
      </w:r>
      <w:r w:rsidR="00B3687A">
        <w:t>4</w:t>
      </w:r>
      <w:r w:rsidRPr="00853258">
        <w:t>, 90</w:t>
      </w:r>
      <w:r w:rsidR="00B3687A">
        <w:t>3</w:t>
      </w:r>
      <w:r w:rsidR="0018445D">
        <w:t>) = 88</w:t>
      </w:r>
      <w:r w:rsidRPr="00853258">
        <w:t>.</w:t>
      </w:r>
      <w:r w:rsidR="0018445D">
        <w:t>54</w:t>
      </w:r>
      <w:r w:rsidRPr="00853258">
        <w:t xml:space="preserve">, </w:t>
      </w:r>
      <w:r w:rsidRPr="00853258">
        <w:rPr>
          <w:i/>
        </w:rPr>
        <w:t xml:space="preserve">p </w:t>
      </w:r>
      <w:r w:rsidRPr="00853258">
        <w:t>&lt; .001</w:t>
      </w:r>
      <w:r w:rsidR="007A798E">
        <w:t xml:space="preserve">; and an overall model </w:t>
      </w:r>
      <w:r w:rsidR="00536249">
        <w:t>explaining</w:t>
      </w:r>
      <w:r w:rsidR="007A798E">
        <w:t xml:space="preserve"> 44% of AMMSA scores in MPS officers </w:t>
      </w:r>
      <w:r w:rsidR="007A798E">
        <w:lastRenderedPageBreak/>
        <w:t>(</w:t>
      </w:r>
      <w:r w:rsidR="007A798E" w:rsidRPr="00853258">
        <w:rPr>
          <w:i/>
        </w:rPr>
        <w:t>R</w:t>
      </w:r>
      <w:r w:rsidR="007A798E" w:rsidRPr="00853258">
        <w:rPr>
          <w:i/>
          <w:vertAlign w:val="superscript"/>
        </w:rPr>
        <w:t>2</w:t>
      </w:r>
      <w:r w:rsidR="007A798E" w:rsidRPr="00853258">
        <w:t xml:space="preserve">, </w:t>
      </w:r>
      <w:r w:rsidR="007A798E" w:rsidRPr="00853258">
        <w:rPr>
          <w:i/>
        </w:rPr>
        <w:t>F</w:t>
      </w:r>
      <w:r w:rsidR="007A798E" w:rsidRPr="00853258">
        <w:t>(</w:t>
      </w:r>
      <w:r w:rsidR="007A798E">
        <w:t>8</w:t>
      </w:r>
      <w:r w:rsidR="007A798E" w:rsidRPr="00853258">
        <w:t>, 90</w:t>
      </w:r>
      <w:r w:rsidR="0018445D">
        <w:t>3) = 167.48</w:t>
      </w:r>
      <w:r w:rsidR="007A798E" w:rsidRPr="00853258">
        <w:t xml:space="preserve">, </w:t>
      </w:r>
      <w:r w:rsidR="007A798E" w:rsidRPr="00853258">
        <w:rPr>
          <w:i/>
        </w:rPr>
        <w:t xml:space="preserve">p </w:t>
      </w:r>
      <w:r w:rsidR="007A798E" w:rsidRPr="00853258">
        <w:t>&lt; .001</w:t>
      </w:r>
      <w:r w:rsidR="007A798E">
        <w:t>)</w:t>
      </w:r>
      <w:r w:rsidR="00F0163B">
        <w:t xml:space="preserve">. </w:t>
      </w:r>
      <w:r w:rsidR="00DF41FB">
        <w:t>With this addition, officer gender</w:t>
      </w:r>
      <w:r w:rsidRPr="00853258">
        <w:t xml:space="preserve"> no longer provide</w:t>
      </w:r>
      <w:r w:rsidR="007A798E">
        <w:t>s</w:t>
      </w:r>
      <w:r w:rsidRPr="00853258">
        <w:t xml:space="preserve"> a significant contribution to the explained variance in </w:t>
      </w:r>
      <w:r w:rsidR="002C5103">
        <w:t>AMMSA</w:t>
      </w:r>
      <w:r w:rsidRPr="00853258">
        <w:t xml:space="preserve">. Officer </w:t>
      </w:r>
      <w:r w:rsidR="00DF41FB">
        <w:t xml:space="preserve">specialist </w:t>
      </w:r>
      <w:r w:rsidRPr="00853258">
        <w:t xml:space="preserve">training continued to predict </w:t>
      </w:r>
      <w:r w:rsidR="002C5103">
        <w:t>AMMSA</w:t>
      </w:r>
      <w:r w:rsidRPr="00853258">
        <w:t xml:space="preserve">, though this effect was reduced </w:t>
      </w:r>
      <w:r w:rsidRPr="00637BC8">
        <w:rPr>
          <w:color w:val="000000"/>
        </w:rPr>
        <w:t>(</w:t>
      </w:r>
      <w:r w:rsidR="00320E29">
        <w:rPr>
          <w:i/>
        </w:rPr>
        <w:t>B</w:t>
      </w:r>
      <w:r w:rsidRPr="00853258">
        <w:t xml:space="preserve"> = .</w:t>
      </w:r>
      <w:r w:rsidR="00320E29">
        <w:t>14</w:t>
      </w:r>
      <w:r w:rsidRPr="00853258">
        <w:t xml:space="preserve">, </w:t>
      </w:r>
      <w:proofErr w:type="gramStart"/>
      <w:r w:rsidRPr="00853258">
        <w:rPr>
          <w:i/>
        </w:rPr>
        <w:t>t</w:t>
      </w:r>
      <w:r w:rsidR="00684229">
        <w:t>(</w:t>
      </w:r>
      <w:proofErr w:type="gramEnd"/>
      <w:r w:rsidR="00684229">
        <w:t>904) = 2.26</w:t>
      </w:r>
      <w:r w:rsidRPr="00853258">
        <w:t xml:space="preserve">, </w:t>
      </w:r>
      <w:r w:rsidRPr="00853258">
        <w:rPr>
          <w:i/>
        </w:rPr>
        <w:t>p</w:t>
      </w:r>
      <w:r w:rsidRPr="00853258">
        <w:t xml:space="preserve"> &lt; .05) with the absence of SOIT training resulting in a 0.14-unit increase in </w:t>
      </w:r>
      <w:r w:rsidR="002C5103">
        <w:t>AMMSA</w:t>
      </w:r>
      <w:r w:rsidRPr="00853258">
        <w:t xml:space="preserve">. Importantly, each of the attitudinal predictor variables </w:t>
      </w:r>
      <w:r w:rsidR="002C5103">
        <w:t xml:space="preserve">added </w:t>
      </w:r>
      <w:r w:rsidRPr="00853258">
        <w:t>in this block significantly and substantially</w:t>
      </w:r>
      <w:r w:rsidR="00F0163B">
        <w:t xml:space="preserve"> explained variance in AMMSA scores</w:t>
      </w:r>
      <w:r w:rsidRPr="00853258">
        <w:t xml:space="preserve">. </w:t>
      </w:r>
      <w:r w:rsidR="00B667E4">
        <w:t>H</w:t>
      </w:r>
      <w:r w:rsidRPr="00853258">
        <w:t xml:space="preserve">ostility towards women </w:t>
      </w:r>
      <w:r w:rsidRPr="00637BC8">
        <w:rPr>
          <w:color w:val="000000"/>
        </w:rPr>
        <w:t>(</w:t>
      </w:r>
      <w:r w:rsidR="00320E29">
        <w:rPr>
          <w:i/>
        </w:rPr>
        <w:t>B</w:t>
      </w:r>
      <w:r w:rsidRPr="00853258">
        <w:t xml:space="preserve"> = .2</w:t>
      </w:r>
      <w:r w:rsidR="00320E29">
        <w:t>1</w:t>
      </w:r>
      <w:r w:rsidRPr="00853258">
        <w:t xml:space="preserve">, </w:t>
      </w:r>
      <w:r w:rsidRPr="00853258">
        <w:rPr>
          <w:i/>
        </w:rPr>
        <w:t>t</w:t>
      </w:r>
      <w:r w:rsidR="00684229">
        <w:t>(904) = 6.90</w:t>
      </w:r>
      <w:r w:rsidRPr="00853258">
        <w:t xml:space="preserve">, </w:t>
      </w:r>
      <w:r w:rsidRPr="00853258">
        <w:rPr>
          <w:i/>
        </w:rPr>
        <w:t>p</w:t>
      </w:r>
      <w:r w:rsidRPr="00853258">
        <w:t xml:space="preserve"> &lt; .0001), ambivalent sexism (hostile) </w:t>
      </w:r>
      <w:r w:rsidRPr="00637BC8">
        <w:rPr>
          <w:color w:val="000000"/>
        </w:rPr>
        <w:t>(</w:t>
      </w:r>
      <w:r w:rsidR="00320E29">
        <w:rPr>
          <w:i/>
        </w:rPr>
        <w:t>B</w:t>
      </w:r>
      <w:r w:rsidRPr="00853258">
        <w:t xml:space="preserve"> = .3</w:t>
      </w:r>
      <w:r w:rsidR="00536249">
        <w:t>6</w:t>
      </w:r>
      <w:r w:rsidRPr="00853258">
        <w:t xml:space="preserve">, </w:t>
      </w:r>
      <w:r w:rsidRPr="00853258">
        <w:rPr>
          <w:i/>
        </w:rPr>
        <w:t>t</w:t>
      </w:r>
      <w:r w:rsidRPr="00853258">
        <w:t>(904) = 11.</w:t>
      </w:r>
      <w:r w:rsidR="003E6484">
        <w:t>2</w:t>
      </w:r>
      <w:r w:rsidR="00B667E4">
        <w:t>4</w:t>
      </w:r>
      <w:r w:rsidRPr="00853258">
        <w:t xml:space="preserve">, </w:t>
      </w:r>
      <w:r w:rsidRPr="00853258">
        <w:rPr>
          <w:i/>
        </w:rPr>
        <w:t>p</w:t>
      </w:r>
      <w:r w:rsidRPr="00853258">
        <w:t xml:space="preserve"> &lt; .0001), ambivalent sexism (benevolent</w:t>
      </w:r>
      <w:r w:rsidRPr="00637BC8">
        <w:t xml:space="preserve">) </w:t>
      </w:r>
      <w:r w:rsidRPr="00637BC8">
        <w:rPr>
          <w:color w:val="000000"/>
        </w:rPr>
        <w:t>(</w:t>
      </w:r>
      <w:r w:rsidR="00320E29">
        <w:rPr>
          <w:i/>
        </w:rPr>
        <w:t>B</w:t>
      </w:r>
      <w:r w:rsidRPr="00853258">
        <w:t xml:space="preserve"> = .0</w:t>
      </w:r>
      <w:r w:rsidR="00536249">
        <w:t>9</w:t>
      </w:r>
      <w:r w:rsidRPr="00853258">
        <w:t xml:space="preserve">, </w:t>
      </w:r>
      <w:r w:rsidRPr="00853258">
        <w:rPr>
          <w:i/>
        </w:rPr>
        <w:t>t</w:t>
      </w:r>
      <w:r w:rsidR="003E6484">
        <w:t>(904) = 2.71</w:t>
      </w:r>
      <w:r w:rsidRPr="00853258">
        <w:t xml:space="preserve">, </w:t>
      </w:r>
      <w:r w:rsidRPr="00853258">
        <w:rPr>
          <w:i/>
        </w:rPr>
        <w:t>p</w:t>
      </w:r>
      <w:r w:rsidRPr="00853258">
        <w:t xml:space="preserve"> &lt; .01), and the relationship between power and sex </w:t>
      </w:r>
      <w:r w:rsidRPr="00637BC8">
        <w:rPr>
          <w:color w:val="000000"/>
        </w:rPr>
        <w:t>(</w:t>
      </w:r>
      <w:r w:rsidR="00320E29">
        <w:rPr>
          <w:i/>
        </w:rPr>
        <w:t>B</w:t>
      </w:r>
      <w:r w:rsidRPr="00853258">
        <w:t xml:space="preserve"> = </w:t>
      </w:r>
      <w:r w:rsidR="003E6484">
        <w:t>.28</w:t>
      </w:r>
      <w:r w:rsidRPr="00853258">
        <w:t xml:space="preserve">, </w:t>
      </w:r>
      <w:r w:rsidRPr="00853258">
        <w:rPr>
          <w:i/>
        </w:rPr>
        <w:t>t</w:t>
      </w:r>
      <w:r w:rsidR="003E6484">
        <w:t>(904) = 5.99</w:t>
      </w:r>
      <w:r w:rsidRPr="00853258">
        <w:t xml:space="preserve">, </w:t>
      </w:r>
      <w:r w:rsidRPr="00853258">
        <w:rPr>
          <w:i/>
        </w:rPr>
        <w:t>p</w:t>
      </w:r>
      <w:r w:rsidRPr="00853258">
        <w:t xml:space="preserve"> &lt; .0001)</w:t>
      </w:r>
      <w:r w:rsidR="00320E29">
        <w:t>,</w:t>
      </w:r>
      <w:r w:rsidRPr="00853258">
        <w:t xml:space="preserve"> all result</w:t>
      </w:r>
      <w:r w:rsidR="00320E29">
        <w:t>ing</w:t>
      </w:r>
      <w:r w:rsidRPr="00853258">
        <w:t xml:space="preserve"> in significant increases in rape myth acceptance.</w:t>
      </w:r>
      <w:r w:rsidR="00637BC8">
        <w:t xml:space="preserve"> </w:t>
      </w:r>
    </w:p>
    <w:p w14:paraId="38C3845F" w14:textId="77777777" w:rsidR="0038435F" w:rsidRPr="00853258" w:rsidRDefault="0038435F" w:rsidP="0061414A">
      <w:pPr>
        <w:pStyle w:val="Heading1"/>
      </w:pPr>
      <w:r w:rsidRPr="00853258">
        <w:t>Discussion</w:t>
      </w:r>
    </w:p>
    <w:p w14:paraId="3FBA0C00" w14:textId="28FF54FB" w:rsidR="0038435F" w:rsidRPr="00853258" w:rsidRDefault="0038435F" w:rsidP="0061414A">
      <w:pPr>
        <w:pStyle w:val="Paragraph"/>
      </w:pPr>
      <w:r w:rsidRPr="00904EB2">
        <w:t>This study examined the predictive contributions of several key demographic and attitudinal</w:t>
      </w:r>
      <w:r w:rsidRPr="00853258">
        <w:t xml:space="preserve"> variables to police officers’ </w:t>
      </w:r>
      <w:r w:rsidR="00C97426">
        <w:t>rape myth acceptance</w:t>
      </w:r>
      <w:r w:rsidRPr="00853258">
        <w:t xml:space="preserve">, utilizing a large U.K. police sample. This study is the first of its kind to systematically examine </w:t>
      </w:r>
      <w:r w:rsidR="00DF41FB">
        <w:t>the contributions of officer gender</w:t>
      </w:r>
      <w:r w:rsidRPr="00853258">
        <w:t xml:space="preserve">, officer age, years of service, officer training, </w:t>
      </w:r>
      <w:r w:rsidR="00226827" w:rsidRPr="00853258">
        <w:t>and hostility</w:t>
      </w:r>
      <w:r w:rsidRPr="00853258">
        <w:t xml:space="preserve"> towards women, ambivalent sexism, and explicit power-sex beliefs to rape myth acceptance within one model, thereby highlighting the broader attitudinal and demographic context of RMA in U.K. police officers. </w:t>
      </w:r>
    </w:p>
    <w:p w14:paraId="5F6B2D85" w14:textId="77777777" w:rsidR="0038435F" w:rsidRPr="00853258" w:rsidRDefault="0038435F" w:rsidP="0038435F">
      <w:pPr>
        <w:pStyle w:val="Newparagraph"/>
        <w:rPr>
          <w:color w:val="000000"/>
        </w:rPr>
      </w:pPr>
      <w:r w:rsidRPr="00853258">
        <w:t xml:space="preserve">Results from this study demonstrated that whilst both demographic and attitudinal factors significantly predicted RMA, attitudinal variables accounted for a substantially greater proportion of the variance. These findings add important new context to the existing literature on rape myth acceptance in police officers, specifically on the cognitive framework in which RMA operates. Importantly, these findings suggest that broader attitudinal constructs explain a far greater proportion of variance in RMA, and may, therefore, represent a more efficient and effective focus for intervention, and in informing the evidence-base on </w:t>
      </w:r>
      <w:r w:rsidRPr="00853258">
        <w:lastRenderedPageBreak/>
        <w:t>which specialist and non-specialist officer training is built. Specifically, greater knowledge and awareness of attitudinal antecedents is of particular utility in highlighting the broader beliefs that support the role of RMA in informing officers’ overall opinions and perception of sexual assault victims (Campbell &amp; Johnson, 1997; Feldman-Summers &amp; Palmer, 1980; Ullman &amp; Townsend, 2007) as well as their perceived credibility (</w:t>
      </w:r>
      <w:proofErr w:type="spellStart"/>
      <w:r w:rsidRPr="00853258">
        <w:t>Brownmiller</w:t>
      </w:r>
      <w:proofErr w:type="spellEnd"/>
      <w:r w:rsidRPr="00853258">
        <w:t xml:space="preserve">, 1975; </w:t>
      </w:r>
      <w:proofErr w:type="spellStart"/>
      <w:r w:rsidRPr="00853258">
        <w:t>Venema</w:t>
      </w:r>
      <w:proofErr w:type="spellEnd"/>
      <w:r w:rsidRPr="00853258">
        <w:t>, 2016a).</w:t>
      </w:r>
    </w:p>
    <w:p w14:paraId="2DBE3922" w14:textId="77777777" w:rsidR="0038435F" w:rsidRPr="00853258" w:rsidRDefault="0038435F" w:rsidP="0061414A">
      <w:pPr>
        <w:pStyle w:val="Heading2"/>
      </w:pPr>
      <w:r>
        <w:t>Demographic P</w:t>
      </w:r>
      <w:r w:rsidRPr="00853258">
        <w:t>redictors</w:t>
      </w:r>
    </w:p>
    <w:p w14:paraId="7B737A4A" w14:textId="6BFA679A" w:rsidR="0038435F" w:rsidRPr="00853258" w:rsidRDefault="0038435F" w:rsidP="00C77400">
      <w:pPr>
        <w:pStyle w:val="Paragraph"/>
      </w:pPr>
      <w:r w:rsidRPr="00904EB2">
        <w:t>Commensurate with previous work examining</w:t>
      </w:r>
      <w:r w:rsidR="001555E8" w:rsidRPr="00904EB2">
        <w:t xml:space="preserve"> both</w:t>
      </w:r>
      <w:r w:rsidRPr="00904EB2">
        <w:t xml:space="preserve"> non-police samples (Gerger et al., 2007;</w:t>
      </w:r>
      <w:r w:rsidRPr="00853258">
        <w:t xml:space="preserve"> Muir, Lonsway, &amp; Payne, 1996; Suarez &amp; </w:t>
      </w:r>
      <w:proofErr w:type="spellStart"/>
      <w:r w:rsidRPr="00853258">
        <w:t>Gadalla</w:t>
      </w:r>
      <w:proofErr w:type="spellEnd"/>
      <w:r w:rsidRPr="00853258">
        <w:t xml:space="preserve">, 2010, Whatley, 1996) and police </w:t>
      </w:r>
      <w:r w:rsidR="00536249">
        <w:t>samples</w:t>
      </w:r>
      <w:r w:rsidRPr="00853258">
        <w:t xml:space="preserve"> (Page 2007, 2008b), being a male was significantly predictive of increased </w:t>
      </w:r>
      <w:r w:rsidR="001555E8">
        <w:t>acceptance of rape myths</w:t>
      </w:r>
      <w:r w:rsidRPr="00853258">
        <w:t>.</w:t>
      </w:r>
      <w:r w:rsidR="00A87EB6">
        <w:t xml:space="preserve"> This supports previous assertions that inequality perpetuates r</w:t>
      </w:r>
      <w:r w:rsidR="00C97426">
        <w:t>ap</w:t>
      </w:r>
      <w:r w:rsidR="00A87EB6">
        <w:t xml:space="preserve">e myths; that is, a male-dominant society would probably justify rape and blame the victims (Suarez &amp; </w:t>
      </w:r>
      <w:proofErr w:type="spellStart"/>
      <w:r w:rsidR="00A87EB6">
        <w:t>Gadalla</w:t>
      </w:r>
      <w:proofErr w:type="spellEnd"/>
      <w:r w:rsidR="00A87EB6">
        <w:t xml:space="preserve">, 2010). </w:t>
      </w:r>
      <w:r w:rsidRPr="00853258">
        <w:t>Specialist training was also a significant contributor to the explained variance in RMA</w:t>
      </w:r>
      <w:r w:rsidR="00A87EB6">
        <w:t xml:space="preserve">. This supports some previous work demonstrating lower RMA in </w:t>
      </w:r>
      <w:r w:rsidR="00C97426">
        <w:t xml:space="preserve">specially </w:t>
      </w:r>
      <w:r w:rsidR="00A87EB6">
        <w:t xml:space="preserve">trained officers (see Lee et al., 2012), but </w:t>
      </w:r>
      <w:r w:rsidRPr="00853258">
        <w:t>challenge</w:t>
      </w:r>
      <w:r w:rsidR="00A87EB6">
        <w:t>s</w:t>
      </w:r>
      <w:r w:rsidRPr="00853258">
        <w:t xml:space="preserve"> </w:t>
      </w:r>
      <w:r w:rsidR="00A87EB6">
        <w:t>other studies</w:t>
      </w:r>
      <w:r w:rsidRPr="00853258">
        <w:t xml:space="preserve"> </w:t>
      </w:r>
      <w:r w:rsidR="00A87EB6">
        <w:t xml:space="preserve">which </w:t>
      </w:r>
      <w:r w:rsidRPr="00853258">
        <w:t>highlight</w:t>
      </w:r>
      <w:r w:rsidR="00A87EB6">
        <w:t xml:space="preserve"> </w:t>
      </w:r>
      <w:r w:rsidRPr="00853258">
        <w:t>no significant differences between those who have received specialist training and those who have not (Goodman-</w:t>
      </w:r>
      <w:proofErr w:type="spellStart"/>
      <w:r w:rsidRPr="00853258">
        <w:t>Delahunty</w:t>
      </w:r>
      <w:proofErr w:type="spellEnd"/>
      <w:r w:rsidRPr="00853258">
        <w:t xml:space="preserve"> &amp; Graham, 2011; Sleath &amp; Bull, 2012), and work which </w:t>
      </w:r>
      <w:r w:rsidR="00A87EB6">
        <w:t xml:space="preserve">actually </w:t>
      </w:r>
      <w:r w:rsidRPr="00853258">
        <w:t xml:space="preserve">demonstrates a negative effect of specialist training on judgements of perpetrator responsibility (in acquaintance </w:t>
      </w:r>
      <w:r w:rsidR="00DF41FB">
        <w:t>cases, where the victim resists</w:t>
      </w:r>
      <w:r w:rsidRPr="00853258">
        <w:t xml:space="preserve"> late; Hine &amp; Murphy, 2017). </w:t>
      </w:r>
      <w:r w:rsidR="00A87EB6">
        <w:t>F</w:t>
      </w:r>
      <w:r w:rsidRPr="00853258">
        <w:t xml:space="preserve">indings for officer age also challenge existing research </w:t>
      </w:r>
      <w:r w:rsidR="00090E30" w:rsidRPr="00853258">
        <w:t>(</w:t>
      </w:r>
      <w:r w:rsidR="00090E30">
        <w:t xml:space="preserve">e.g., </w:t>
      </w:r>
      <w:r w:rsidR="00090E30" w:rsidRPr="00853258">
        <w:t xml:space="preserve">Suarez &amp; </w:t>
      </w:r>
      <w:proofErr w:type="spellStart"/>
      <w:r w:rsidR="00090E30" w:rsidRPr="00853258">
        <w:t>Gadalla</w:t>
      </w:r>
      <w:proofErr w:type="spellEnd"/>
      <w:r w:rsidR="00090E30" w:rsidRPr="00853258">
        <w:t>, 2010)</w:t>
      </w:r>
      <w:r w:rsidR="00090E30">
        <w:t>, as</w:t>
      </w:r>
      <w:r w:rsidRPr="00853258">
        <w:t xml:space="preserve"> older participants </w:t>
      </w:r>
      <w:r w:rsidR="00090E30">
        <w:t>were more</w:t>
      </w:r>
      <w:r w:rsidR="00090E30" w:rsidRPr="00853258">
        <w:t xml:space="preserve"> </w:t>
      </w:r>
      <w:r w:rsidRPr="00853258">
        <w:t>likely to demonstrate higher levels of RMA</w:t>
      </w:r>
      <w:r w:rsidR="00090E30">
        <w:t xml:space="preserve"> than younger participants</w:t>
      </w:r>
      <w:r w:rsidR="00A87EB6">
        <w:t>, whilst y</w:t>
      </w:r>
      <w:r w:rsidRPr="00853258">
        <w:t>ears of service did not contribute significantly to the explained variance</w:t>
      </w:r>
      <w:r w:rsidR="00F66313">
        <w:t>, a finding supported by previous work (</w:t>
      </w:r>
      <w:r w:rsidR="00F66313" w:rsidRPr="00853258">
        <w:t>Goodman-</w:t>
      </w:r>
      <w:proofErr w:type="spellStart"/>
      <w:r w:rsidR="00F66313" w:rsidRPr="00853258">
        <w:t>Delahunty</w:t>
      </w:r>
      <w:proofErr w:type="spellEnd"/>
      <w:r w:rsidR="00F66313" w:rsidRPr="00853258">
        <w:t xml:space="preserve"> &amp; Graham, 2011</w:t>
      </w:r>
      <w:r w:rsidR="00F66313">
        <w:t>)</w:t>
      </w:r>
      <w:r w:rsidRPr="00853258">
        <w:t xml:space="preserve">. Taken together, these </w:t>
      </w:r>
      <w:r w:rsidR="00090E30">
        <w:t>results</w:t>
      </w:r>
      <w:r w:rsidR="00090E30" w:rsidRPr="00853258">
        <w:t xml:space="preserve"> </w:t>
      </w:r>
      <w:r w:rsidRPr="00853258">
        <w:t xml:space="preserve">demonstrate that some key demographic factors (specifically officer </w:t>
      </w:r>
      <w:r w:rsidRPr="00853258">
        <w:lastRenderedPageBreak/>
        <w:t>sex and officer training) serve to significantly predict rape myth acceptance in U.K. police officers</w:t>
      </w:r>
      <w:r w:rsidR="00090E30">
        <w:t xml:space="preserve">, </w:t>
      </w:r>
      <w:r w:rsidR="00C97426">
        <w:t>whilst</w:t>
      </w:r>
      <w:r w:rsidR="00090E30">
        <w:t xml:space="preserve"> others do not</w:t>
      </w:r>
      <w:r w:rsidRPr="00853258">
        <w:t xml:space="preserve">. </w:t>
      </w:r>
      <w:r w:rsidR="00090E30">
        <w:t xml:space="preserve">This provides valuable evidence as to which officers may demonstrate </w:t>
      </w:r>
      <w:r w:rsidRPr="00853258">
        <w:t xml:space="preserve">higher RMA, </w:t>
      </w:r>
      <w:r w:rsidR="00090E30">
        <w:t>and there</w:t>
      </w:r>
      <w:r w:rsidR="00C849D9">
        <w:t>fore</w:t>
      </w:r>
      <w:r w:rsidR="00090E30">
        <w:t xml:space="preserve"> </w:t>
      </w:r>
      <w:r w:rsidRPr="00853258">
        <w:t>may engage in more negative interactions with victims (although this requires further investigation).</w:t>
      </w:r>
      <w:r w:rsidR="00F66313">
        <w:t xml:space="preserve"> However</w:t>
      </w:r>
      <w:r w:rsidR="00090E30">
        <w:t>,</w:t>
      </w:r>
      <w:r w:rsidR="00F66313">
        <w:t xml:space="preserve"> i</w:t>
      </w:r>
      <w:r w:rsidRPr="00853258">
        <w:t>t must be noted that, whilst significant in their contribution, demographic factors only explained 2% of the variance in RMA</w:t>
      </w:r>
      <w:r w:rsidR="00250647">
        <w:t>, and that further research is needed to investigate these relationships</w:t>
      </w:r>
      <w:r w:rsidRPr="00853258">
        <w:t xml:space="preserve">. </w:t>
      </w:r>
    </w:p>
    <w:p w14:paraId="18276258" w14:textId="77777777" w:rsidR="0038435F" w:rsidRPr="00853258" w:rsidRDefault="0038435F" w:rsidP="0061414A">
      <w:pPr>
        <w:pStyle w:val="Heading2"/>
      </w:pPr>
      <w:r>
        <w:t>Attitudinal P</w:t>
      </w:r>
      <w:r w:rsidRPr="00853258">
        <w:t>redictors</w:t>
      </w:r>
    </w:p>
    <w:p w14:paraId="6BCBB34D" w14:textId="22E4F300" w:rsidR="00346F00" w:rsidRPr="00346F00" w:rsidRDefault="0038435F" w:rsidP="001F6921">
      <w:pPr>
        <w:pStyle w:val="Paragraph"/>
      </w:pPr>
      <w:r w:rsidRPr="00853258">
        <w:t xml:space="preserve">The attitudinal variables in this study explained a substantially greater proportion of the variance in RMA (42%). </w:t>
      </w:r>
      <w:r w:rsidR="00090E30">
        <w:t>Specifically, h</w:t>
      </w:r>
      <w:r w:rsidRPr="00853258">
        <w:t xml:space="preserve">ostility towards women, ambivalent sexism (hostile and benevolent), and the relationship between power and sex were all significantly predictive of RMA. </w:t>
      </w:r>
      <w:r w:rsidR="00090E30">
        <w:t xml:space="preserve">These findings echo previous literature identifying attitudes such as traditional gender-role beliefs, male dominance, and negative attitudes towards women as correlated, and indeed predictive of RMA in both general populations (Anderson, Cooper, &amp; Okamura, 1997; </w:t>
      </w:r>
      <w:proofErr w:type="spellStart"/>
      <w:r w:rsidR="00090E30">
        <w:t>Aosved</w:t>
      </w:r>
      <w:proofErr w:type="spellEnd"/>
      <w:r w:rsidR="00090E30">
        <w:t xml:space="preserve"> &amp; Long, 2006; </w:t>
      </w:r>
      <w:r w:rsidR="00090E30" w:rsidRPr="00853258">
        <w:t xml:space="preserve">Forbes, Adams-Curtis, &amp; White, 2004; Lonsway &amp; Fitzgerald, 1994, 1995; Suarez &amp; </w:t>
      </w:r>
      <w:proofErr w:type="spellStart"/>
      <w:r w:rsidR="00090E30" w:rsidRPr="00853258">
        <w:t>Gadalla</w:t>
      </w:r>
      <w:proofErr w:type="spellEnd"/>
      <w:r w:rsidR="00090E30" w:rsidRPr="00853258">
        <w:t>, 2010</w:t>
      </w:r>
      <w:r w:rsidR="00090E30">
        <w:t xml:space="preserve">) and police officers (Page, 2008). </w:t>
      </w:r>
      <w:r w:rsidR="00346F00">
        <w:t>Furthermore, t</w:t>
      </w:r>
      <w:r w:rsidRPr="00853258">
        <w:t xml:space="preserve">he </w:t>
      </w:r>
      <w:r w:rsidR="00346F00">
        <w:t>significant predictive relationship between</w:t>
      </w:r>
      <w:r w:rsidRPr="00853258">
        <w:t xml:space="preserve"> hostile and benevolent sexism</w:t>
      </w:r>
      <w:r w:rsidR="00346F00">
        <w:t xml:space="preserve"> and RMA in officers</w:t>
      </w:r>
      <w:r w:rsidRPr="00853258">
        <w:t xml:space="preserve"> highlights the impact of both antagonistic sexist attitudes towards women, as well as what may be considered chivalrous beliefs</w:t>
      </w:r>
      <w:r w:rsidR="00346F00">
        <w:t xml:space="preserve"> (Glick &amp; Fiske, 1996), w</w:t>
      </w:r>
      <w:r w:rsidRPr="00853258">
        <w:t xml:space="preserve">here in both cases the ultimate outcome is dominance over a weaker group, through differential manifestations (Glick et al., 2000). Belief in the relationship between power and sex also provides </w:t>
      </w:r>
      <w:r w:rsidR="00C77400">
        <w:t>support for</w:t>
      </w:r>
      <w:r w:rsidR="00346F00">
        <w:t xml:space="preserve"> the importance of </w:t>
      </w:r>
      <w:r w:rsidRPr="00853258">
        <w:t>sexually aggressive beliefs</w:t>
      </w:r>
      <w:r w:rsidR="00346F00">
        <w:t xml:space="preserve"> in supporting RMA</w:t>
      </w:r>
      <w:r w:rsidRPr="00853258">
        <w:t xml:space="preserve">, in line with work by </w:t>
      </w:r>
      <w:proofErr w:type="spellStart"/>
      <w:r w:rsidRPr="00853258">
        <w:t>Bargh</w:t>
      </w:r>
      <w:proofErr w:type="spellEnd"/>
      <w:r w:rsidRPr="00853258">
        <w:t xml:space="preserve"> and colleagues (1995), and Chapleau and Oswald (2010). </w:t>
      </w:r>
      <w:r w:rsidR="00346F00">
        <w:t>These findings</w:t>
      </w:r>
      <w:r w:rsidR="00BB2E7F">
        <w:t>,</w:t>
      </w:r>
      <w:r w:rsidR="00346F00">
        <w:t xml:space="preserve"> therefore</w:t>
      </w:r>
      <w:r w:rsidR="00BB2E7F">
        <w:t>,</w:t>
      </w:r>
      <w:r w:rsidR="00346F00">
        <w:t xml:space="preserve"> </w:t>
      </w:r>
      <w:r w:rsidRPr="00853258">
        <w:t xml:space="preserve">add to the developing literature purporting that RMA is part of a learned system, in which sex is associated with power, </w:t>
      </w:r>
      <w:r w:rsidR="00346F00">
        <w:t xml:space="preserve">and </w:t>
      </w:r>
      <w:r w:rsidRPr="00853258">
        <w:t xml:space="preserve">which may include socialised gender roles and dominance </w:t>
      </w:r>
      <w:r w:rsidRPr="00853258">
        <w:lastRenderedPageBreak/>
        <w:t xml:space="preserve">(Zurbriggen, 2000). </w:t>
      </w:r>
    </w:p>
    <w:p w14:paraId="224DDAE3" w14:textId="0B13C809" w:rsidR="00F226BF" w:rsidRDefault="00C77400" w:rsidP="00BB2E7F">
      <w:pPr>
        <w:pStyle w:val="Newparagraph"/>
        <w:ind w:firstLine="0"/>
      </w:pPr>
      <w:r>
        <w:tab/>
      </w:r>
      <w:r w:rsidR="0038435F" w:rsidRPr="00853258">
        <w:t xml:space="preserve">Interesting shifts </w:t>
      </w:r>
      <w:r w:rsidR="00C97426">
        <w:t xml:space="preserve">also </w:t>
      </w:r>
      <w:r w:rsidR="0038435F" w:rsidRPr="00853258">
        <w:t>take place in the contribution of the demographic factors on introduction of the attitudinal variables. Notably, the suppression of the gender variable, which indicates that being male ceases to significantly contribute to RMA</w:t>
      </w:r>
      <w:r w:rsidR="00C97426">
        <w:t xml:space="preserve"> once attitudes are introduced</w:t>
      </w:r>
      <w:r w:rsidR="0038435F" w:rsidRPr="00853258">
        <w:t xml:space="preserve">, signifying that the attitudes measured explain the effects of gender in predicting RMA. </w:t>
      </w:r>
      <w:r w:rsidR="00C97426">
        <w:t xml:space="preserve">This again makes sense in light of the observation that many of these attitudes incorporate elements of gender role socialisation, and gender role relations. </w:t>
      </w:r>
      <w:r w:rsidR="0038435F" w:rsidRPr="00853258">
        <w:t>Meanwhile, the specialist training effect (</w:t>
      </w:r>
      <w:r w:rsidR="00C97426">
        <w:t xml:space="preserve">i.e., </w:t>
      </w:r>
      <w:r w:rsidR="0038435F" w:rsidRPr="00853258">
        <w:t xml:space="preserve">the noted decrease in RMA as a result of experiencing specialist rape training) remains. This potentially suggests that aspects of the training and/or the experience of the role of a SOIT brings about decreases in RMA, and that this training effect is not explained by the attitudes measured. </w:t>
      </w:r>
    </w:p>
    <w:p w14:paraId="20498CBB" w14:textId="77777777" w:rsidR="0038435F" w:rsidRPr="00853258" w:rsidRDefault="0038435F" w:rsidP="0061414A">
      <w:pPr>
        <w:pStyle w:val="Heading2"/>
      </w:pPr>
      <w:r w:rsidRPr="00853258">
        <w:t>Implications</w:t>
      </w:r>
    </w:p>
    <w:p w14:paraId="228F5749" w14:textId="749EC6FA" w:rsidR="00DF3691" w:rsidRDefault="00DF3691" w:rsidP="001F6921">
      <w:pPr>
        <w:pStyle w:val="Paragraph"/>
      </w:pPr>
      <w:r>
        <w:t xml:space="preserve">The results outlined above therefore provide robust support for the notion that </w:t>
      </w:r>
      <w:r>
        <w:rPr>
          <w:color w:val="000000"/>
        </w:rPr>
        <w:t>rape myth acceptance</w:t>
      </w:r>
      <w:r w:rsidRPr="00853258">
        <w:rPr>
          <w:color w:val="000000"/>
        </w:rPr>
        <w:t xml:space="preserve"> </w:t>
      </w:r>
      <w:r w:rsidR="004E30B2">
        <w:rPr>
          <w:color w:val="000000"/>
        </w:rPr>
        <w:t>does not exist in isolation</w:t>
      </w:r>
      <w:r w:rsidR="00A45047">
        <w:rPr>
          <w:color w:val="000000"/>
        </w:rPr>
        <w:t>;</w:t>
      </w:r>
      <w:r w:rsidR="00A45047" w:rsidRPr="00853258">
        <w:rPr>
          <w:color w:val="000000"/>
        </w:rPr>
        <w:t xml:space="preserve"> </w:t>
      </w:r>
      <w:r w:rsidRPr="00853258">
        <w:rPr>
          <w:color w:val="000000"/>
        </w:rPr>
        <w:t>rather</w:t>
      </w:r>
      <w:r>
        <w:rPr>
          <w:color w:val="000000"/>
        </w:rPr>
        <w:t xml:space="preserve"> that</w:t>
      </w:r>
      <w:r w:rsidRPr="00853258">
        <w:rPr>
          <w:color w:val="000000"/>
        </w:rPr>
        <w:t xml:space="preserve"> broader negative and sexist attitudes</w:t>
      </w:r>
      <w:r w:rsidRPr="00853258">
        <w:t xml:space="preserve"> provide</w:t>
      </w:r>
      <w:r>
        <w:t xml:space="preserve"> </w:t>
      </w:r>
      <w:r w:rsidRPr="00853258">
        <w:t xml:space="preserve">important context </w:t>
      </w:r>
      <w:r>
        <w:t>for</w:t>
      </w:r>
      <w:r w:rsidRPr="00853258">
        <w:t xml:space="preserve"> the development and maintenance of RMA as a cognitive framework</w:t>
      </w:r>
      <w:r w:rsidR="005C6012">
        <w:t xml:space="preserve"> (Temkin &amp; </w:t>
      </w:r>
      <w:proofErr w:type="spellStart"/>
      <w:r w:rsidR="005C6012">
        <w:t>Krah</w:t>
      </w:r>
      <w:r w:rsidR="005C6012" w:rsidRPr="00853258">
        <w:t>é</w:t>
      </w:r>
      <w:proofErr w:type="spellEnd"/>
      <w:r w:rsidR="005C6012">
        <w:t>, 2008)</w:t>
      </w:r>
      <w:r>
        <w:t>. Furthermore, these findings demonstrate that such attitudinal relationships exist in police officers, w</w:t>
      </w:r>
      <w:r w:rsidRPr="00853258">
        <w:t xml:space="preserve">ho have </w:t>
      </w:r>
      <w:r>
        <w:t xml:space="preserve">routinely </w:t>
      </w:r>
      <w:r w:rsidRPr="00853258">
        <w:t>been demonstrated as key to the response and service that victims will experience (Sleath &amp; Bull, 2012)</w:t>
      </w:r>
      <w:r>
        <w:t xml:space="preserve">, and whose RMA has been linked to behavioural outcomes and judgements (Sleath &amp; Bull, 2017). Taken together, results </w:t>
      </w:r>
      <w:r w:rsidRPr="00853258">
        <w:t xml:space="preserve">from this study support the idea that efforts to train, raise awareness, and address RMA in police officers may need to consider the broader attitudinal context of RMA, as well as some key demographic factors. </w:t>
      </w:r>
    </w:p>
    <w:p w14:paraId="33113403" w14:textId="013D3B48" w:rsidR="00F226BF" w:rsidRDefault="009900E9">
      <w:pPr>
        <w:pStyle w:val="Newparagraph"/>
      </w:pPr>
      <w:r>
        <w:t>Whilst</w:t>
      </w:r>
      <w:r w:rsidR="00DF3691">
        <w:t xml:space="preserve"> some positive examples </w:t>
      </w:r>
      <w:r w:rsidR="00FB7CAD">
        <w:t xml:space="preserve">of training programmes </w:t>
      </w:r>
      <w:r w:rsidR="00967E3F">
        <w:t>exist (Lee</w:t>
      </w:r>
      <w:r w:rsidR="00B71BAB">
        <w:t xml:space="preserve"> et al.</w:t>
      </w:r>
      <w:r w:rsidR="00DF3691">
        <w:t xml:space="preserve">, 2012), </w:t>
      </w:r>
      <w:r>
        <w:t xml:space="preserve">most studies suggest that attitudinal intervention (Lonsway, Welch, &amp; Fitzgerald, 2001; </w:t>
      </w:r>
      <w:proofErr w:type="spellStart"/>
      <w:r>
        <w:t>Muram</w:t>
      </w:r>
      <w:proofErr w:type="spellEnd"/>
      <w:r>
        <w:t xml:space="preserve">, </w:t>
      </w:r>
      <w:r>
        <w:lastRenderedPageBreak/>
        <w:t xml:space="preserve">Hellman, &amp; </w:t>
      </w:r>
      <w:proofErr w:type="spellStart"/>
      <w:r>
        <w:t>Casinello</w:t>
      </w:r>
      <w:proofErr w:type="spellEnd"/>
      <w:r>
        <w:t>, 1995) or provision of specialist training (Goodman-</w:t>
      </w:r>
      <w:proofErr w:type="spellStart"/>
      <w:r>
        <w:t>Delahunty</w:t>
      </w:r>
      <w:proofErr w:type="spellEnd"/>
      <w:r>
        <w:t xml:space="preserve"> &amp; Graham, 2011; Sleath &amp; Bull, 2012) is ineffective at changing </w:t>
      </w:r>
      <w:r w:rsidR="00FB7CAD">
        <w:t>officers’</w:t>
      </w:r>
      <w:r>
        <w:t xml:space="preserve"> subscription to rape myths. The </w:t>
      </w:r>
      <w:r w:rsidR="00DF3691" w:rsidRPr="00853258">
        <w:t>findings</w:t>
      </w:r>
      <w:r>
        <w:t xml:space="preserve"> from this study</w:t>
      </w:r>
      <w:r w:rsidR="00DF3691" w:rsidRPr="00853258">
        <w:t xml:space="preserve"> provide further context to the complexity</w:t>
      </w:r>
      <w:r w:rsidR="00FB7CAD">
        <w:t xml:space="preserve"> of,</w:t>
      </w:r>
      <w:r w:rsidR="00DF3691" w:rsidRPr="00853258">
        <w:t xml:space="preserve"> and resistance to</w:t>
      </w:r>
      <w:r w:rsidR="00FB7CAD">
        <w:t>,</w:t>
      </w:r>
      <w:r w:rsidR="00DF3691" w:rsidRPr="00853258">
        <w:t xml:space="preserve"> </w:t>
      </w:r>
      <w:r w:rsidR="00FB7CAD">
        <w:t xml:space="preserve">attitude </w:t>
      </w:r>
      <w:r w:rsidR="00DF3691" w:rsidRPr="00853258">
        <w:t>change (</w:t>
      </w:r>
      <w:proofErr w:type="spellStart"/>
      <w:r w:rsidR="00DF3691" w:rsidRPr="00853258">
        <w:t>Rozee</w:t>
      </w:r>
      <w:proofErr w:type="spellEnd"/>
      <w:r w:rsidR="00DF3691" w:rsidRPr="00853258">
        <w:t xml:space="preserve"> &amp; Koss, 2001), and the noted short-term nature of </w:t>
      </w:r>
      <w:r w:rsidR="00FB7CAD">
        <w:t xml:space="preserve">any </w:t>
      </w:r>
      <w:r w:rsidR="00DF3691" w:rsidRPr="00853258">
        <w:t>change</w:t>
      </w:r>
      <w:r w:rsidR="00FB7CAD">
        <w:t>s</w:t>
      </w:r>
      <w:r w:rsidR="00DF3691" w:rsidRPr="00853258">
        <w:t xml:space="preserve"> that rape-prevention and RMA awareness programmes</w:t>
      </w:r>
      <w:r w:rsidR="00FB7CAD">
        <w:t xml:space="preserve"> do</w:t>
      </w:r>
      <w:r w:rsidR="00DF3691" w:rsidRPr="00853258">
        <w:t xml:space="preserve"> bring about (Anderson &amp; Whiston, 2005; Flores &amp; </w:t>
      </w:r>
      <w:proofErr w:type="spellStart"/>
      <w:r w:rsidR="00DF3691" w:rsidRPr="00853258">
        <w:t>Hartlaud</w:t>
      </w:r>
      <w:proofErr w:type="spellEnd"/>
      <w:r w:rsidR="00DF3691" w:rsidRPr="00853258">
        <w:t xml:space="preserve">, 1998). </w:t>
      </w:r>
      <w:r w:rsidR="00FB7CAD">
        <w:t xml:space="preserve">They also allude to the possible </w:t>
      </w:r>
      <w:r w:rsidR="00FB7CAD" w:rsidRPr="00853258">
        <w:t>mechanisms behind the maintenance of stereotypes and prejudices tow</w:t>
      </w:r>
      <w:r w:rsidR="00FB7CAD">
        <w:t>ards rape victims, which abound</w:t>
      </w:r>
      <w:r w:rsidR="00FB7CAD" w:rsidRPr="00853258">
        <w:t xml:space="preserve"> after more than three decades of awareness of RMA as an issue (</w:t>
      </w:r>
      <w:proofErr w:type="spellStart"/>
      <w:r w:rsidR="00FB7CAD" w:rsidRPr="00853258">
        <w:t>Shechory</w:t>
      </w:r>
      <w:proofErr w:type="spellEnd"/>
      <w:r w:rsidR="00FB7CAD" w:rsidRPr="00853258">
        <w:t xml:space="preserve"> &amp; </w:t>
      </w:r>
      <w:proofErr w:type="spellStart"/>
      <w:r w:rsidR="00FB7CAD" w:rsidRPr="00853258">
        <w:t>Idisis</w:t>
      </w:r>
      <w:proofErr w:type="spellEnd"/>
      <w:r w:rsidR="00FB7CAD" w:rsidRPr="00853258">
        <w:t>, 2006).</w:t>
      </w:r>
      <w:r w:rsidR="00FB7CAD">
        <w:t xml:space="preserve"> Cruciall</w:t>
      </w:r>
      <w:r w:rsidR="00F650DE">
        <w:t>y, it can now be suggested that</w:t>
      </w:r>
      <w:r w:rsidR="00F650DE" w:rsidRPr="00853258">
        <w:t xml:space="preserve">, where training is in place to bring about change in operations or attitudes, considering </w:t>
      </w:r>
      <w:r w:rsidR="00F650DE">
        <w:t xml:space="preserve">the </w:t>
      </w:r>
      <w:r w:rsidR="00F650DE" w:rsidRPr="00853258">
        <w:t xml:space="preserve">broader cognitive/attitudinal context </w:t>
      </w:r>
      <w:r w:rsidR="00F650DE">
        <w:t>of rape myths is crucial</w:t>
      </w:r>
      <w:r w:rsidR="00FB7CAD">
        <w:t xml:space="preserve">, </w:t>
      </w:r>
      <w:r w:rsidR="00F650DE" w:rsidRPr="00853258">
        <w:t xml:space="preserve">rather than focussing </w:t>
      </w:r>
      <w:r w:rsidR="00FB7CAD">
        <w:t>RMA as the sole i</w:t>
      </w:r>
      <w:r w:rsidR="00F650DE" w:rsidRPr="00853258">
        <w:t>ssue.</w:t>
      </w:r>
      <w:r w:rsidR="00FB7CAD">
        <w:t xml:space="preserve"> This is particularly important in the context of numerous policing reviews, such as the </w:t>
      </w:r>
      <w:r w:rsidR="0038435F" w:rsidRPr="00853258">
        <w:t xml:space="preserve">Dame Elish Angiolini review (2015), which </w:t>
      </w:r>
      <w:r w:rsidR="00FB7CAD">
        <w:t>highlight the</w:t>
      </w:r>
      <w:r w:rsidR="00FB7CAD" w:rsidRPr="00853258">
        <w:t xml:space="preserve"> </w:t>
      </w:r>
      <w:r w:rsidR="0038435F" w:rsidRPr="00853258">
        <w:t xml:space="preserve">need to better understand </w:t>
      </w:r>
      <w:r w:rsidR="00FB7CAD" w:rsidRPr="00853258">
        <w:t>interactions</w:t>
      </w:r>
      <w:r w:rsidR="00FB7CAD">
        <w:t xml:space="preserve"> between officers and victims</w:t>
      </w:r>
      <w:r w:rsidR="0038435F" w:rsidRPr="00853258">
        <w:t xml:space="preserve"> during the ‘make or break’ reporting </w:t>
      </w:r>
      <w:r w:rsidR="00FB7CAD">
        <w:t>s</w:t>
      </w:r>
      <w:r w:rsidR="0038435F" w:rsidRPr="00853258">
        <w:t>tage of the investigation</w:t>
      </w:r>
      <w:r w:rsidR="00FB7CAD">
        <w:t>, stating that</w:t>
      </w:r>
      <w:r w:rsidR="0038435F" w:rsidRPr="00853258">
        <w:t xml:space="preserve"> “</w:t>
      </w:r>
      <w:r w:rsidR="00FB7CAD">
        <w:t>f</w:t>
      </w:r>
      <w:r w:rsidR="00FB7CAD" w:rsidRPr="00853258">
        <w:t xml:space="preserve">irst </w:t>
      </w:r>
      <w:r w:rsidR="0038435F" w:rsidRPr="00853258">
        <w:t>responders should receive adequate training to ensure understanding of the complexities of rape reporting and recording to ensure that all officers understand the rape myths and behaviours and respond to complainants in an objective and compassionate manner” (p. 153).</w:t>
      </w:r>
      <w:r w:rsidR="00DF41FB">
        <w:t xml:space="preserve"> </w:t>
      </w:r>
    </w:p>
    <w:p w14:paraId="2A77DB7D" w14:textId="6B3D76E3" w:rsidR="0038435F" w:rsidRPr="00853258" w:rsidRDefault="0038435F" w:rsidP="0061414A">
      <w:pPr>
        <w:pStyle w:val="Heading2"/>
      </w:pPr>
      <w:r w:rsidRPr="00853258">
        <w:t>Limitations</w:t>
      </w:r>
      <w:r w:rsidR="008114DB">
        <w:t xml:space="preserve"> and Future Research Directions</w:t>
      </w:r>
    </w:p>
    <w:p w14:paraId="532C25BF" w14:textId="71D94AB9" w:rsidR="0038435F" w:rsidRPr="00853258" w:rsidRDefault="0038435F" w:rsidP="0061414A">
      <w:pPr>
        <w:pStyle w:val="Paragraph"/>
      </w:pPr>
      <w:r w:rsidRPr="00904EB2">
        <w:t>There are a number of limitations evident in this study. First, all participants were from the</w:t>
      </w:r>
      <w:r w:rsidRPr="00853258">
        <w:t xml:space="preserve"> </w:t>
      </w:r>
      <w:r w:rsidR="00B90459" w:rsidRPr="00853258">
        <w:t>M</w:t>
      </w:r>
      <w:r w:rsidR="00B90459">
        <w:t>etropolitan Police Service</w:t>
      </w:r>
      <w:r w:rsidRPr="00853258">
        <w:t xml:space="preserve">, representing only one, albeit the largest, of the 43 police forces present in England and Wales. Whilst this force is demographically similar to other police forces within the U.K. (ONS, 2015), this service is responsible for a larger, more densely packed population, with substantially more ethnic and demographic diversity than most within England and Wales, and over 20% of all rape cases within the U.K. are recorded by </w:t>
      </w:r>
      <w:r w:rsidRPr="00853258">
        <w:lastRenderedPageBreak/>
        <w:t xml:space="preserve">this force (ONS, 2013). Regional variability in reporting, attrition, and conviction of rape across England and Wales (Horvath &amp; Brown, 2009) must, therefore, be acknowledged, as well as the impact this may have on the operational prioritisation of resources across policing services. In particular, the rape caseload within this region may contribute to an increased salience of this type of crime in terms of officer awareness and reactions. Future research should seek to examine the extent to which factors such as higher caseload may function similarly to experience in therapists, where length of experience working directly with this client group increased RMA, potentially through desensitisation and compassion fatigue (Suarez &amp; </w:t>
      </w:r>
      <w:proofErr w:type="spellStart"/>
      <w:r w:rsidRPr="00853258">
        <w:t>Gadalla</w:t>
      </w:r>
      <w:proofErr w:type="spellEnd"/>
      <w:r w:rsidRPr="00853258">
        <w:t xml:space="preserve">, 2010). In doing so, broader comparative work with officers from other forces (e.g., including urban/rural, high rape caseload/low rape caseload comparisons) may give urgently needed insight into the role of exposure in these cases. </w:t>
      </w:r>
    </w:p>
    <w:p w14:paraId="5FB0FA55" w14:textId="4087EADA" w:rsidR="0038435F" w:rsidRPr="00853258" w:rsidRDefault="0038435F" w:rsidP="0038435F">
      <w:pPr>
        <w:pStyle w:val="Newparagraph"/>
      </w:pPr>
      <w:r w:rsidRPr="00853258">
        <w:t xml:space="preserve">Secondly, despite significant efforts to assure officers that their responses were anonymous and confidential, social desirability may have played a role in the responding of participants, as officers may have been concerned about how their data may be used and provided answers in line with the expectations of their superiors. This is particularly salient in studies using police officer populations, due to the strongly top-down, authoritarian accountability structures within these organisations (Hall, Hall, &amp; Perry, 2016). The semi-controlled environment of requiring responses on an MPS computer may have exacerbated this concern to some extent, </w:t>
      </w:r>
      <w:r w:rsidR="008114DB">
        <w:t>and</w:t>
      </w:r>
      <w:r w:rsidR="008114DB" w:rsidRPr="00853258">
        <w:t xml:space="preserve"> </w:t>
      </w:r>
      <w:r w:rsidRPr="00853258">
        <w:t xml:space="preserve">future research should seek to create greater consistency of environment for participants. </w:t>
      </w:r>
      <w:r w:rsidR="008114DB">
        <w:t>However, the</w:t>
      </w:r>
      <w:r w:rsidRPr="00853258">
        <w:t xml:space="preserve"> distribution</w:t>
      </w:r>
      <w:r w:rsidR="008114DB">
        <w:t xml:space="preserve"> of the data (specifically the lack of floor effects) </w:t>
      </w:r>
      <w:r w:rsidRPr="00853258">
        <w:t xml:space="preserve">suggest that this was not a particular concern. </w:t>
      </w:r>
    </w:p>
    <w:p w14:paraId="238088F0" w14:textId="78F65630" w:rsidR="0038435F" w:rsidRPr="00853258" w:rsidRDefault="0038435F" w:rsidP="0038435F">
      <w:pPr>
        <w:pStyle w:val="Newparagraph"/>
      </w:pPr>
      <w:r w:rsidRPr="00853258">
        <w:t xml:space="preserve">Finally, </w:t>
      </w:r>
      <w:r w:rsidR="00B90459">
        <w:t xml:space="preserve">the cross-sectional design of the study, and the sole measurement of attitudes (as opposed to officer judgements or behaviours), make it difficult to establish </w:t>
      </w:r>
      <w:r w:rsidR="00305C97">
        <w:t xml:space="preserve">the extent to which these </w:t>
      </w:r>
      <w:r w:rsidRPr="00853258">
        <w:t>attitudinal findings translate directly into behaviours, or indeed directly influence interactions with victims</w:t>
      </w:r>
      <w:r w:rsidR="00B90459">
        <w:t>,</w:t>
      </w:r>
      <w:r w:rsidRPr="00853258">
        <w:t xml:space="preserve"> or the trajectories and outcomes of specific cases. However, </w:t>
      </w:r>
      <w:r w:rsidRPr="00853258">
        <w:lastRenderedPageBreak/>
        <w:t>previous research on case outcome probabilities (</w:t>
      </w:r>
      <w:r w:rsidR="00B90459">
        <w:t xml:space="preserve">e.g., </w:t>
      </w:r>
      <w:proofErr w:type="spellStart"/>
      <w:r w:rsidRPr="00853258">
        <w:t>Hohl</w:t>
      </w:r>
      <w:proofErr w:type="spellEnd"/>
      <w:r w:rsidRPr="00853258">
        <w:t xml:space="preserve"> and Stanko, 2015) and officer judgements (</w:t>
      </w:r>
      <w:r w:rsidR="00B90459">
        <w:t xml:space="preserve">e.g., </w:t>
      </w:r>
      <w:r w:rsidRPr="00853258">
        <w:t xml:space="preserve">Hine &amp; Murphy, 2017) suggests that rape myths do provide an important framework for the behaviour of officers. As such, these findings </w:t>
      </w:r>
      <w:r w:rsidR="008114DB">
        <w:t>give</w:t>
      </w:r>
      <w:r w:rsidRPr="00853258">
        <w:t xml:space="preserve"> some vital insight into the beliefs that may help inform officer’s acceptance of rape myths, and, in turn, their actions towards victims. Future research should build on this work, as well as the work of Page (2008), Rich and </w:t>
      </w:r>
      <w:proofErr w:type="spellStart"/>
      <w:r w:rsidRPr="00853258">
        <w:t>Seffrin</w:t>
      </w:r>
      <w:proofErr w:type="spellEnd"/>
      <w:r w:rsidRPr="00853258">
        <w:t xml:space="preserve"> (2012), Smith, Wilkes, and Bouffard (2016), and </w:t>
      </w:r>
      <w:proofErr w:type="spellStart"/>
      <w:r w:rsidRPr="00853258">
        <w:t>Venema</w:t>
      </w:r>
      <w:proofErr w:type="spellEnd"/>
      <w:r w:rsidRPr="00853258">
        <w:t xml:space="preserve"> (2016b), to </w:t>
      </w:r>
      <w:r w:rsidR="008114DB">
        <w:t>offer</w:t>
      </w:r>
      <w:r w:rsidR="008114DB" w:rsidRPr="00853258">
        <w:t xml:space="preserve"> </w:t>
      </w:r>
      <w:r w:rsidRPr="00853258">
        <w:t>a fuller picture of the role that attitudes and beliefs may play in officers’ perceptions of rape victims, and perpetrators, as well as the role of behaviours during reporting and throughout the investigative process. Additionally, an examination of how these manifest in reactions to victims and the role this has for victim experiences may be a significant area of exploration</w:t>
      </w:r>
      <w:r w:rsidR="008114DB">
        <w:t>, p</w:t>
      </w:r>
      <w:r w:rsidRPr="00853258">
        <w:t>articularly given the potential impact on engagement, which may undermine investigation, case-building, and ultimately the progression of cases through to prosecution. It is also vital to develop a broader, comparative base to this data. Further examination of the modelling of these predictors of RMA throughout the broad population</w:t>
      </w:r>
      <w:r w:rsidR="008114DB">
        <w:t>,</w:t>
      </w:r>
      <w:r w:rsidRPr="00853258">
        <w:t xml:space="preserve"> as well as </w:t>
      </w:r>
      <w:r w:rsidR="008114DB">
        <w:t>other populations within the</w:t>
      </w:r>
      <w:r w:rsidR="008114DB" w:rsidRPr="00853258">
        <w:t xml:space="preserve"> </w:t>
      </w:r>
      <w:r w:rsidRPr="00853258">
        <w:t>criminal justice system</w:t>
      </w:r>
      <w:r w:rsidR="008114DB">
        <w:t>,</w:t>
      </w:r>
      <w:r w:rsidRPr="00853258">
        <w:t xml:space="preserve"> would help identify the role of underpinning attitudes, beliefs, and demographic factors that are predictive of RMA universally and/or within specific populations. This may illuminate specific evidence-based training needs for </w:t>
      </w:r>
      <w:r w:rsidR="008114DB">
        <w:t xml:space="preserve">other </w:t>
      </w:r>
      <w:r w:rsidRPr="00853258">
        <w:t>groups within the criminal justice system</w:t>
      </w:r>
      <w:r w:rsidR="008114DB">
        <w:t xml:space="preserve"> (e.g., </w:t>
      </w:r>
      <w:r w:rsidR="00DF41FB">
        <w:t xml:space="preserve">jurors, </w:t>
      </w:r>
      <w:r w:rsidR="008114DB">
        <w:t>lawyers</w:t>
      </w:r>
      <w:r w:rsidR="00DF41FB">
        <w:t>,</w:t>
      </w:r>
      <w:r w:rsidR="008114DB">
        <w:t xml:space="preserve"> and judges)</w:t>
      </w:r>
      <w:r w:rsidRPr="00853258">
        <w:t xml:space="preserve">. </w:t>
      </w:r>
    </w:p>
    <w:p w14:paraId="151234E9" w14:textId="77777777" w:rsidR="0038435F" w:rsidRPr="00853258" w:rsidRDefault="0038435F" w:rsidP="0061414A">
      <w:pPr>
        <w:pStyle w:val="Heading2"/>
      </w:pPr>
      <w:r w:rsidRPr="00853258">
        <w:t>Conclusion</w:t>
      </w:r>
    </w:p>
    <w:p w14:paraId="76847A53" w14:textId="7052A7A3" w:rsidR="0038435F" w:rsidRPr="00853258" w:rsidRDefault="00C95F28" w:rsidP="0061414A">
      <w:pPr>
        <w:pStyle w:val="Paragraph"/>
      </w:pPr>
      <w:r>
        <w:t>Despite evidence provided by this and other studies that officers generally demonstrate low levels of rape myth acceptance (Sleath &amp; Bull, 2017), significant subscription to certain myths in a small minority of officers is observed.</w:t>
      </w:r>
      <w:r w:rsidR="0038435F" w:rsidRPr="00853258">
        <w:t xml:space="preserve"> Importantly, RMA has been shown to have a significant impact on victim experience and case trajectories, and such attitudes therefore represent a significant barrier to justice and provide subjectivities that may impact</w:t>
      </w:r>
      <w:r w:rsidR="00DF41FB">
        <w:t xml:space="preserve"> on</w:t>
      </w:r>
      <w:r w:rsidR="0038435F" w:rsidRPr="00853258">
        <w:t xml:space="preserve"> the </w:t>
      </w:r>
      <w:r w:rsidR="0038435F" w:rsidRPr="00853258">
        <w:lastRenderedPageBreak/>
        <w:t xml:space="preserve">victim experience. The present study adds important additional context to </w:t>
      </w:r>
      <w:r w:rsidR="00DF41FB">
        <w:t xml:space="preserve">the understanding of </w:t>
      </w:r>
      <w:r w:rsidR="0038435F" w:rsidRPr="00853258">
        <w:t xml:space="preserve">such beliefs by demonstrating that broader attitudes related to hostility towards women, sexist beliefs, and the relationship between power and sex </w:t>
      </w:r>
      <w:r>
        <w:t xml:space="preserve">that </w:t>
      </w:r>
      <w:r w:rsidR="0038435F" w:rsidRPr="00853258">
        <w:t xml:space="preserve">serve to reliably predict rape myths in police officers. Such results </w:t>
      </w:r>
      <w:r>
        <w:t xml:space="preserve">therefore </w:t>
      </w:r>
      <w:r w:rsidR="0038435F" w:rsidRPr="00853258">
        <w:t>suggest that considering RMA in isolation may constitute a limited and fruitless endeavour, particularly in attempts at attitude change.</w:t>
      </w:r>
    </w:p>
    <w:p w14:paraId="6C96DC5D" w14:textId="3F2FEDFB" w:rsidR="00C95F28" w:rsidRPr="00C95F28" w:rsidRDefault="0038435F">
      <w:pPr>
        <w:pStyle w:val="Newparagraph"/>
      </w:pPr>
      <w:r w:rsidRPr="00853258">
        <w:t xml:space="preserve">A significant review of training, particularly in reference to the potentially neglected attitudes, beliefs, and biases highlighted in this study, is </w:t>
      </w:r>
      <w:r w:rsidR="00C95F28">
        <w:t xml:space="preserve">therefore </w:t>
      </w:r>
      <w:r w:rsidRPr="00853258">
        <w:t>evidently necessary to fully capture the extent</w:t>
      </w:r>
      <w:r w:rsidR="00C95F28">
        <w:t xml:space="preserve">, </w:t>
      </w:r>
      <w:r w:rsidRPr="00853258">
        <w:t>nature</w:t>
      </w:r>
      <w:r w:rsidR="00C95F28">
        <w:t>,</w:t>
      </w:r>
      <w:r w:rsidRPr="00853258">
        <w:t xml:space="preserve"> and manifestation of RMA and its consequences. Furthermore, such programmes should take into account the impact of such beliefs throughout the process of investigation; from interaction with victims, to evidence gathering and investigation and, as importantly, within police culture, and indeed sub-cultures. Crucially, any evidence-based training should encourage critical, reflective awareness of the beliefs and subjectivities officers hold and the impact these have on the judgments they may make regarding victims and cases. A mindful consideration of how these subjectivities and attitudes manifest in the context of the downstream orientation phenomenon noted by </w:t>
      </w:r>
      <w:proofErr w:type="spellStart"/>
      <w:r w:rsidRPr="00853258">
        <w:t>Frohmann</w:t>
      </w:r>
      <w:proofErr w:type="spellEnd"/>
      <w:r w:rsidRPr="00853258">
        <w:t xml:space="preserve"> (1997), and the development of a reflective awareness of this within officers working proximal to rape may also be of significant benefit.</w:t>
      </w:r>
    </w:p>
    <w:p w14:paraId="1B7595BD" w14:textId="77777777" w:rsidR="0038435F" w:rsidRDefault="0038435F" w:rsidP="0038435F">
      <w:pPr>
        <w:pStyle w:val="Heading1"/>
        <w:spacing w:before="0" w:after="0" w:line="480" w:lineRule="auto"/>
        <w:jc w:val="center"/>
        <w:rPr>
          <w:rFonts w:cs="Times New Roman"/>
          <w:szCs w:val="24"/>
        </w:rPr>
      </w:pPr>
      <w:r>
        <w:rPr>
          <w:rFonts w:cs="Times New Roman"/>
          <w:szCs w:val="24"/>
        </w:rPr>
        <w:br w:type="page"/>
      </w:r>
    </w:p>
    <w:p w14:paraId="08FE28DD" w14:textId="77777777" w:rsidR="0038435F" w:rsidRPr="00853258" w:rsidRDefault="0038435F" w:rsidP="001E0BFC">
      <w:pPr>
        <w:pStyle w:val="Heading1"/>
      </w:pPr>
      <w:r w:rsidRPr="00853258">
        <w:lastRenderedPageBreak/>
        <w:t>References</w:t>
      </w:r>
    </w:p>
    <w:p w14:paraId="1972586A" w14:textId="77777777" w:rsidR="0038435F" w:rsidRPr="00853258" w:rsidRDefault="0038435F" w:rsidP="00904EB2">
      <w:pPr>
        <w:pStyle w:val="References"/>
      </w:pPr>
      <w:r w:rsidRPr="00853258">
        <w:t xml:space="preserve">Abrams, D., Viki, G. T., </w:t>
      </w:r>
      <w:proofErr w:type="spellStart"/>
      <w:r w:rsidRPr="00853258">
        <w:t>Masser</w:t>
      </w:r>
      <w:proofErr w:type="spellEnd"/>
      <w:r w:rsidRPr="00853258">
        <w:t xml:space="preserve">, B., &amp; Bohner, G. (2003). Perceptions of stranger and acquaintance rape: the role of benevolent and hostile sexism in victim blame and rape proclivity. </w:t>
      </w:r>
      <w:r w:rsidRPr="00853258">
        <w:rPr>
          <w:i/>
          <w:iCs/>
        </w:rPr>
        <w:t>Journal of personality and social psychology</w:t>
      </w:r>
      <w:r w:rsidRPr="00853258">
        <w:t xml:space="preserve">, </w:t>
      </w:r>
      <w:r w:rsidRPr="00853258">
        <w:rPr>
          <w:i/>
          <w:iCs/>
        </w:rPr>
        <w:t>84</w:t>
      </w:r>
      <w:r w:rsidRPr="00853258">
        <w:t xml:space="preserve">(1), 111-125. </w:t>
      </w:r>
    </w:p>
    <w:p w14:paraId="52B6A1D7" w14:textId="77777777" w:rsidR="0038435F" w:rsidRPr="00853258" w:rsidRDefault="0038435F" w:rsidP="00904EB2">
      <w:pPr>
        <w:pStyle w:val="References"/>
      </w:pPr>
      <w:proofErr w:type="spellStart"/>
      <w:r w:rsidRPr="00853258">
        <w:t>Alderden</w:t>
      </w:r>
      <w:proofErr w:type="spellEnd"/>
      <w:r w:rsidRPr="00853258">
        <w:t xml:space="preserve">, M. A., &amp; Ullman, S. E. (2012). Gender difference or indifference? Detective decision making in sexual assault cases. </w:t>
      </w:r>
      <w:r w:rsidRPr="00853258">
        <w:rPr>
          <w:i/>
        </w:rPr>
        <w:t>Journal of Interpersonal violence, 27</w:t>
      </w:r>
      <w:r w:rsidRPr="00853258">
        <w:t xml:space="preserve">, 3-22. </w:t>
      </w:r>
    </w:p>
    <w:p w14:paraId="436B8BF3" w14:textId="3CB2EAD2" w:rsidR="0038435F" w:rsidRPr="00853258" w:rsidRDefault="0038435F" w:rsidP="00904EB2">
      <w:pPr>
        <w:pStyle w:val="References"/>
      </w:pPr>
      <w:r w:rsidRPr="00853258">
        <w:t xml:space="preserve">Angiolini, E. (2015). </w:t>
      </w:r>
      <w:r w:rsidRPr="00853258">
        <w:rPr>
          <w:i/>
        </w:rPr>
        <w:t xml:space="preserve">Report </w:t>
      </w:r>
      <w:r>
        <w:rPr>
          <w:i/>
        </w:rPr>
        <w:t>of the Independent Review into t</w:t>
      </w:r>
      <w:r w:rsidRPr="00853258">
        <w:rPr>
          <w:i/>
        </w:rPr>
        <w:t>he Investigation and Prosecution of Rape in London.</w:t>
      </w:r>
      <w:r w:rsidRPr="00853258">
        <w:t xml:space="preserve"> London: CPS. Available online (accessed December 2016):http://www.cps.gov.uk/publications/equality/vaw/dame_elish_angiolini_rape_review_2015.pdf</w:t>
      </w:r>
      <w:r w:rsidR="000A4867">
        <w:t>.</w:t>
      </w:r>
    </w:p>
    <w:p w14:paraId="0FE4B0C3" w14:textId="77777777" w:rsidR="0038435F" w:rsidRPr="00853258" w:rsidRDefault="0038435F" w:rsidP="00904EB2">
      <w:pPr>
        <w:pStyle w:val="References"/>
      </w:pPr>
      <w:r w:rsidRPr="00853258">
        <w:t xml:space="preserve">Anderson, K. B., Cooper, H., &amp; Okamura, L. (1997). Individual differences and attitudes toward rape: A meta-analytic review. </w:t>
      </w:r>
      <w:r w:rsidRPr="00853258">
        <w:rPr>
          <w:i/>
          <w:iCs/>
        </w:rPr>
        <w:t>Personality and Social Psychology Bulletin</w:t>
      </w:r>
      <w:r w:rsidRPr="00853258">
        <w:t xml:space="preserve">, </w:t>
      </w:r>
      <w:r w:rsidRPr="00853258">
        <w:rPr>
          <w:i/>
          <w:iCs/>
        </w:rPr>
        <w:t>23</w:t>
      </w:r>
      <w:r w:rsidRPr="00853258">
        <w:t>(3), 295-315.</w:t>
      </w:r>
    </w:p>
    <w:p w14:paraId="535DE741" w14:textId="4133E385" w:rsidR="0038435F" w:rsidRDefault="0038435F" w:rsidP="00904EB2">
      <w:pPr>
        <w:pStyle w:val="References"/>
      </w:pPr>
      <w:r w:rsidRPr="00853258">
        <w:t>Anderson, L. A., &amp; Whiston, S. C. (2005). Sexual assault education programs: A meta</w:t>
      </w:r>
      <w:r w:rsidRPr="00853258">
        <w:rPr>
          <w:rFonts w:ascii="Cambria Math" w:eastAsia="Calibri" w:hAnsi="Cambria Math" w:cs="Cambria Math"/>
        </w:rPr>
        <w:t>‐</w:t>
      </w:r>
      <w:r w:rsidRPr="00853258">
        <w:t xml:space="preserve">analytic examination of their effectiveness. </w:t>
      </w:r>
      <w:r w:rsidRPr="00853258">
        <w:rPr>
          <w:i/>
          <w:iCs/>
        </w:rPr>
        <w:t>Psychology of Women Quarterly</w:t>
      </w:r>
      <w:r w:rsidRPr="00853258">
        <w:t xml:space="preserve">, </w:t>
      </w:r>
      <w:r w:rsidRPr="00853258">
        <w:rPr>
          <w:i/>
          <w:iCs/>
        </w:rPr>
        <w:t>29</w:t>
      </w:r>
      <w:r w:rsidRPr="00853258">
        <w:t xml:space="preserve">(4), 374-388. </w:t>
      </w:r>
    </w:p>
    <w:p w14:paraId="7EAC4C0A" w14:textId="32EE1CF6" w:rsidR="006A7790" w:rsidRPr="006A7790" w:rsidRDefault="006A7790" w:rsidP="00904EB2">
      <w:pPr>
        <w:pStyle w:val="References"/>
      </w:pPr>
      <w:proofErr w:type="spellStart"/>
      <w:r w:rsidRPr="00457493">
        <w:rPr>
          <w:color w:val="222222"/>
          <w:shd w:val="clear" w:color="auto" w:fill="FFFFFF"/>
        </w:rPr>
        <w:t>Aosved</w:t>
      </w:r>
      <w:proofErr w:type="spellEnd"/>
      <w:r w:rsidRPr="00457493">
        <w:rPr>
          <w:color w:val="222222"/>
          <w:shd w:val="clear" w:color="auto" w:fill="FFFFFF"/>
        </w:rPr>
        <w:t>, A. C., &amp; Long, P. J. (2006). Co-occurrence of rape myth acceptance, sexism, racism, homophobia, ageism, classism, and religious intolerance. </w:t>
      </w:r>
      <w:r w:rsidRPr="00457493">
        <w:rPr>
          <w:i/>
          <w:iCs/>
          <w:color w:val="222222"/>
        </w:rPr>
        <w:t>Sex roles</w:t>
      </w:r>
      <w:r w:rsidRPr="00457493">
        <w:rPr>
          <w:color w:val="222222"/>
          <w:shd w:val="clear" w:color="auto" w:fill="FFFFFF"/>
        </w:rPr>
        <w:t>, </w:t>
      </w:r>
      <w:r w:rsidRPr="00457493">
        <w:rPr>
          <w:i/>
          <w:iCs/>
          <w:color w:val="222222"/>
        </w:rPr>
        <w:t>55</w:t>
      </w:r>
      <w:r w:rsidRPr="00457493">
        <w:rPr>
          <w:color w:val="222222"/>
          <w:shd w:val="clear" w:color="auto" w:fill="FFFFFF"/>
        </w:rPr>
        <w:t>(7-8), 481-492.</w:t>
      </w:r>
    </w:p>
    <w:p w14:paraId="547D8E37" w14:textId="77777777" w:rsidR="0038435F" w:rsidRDefault="0038435F" w:rsidP="00904EB2">
      <w:pPr>
        <w:pStyle w:val="References"/>
      </w:pPr>
      <w:proofErr w:type="spellStart"/>
      <w:r w:rsidRPr="00853258">
        <w:t>Bargh</w:t>
      </w:r>
      <w:proofErr w:type="spellEnd"/>
      <w:r w:rsidRPr="00853258">
        <w:t xml:space="preserve">, J. A., Raymond, P., Pryor, J. B., &amp; </w:t>
      </w:r>
      <w:proofErr w:type="spellStart"/>
      <w:r w:rsidRPr="00853258">
        <w:t>Strack</w:t>
      </w:r>
      <w:proofErr w:type="spellEnd"/>
      <w:r w:rsidRPr="00853258">
        <w:t xml:space="preserve">, F. (1995). Attractiveness of the </w:t>
      </w:r>
      <w:proofErr w:type="spellStart"/>
      <w:r w:rsidRPr="00853258">
        <w:t>underyling</w:t>
      </w:r>
      <w:proofErr w:type="spellEnd"/>
      <w:r w:rsidRPr="00853258">
        <w:t xml:space="preserve">: An automatic </w:t>
      </w:r>
      <w:proofErr w:type="spellStart"/>
      <w:r w:rsidRPr="00853258">
        <w:t>power→sex</w:t>
      </w:r>
      <w:proofErr w:type="spellEnd"/>
      <w:r w:rsidRPr="00853258">
        <w:t xml:space="preserve"> association and its consequences for sexual harassment and aggression. </w:t>
      </w:r>
      <w:r w:rsidRPr="00853258">
        <w:rPr>
          <w:i/>
          <w:iCs/>
        </w:rPr>
        <w:t>Journal of personality and social psychology</w:t>
      </w:r>
      <w:r w:rsidRPr="00853258">
        <w:t xml:space="preserve">, </w:t>
      </w:r>
      <w:r w:rsidRPr="00853258">
        <w:rPr>
          <w:i/>
          <w:iCs/>
        </w:rPr>
        <w:t>68</w:t>
      </w:r>
      <w:r w:rsidRPr="00853258">
        <w:t xml:space="preserve">(5), 768-781. </w:t>
      </w:r>
    </w:p>
    <w:p w14:paraId="0F10B386" w14:textId="228F01EA" w:rsidR="00B71BAB" w:rsidRPr="00853258" w:rsidRDefault="00B71BAB" w:rsidP="00904EB2">
      <w:pPr>
        <w:pStyle w:val="References"/>
      </w:pPr>
      <w:proofErr w:type="spellStart"/>
      <w:r w:rsidRPr="00B71BAB">
        <w:t>Beichner</w:t>
      </w:r>
      <w:proofErr w:type="spellEnd"/>
      <w:r w:rsidRPr="00B71BAB">
        <w:t>, D., &amp; Spohn, C. (2005). Prosecutorial charging decisions in sexual assault cases: Examining the impact of a specialized prosecution unit. </w:t>
      </w:r>
      <w:r w:rsidRPr="00B71BAB">
        <w:rPr>
          <w:i/>
          <w:iCs/>
        </w:rPr>
        <w:t>Criminal Justice Policy Review</w:t>
      </w:r>
      <w:r w:rsidRPr="00B71BAB">
        <w:t>, </w:t>
      </w:r>
      <w:r w:rsidRPr="00B71BAB">
        <w:rPr>
          <w:i/>
          <w:iCs/>
        </w:rPr>
        <w:t>16</w:t>
      </w:r>
      <w:r w:rsidRPr="00B71BAB">
        <w:t>(4), 461-498.</w:t>
      </w:r>
    </w:p>
    <w:p w14:paraId="6FC5B981" w14:textId="77777777" w:rsidR="0038435F" w:rsidRPr="00853258" w:rsidRDefault="0038435F" w:rsidP="00904EB2">
      <w:pPr>
        <w:pStyle w:val="References"/>
      </w:pPr>
      <w:r w:rsidRPr="00853258">
        <w:t xml:space="preserve">Bohner, G. (1998). </w:t>
      </w:r>
      <w:proofErr w:type="spellStart"/>
      <w:r w:rsidRPr="00853258">
        <w:rPr>
          <w:i/>
        </w:rPr>
        <w:t>Vergewaltigungsmythem</w:t>
      </w:r>
      <w:proofErr w:type="spellEnd"/>
      <w:r w:rsidRPr="00853258">
        <w:rPr>
          <w:i/>
        </w:rPr>
        <w:t xml:space="preserve"> [Rape myths]. </w:t>
      </w:r>
      <w:r w:rsidRPr="00853258">
        <w:t xml:space="preserve">Landau, Germany: Verlag </w:t>
      </w:r>
      <w:proofErr w:type="spellStart"/>
      <w:r w:rsidRPr="00853258">
        <w:t>Empirische</w:t>
      </w:r>
      <w:proofErr w:type="spellEnd"/>
      <w:r w:rsidRPr="00853258">
        <w:t xml:space="preserve"> </w:t>
      </w:r>
      <w:proofErr w:type="spellStart"/>
      <w:r w:rsidRPr="00853258">
        <w:t>Pädagogik</w:t>
      </w:r>
      <w:proofErr w:type="spellEnd"/>
      <w:r w:rsidRPr="00853258">
        <w:t>.</w:t>
      </w:r>
    </w:p>
    <w:p w14:paraId="0F6A8ECA" w14:textId="77777777" w:rsidR="0038435F" w:rsidRPr="00853258" w:rsidRDefault="0038435F" w:rsidP="00904EB2">
      <w:pPr>
        <w:pStyle w:val="References"/>
      </w:pPr>
      <w:r w:rsidRPr="00853258">
        <w:t xml:space="preserve">Bohner, G., </w:t>
      </w:r>
      <w:proofErr w:type="spellStart"/>
      <w:r w:rsidRPr="00853258">
        <w:t>Eyssel</w:t>
      </w:r>
      <w:proofErr w:type="spellEnd"/>
      <w:r w:rsidRPr="00853258">
        <w:t xml:space="preserve">, F., Pina, A., Siebler, F., &amp; Viki, G. T. (2009). Rape myth acceptance: Cognitive, affective and behavioural effects of beliefs that blame the victim and exonerate the perpetrator. In M. A. Horvath &amp; J. Brown (Eds.), </w:t>
      </w:r>
      <w:r w:rsidRPr="00853258">
        <w:rPr>
          <w:i/>
          <w:iCs/>
        </w:rPr>
        <w:t>Rape: Challenging contemporary thinking</w:t>
      </w:r>
      <w:r w:rsidRPr="00853258">
        <w:t>, 17-45.</w:t>
      </w:r>
    </w:p>
    <w:p w14:paraId="05F497DB" w14:textId="77777777" w:rsidR="0038435F" w:rsidRPr="00853258" w:rsidRDefault="0038435F" w:rsidP="00904EB2">
      <w:pPr>
        <w:pStyle w:val="References"/>
      </w:pPr>
      <w:r w:rsidRPr="00853258">
        <w:rPr>
          <w:color w:val="000000"/>
        </w:rPr>
        <w:t xml:space="preserve">Brown, J. (2011). We mind and we care but have things changed? Assessment of progress in reporting, investigating and prosecution of rape. </w:t>
      </w:r>
      <w:r w:rsidRPr="00853258">
        <w:rPr>
          <w:i/>
          <w:iCs/>
          <w:color w:val="000000"/>
        </w:rPr>
        <w:t xml:space="preserve">Journal of Sexual Aggression, </w:t>
      </w:r>
      <w:r w:rsidRPr="00853258">
        <w:rPr>
          <w:i/>
          <w:color w:val="000000"/>
        </w:rPr>
        <w:t>17</w:t>
      </w:r>
      <w:r w:rsidRPr="00853258">
        <w:rPr>
          <w:color w:val="000000"/>
        </w:rPr>
        <w:t xml:space="preserve">(3), 263-272. </w:t>
      </w:r>
    </w:p>
    <w:p w14:paraId="13725014" w14:textId="77777777" w:rsidR="0038435F" w:rsidRPr="00853258" w:rsidRDefault="0038435F" w:rsidP="00904EB2">
      <w:pPr>
        <w:pStyle w:val="References"/>
      </w:pPr>
      <w:proofErr w:type="spellStart"/>
      <w:r w:rsidRPr="00853258">
        <w:lastRenderedPageBreak/>
        <w:t>Brownmiller</w:t>
      </w:r>
      <w:proofErr w:type="spellEnd"/>
      <w:r w:rsidRPr="00853258">
        <w:t xml:space="preserve">, S. (1975). </w:t>
      </w:r>
      <w:r w:rsidRPr="00853258">
        <w:rPr>
          <w:i/>
        </w:rPr>
        <w:t xml:space="preserve">Against Our Will: Men, Women, and rape. </w:t>
      </w:r>
      <w:r w:rsidRPr="00853258">
        <w:t>New York: Simon and Schuster.</w:t>
      </w:r>
    </w:p>
    <w:p w14:paraId="2376C67D" w14:textId="77777777" w:rsidR="0038435F" w:rsidRPr="00853258" w:rsidRDefault="0038435F" w:rsidP="00904EB2">
      <w:pPr>
        <w:pStyle w:val="References"/>
      </w:pPr>
      <w:r w:rsidRPr="00853258">
        <w:t xml:space="preserve">Buchwald, E., Fletcher, P. R., &amp; Roth, M. (2005). </w:t>
      </w:r>
      <w:r w:rsidRPr="00853258">
        <w:rPr>
          <w:i/>
        </w:rPr>
        <w:t xml:space="preserve">Transforming a rape culture. </w:t>
      </w:r>
      <w:proofErr w:type="spellStart"/>
      <w:r w:rsidRPr="00853258">
        <w:t>Minneaopolis</w:t>
      </w:r>
      <w:proofErr w:type="spellEnd"/>
      <w:r w:rsidRPr="00853258">
        <w:t>, MN: Milkweed Editions.</w:t>
      </w:r>
    </w:p>
    <w:p w14:paraId="1EA97E3B" w14:textId="77777777" w:rsidR="0038435F" w:rsidRDefault="0038435F" w:rsidP="00904EB2">
      <w:pPr>
        <w:pStyle w:val="References"/>
        <w:rPr>
          <w:color w:val="000000"/>
        </w:rPr>
      </w:pPr>
      <w:r w:rsidRPr="00853258">
        <w:rPr>
          <w:color w:val="000000"/>
        </w:rPr>
        <w:t xml:space="preserve">Burt, M. (1980). Cultural myths and supports of rape. </w:t>
      </w:r>
      <w:r w:rsidRPr="00853258">
        <w:rPr>
          <w:i/>
          <w:iCs/>
          <w:color w:val="000000"/>
        </w:rPr>
        <w:t xml:space="preserve">Journal of Personality and Social Psychology, </w:t>
      </w:r>
      <w:r w:rsidRPr="00853258">
        <w:rPr>
          <w:i/>
          <w:color w:val="000000"/>
        </w:rPr>
        <w:t>38</w:t>
      </w:r>
      <w:r w:rsidRPr="00853258">
        <w:rPr>
          <w:color w:val="000000"/>
        </w:rPr>
        <w:t>. 217–230.</w:t>
      </w:r>
    </w:p>
    <w:p w14:paraId="56DF4CE1" w14:textId="4AD794C0" w:rsidR="00B71BAB" w:rsidRPr="00B71BAB" w:rsidRDefault="00B71BAB" w:rsidP="00904EB2">
      <w:pPr>
        <w:pStyle w:val="References"/>
        <w:rPr>
          <w:color w:val="000000"/>
        </w:rPr>
      </w:pPr>
      <w:r w:rsidRPr="00B71BAB">
        <w:rPr>
          <w:color w:val="222222"/>
          <w:shd w:val="clear" w:color="auto" w:fill="FFFFFF"/>
        </w:rPr>
        <w:t>Campbell, R. (2006). Rape survivors' experiences with the legal and medical systems: Do rape vict</w:t>
      </w:r>
      <w:r w:rsidR="00F32E9E">
        <w:rPr>
          <w:color w:val="222222"/>
          <w:shd w:val="clear" w:color="auto" w:fill="FFFFFF"/>
        </w:rPr>
        <w:t>im advocates make a difference?</w:t>
      </w:r>
      <w:r w:rsidRPr="00B71BAB">
        <w:rPr>
          <w:color w:val="222222"/>
          <w:shd w:val="clear" w:color="auto" w:fill="FFFFFF"/>
        </w:rPr>
        <w:t> </w:t>
      </w:r>
      <w:r w:rsidRPr="00B71BAB">
        <w:rPr>
          <w:i/>
          <w:iCs/>
          <w:color w:val="222222"/>
          <w:shd w:val="clear" w:color="auto" w:fill="FFFFFF"/>
        </w:rPr>
        <w:t>Violence against women</w:t>
      </w:r>
      <w:r w:rsidRPr="00B71BAB">
        <w:rPr>
          <w:color w:val="222222"/>
          <w:shd w:val="clear" w:color="auto" w:fill="FFFFFF"/>
        </w:rPr>
        <w:t>, </w:t>
      </w:r>
      <w:r w:rsidRPr="00B71BAB">
        <w:rPr>
          <w:i/>
          <w:iCs/>
          <w:color w:val="222222"/>
          <w:shd w:val="clear" w:color="auto" w:fill="FFFFFF"/>
        </w:rPr>
        <w:t>12</w:t>
      </w:r>
      <w:r w:rsidRPr="00B71BAB">
        <w:rPr>
          <w:color w:val="222222"/>
          <w:shd w:val="clear" w:color="auto" w:fill="FFFFFF"/>
        </w:rPr>
        <w:t>(1), 30-45.</w:t>
      </w:r>
    </w:p>
    <w:p w14:paraId="675C6896" w14:textId="77777777" w:rsidR="0038435F" w:rsidRPr="00853258" w:rsidRDefault="0038435F" w:rsidP="00904EB2">
      <w:pPr>
        <w:pStyle w:val="References"/>
      </w:pPr>
      <w:r w:rsidRPr="00853258">
        <w:t xml:space="preserve">Campbell, R., &amp; Johnson, C. R. (1997). Police Officers’ perception of rape: Is there consistency between state laws and individual beliefs? </w:t>
      </w:r>
      <w:r w:rsidRPr="00853258">
        <w:rPr>
          <w:i/>
        </w:rPr>
        <w:t xml:space="preserve">Journal of Interpersonal Violence, 12, </w:t>
      </w:r>
      <w:r w:rsidRPr="00853258">
        <w:t>255-274.</w:t>
      </w:r>
    </w:p>
    <w:p w14:paraId="5F252373" w14:textId="77777777" w:rsidR="0038435F" w:rsidRPr="00853258" w:rsidRDefault="0038435F" w:rsidP="00904EB2">
      <w:pPr>
        <w:pStyle w:val="References"/>
      </w:pPr>
      <w:r w:rsidRPr="00853258">
        <w:t xml:space="preserve">Campbell, R., Bybee, D., Townsend, S. M., Shaw, J., Karim, N., &amp; Markowitz, J. (2014). The impact of sexual assault nurse examiner programs on criminal justice case outcomes: A multisite replication study. </w:t>
      </w:r>
      <w:r w:rsidRPr="00853258">
        <w:rPr>
          <w:i/>
          <w:iCs/>
        </w:rPr>
        <w:t>Violence against women</w:t>
      </w:r>
      <w:r w:rsidRPr="00853258">
        <w:t xml:space="preserve">, </w:t>
      </w:r>
      <w:r w:rsidRPr="00853258">
        <w:rPr>
          <w:i/>
          <w:iCs/>
        </w:rPr>
        <w:t>20</w:t>
      </w:r>
      <w:r w:rsidRPr="00853258">
        <w:t xml:space="preserve">(5), 607-625. </w:t>
      </w:r>
    </w:p>
    <w:p w14:paraId="2ECDCE44" w14:textId="77777777" w:rsidR="0038435F" w:rsidRPr="00853258" w:rsidRDefault="0038435F" w:rsidP="00904EB2">
      <w:pPr>
        <w:pStyle w:val="References"/>
      </w:pPr>
      <w:r w:rsidRPr="00853258">
        <w:t xml:space="preserve">Campbell, R., Wasco, S. M., Ahrens, C. E., </w:t>
      </w:r>
      <w:proofErr w:type="spellStart"/>
      <w:r w:rsidRPr="00853258">
        <w:t>Sefl</w:t>
      </w:r>
      <w:proofErr w:type="spellEnd"/>
      <w:r w:rsidRPr="00853258">
        <w:t xml:space="preserve">, T., &amp; Barnes, H. E. (2001). Preventing the “Second rape” rape survivors' experiences with community service providers. </w:t>
      </w:r>
      <w:r w:rsidRPr="00853258">
        <w:rPr>
          <w:i/>
          <w:iCs/>
        </w:rPr>
        <w:t>Journal of interpersonal violence</w:t>
      </w:r>
      <w:r w:rsidRPr="00853258">
        <w:t xml:space="preserve">, </w:t>
      </w:r>
      <w:r w:rsidRPr="00853258">
        <w:rPr>
          <w:i/>
          <w:iCs/>
        </w:rPr>
        <w:t>16</w:t>
      </w:r>
      <w:r w:rsidRPr="00853258">
        <w:t xml:space="preserve">(12), 1239-1259. </w:t>
      </w:r>
    </w:p>
    <w:p w14:paraId="286ED83A" w14:textId="77777777" w:rsidR="0038435F" w:rsidRPr="00853258" w:rsidRDefault="0038435F" w:rsidP="00904EB2">
      <w:pPr>
        <w:pStyle w:val="References"/>
      </w:pPr>
      <w:r w:rsidRPr="00853258">
        <w:t xml:space="preserve">Chapleau, K. M., &amp; Oswald, D. L. (2010). Power, sex, and rape myth acceptance: Testing two models of rape proclivity. </w:t>
      </w:r>
      <w:r w:rsidRPr="00853258">
        <w:rPr>
          <w:i/>
          <w:iCs/>
        </w:rPr>
        <w:t>Journal of sex research</w:t>
      </w:r>
      <w:r w:rsidRPr="00853258">
        <w:t xml:space="preserve">, </w:t>
      </w:r>
      <w:r w:rsidRPr="00853258">
        <w:rPr>
          <w:i/>
          <w:iCs/>
        </w:rPr>
        <w:t>47</w:t>
      </w:r>
      <w:r w:rsidRPr="00853258">
        <w:t xml:space="preserve">(1), 66-78. </w:t>
      </w:r>
    </w:p>
    <w:p w14:paraId="3F69F486" w14:textId="77777777" w:rsidR="0038435F" w:rsidRPr="00853258" w:rsidRDefault="0038435F" w:rsidP="00904EB2">
      <w:pPr>
        <w:pStyle w:val="References"/>
      </w:pPr>
      <w:r w:rsidRPr="00853258">
        <w:t xml:space="preserve">Chapleau, K. M., Oswald, D. L., &amp; Russell, B. L. (2007). How ambivalent sexism toward women and men support rape myth acceptance. </w:t>
      </w:r>
      <w:r w:rsidRPr="00853258">
        <w:rPr>
          <w:i/>
          <w:iCs/>
        </w:rPr>
        <w:t>Sex Roles</w:t>
      </w:r>
      <w:r w:rsidRPr="00853258">
        <w:t xml:space="preserve">, </w:t>
      </w:r>
      <w:r w:rsidRPr="00853258">
        <w:rPr>
          <w:i/>
          <w:iCs/>
        </w:rPr>
        <w:t>57</w:t>
      </w:r>
      <w:r w:rsidRPr="00853258">
        <w:t xml:space="preserve">(1-2), 131-136. </w:t>
      </w:r>
    </w:p>
    <w:p w14:paraId="5ED68F25" w14:textId="77777777" w:rsidR="0038435F" w:rsidRPr="00853258" w:rsidRDefault="0038435F" w:rsidP="00904EB2">
      <w:pPr>
        <w:pStyle w:val="References"/>
      </w:pPr>
      <w:r w:rsidRPr="00853258">
        <w:t xml:space="preserve">Check, J. V., </w:t>
      </w:r>
      <w:proofErr w:type="spellStart"/>
      <w:r w:rsidRPr="00853258">
        <w:t>Malamuth</w:t>
      </w:r>
      <w:proofErr w:type="spellEnd"/>
      <w:r w:rsidRPr="00853258">
        <w:t xml:space="preserve">, N. M., Elias, B., &amp; Barton, S. (1985). On hostile ground. </w:t>
      </w:r>
      <w:r w:rsidRPr="00853258">
        <w:rPr>
          <w:i/>
          <w:iCs/>
        </w:rPr>
        <w:t>Psychology Today</w:t>
      </w:r>
      <w:r w:rsidRPr="00853258">
        <w:t xml:space="preserve">, </w:t>
      </w:r>
      <w:r w:rsidRPr="00853258">
        <w:rPr>
          <w:i/>
          <w:iCs/>
        </w:rPr>
        <w:t>19</w:t>
      </w:r>
      <w:r w:rsidRPr="00853258">
        <w:t>(4), 56-61.</w:t>
      </w:r>
    </w:p>
    <w:p w14:paraId="683E6FCE" w14:textId="77777777" w:rsidR="0038435F" w:rsidRPr="00853258" w:rsidRDefault="0038435F" w:rsidP="00904EB2">
      <w:pPr>
        <w:pStyle w:val="References"/>
      </w:pPr>
      <w:r w:rsidRPr="00853258">
        <w:t xml:space="preserve">Chen, Y., &amp; Ullman, S. E. (2010). Women’s reporting of sexual and physical assaults to police in the National Violence Against Women Survey. </w:t>
      </w:r>
      <w:r w:rsidRPr="00853258">
        <w:rPr>
          <w:i/>
          <w:iCs/>
        </w:rPr>
        <w:t>Violence Against Women</w:t>
      </w:r>
      <w:r w:rsidRPr="00853258">
        <w:t xml:space="preserve">, </w:t>
      </w:r>
      <w:r w:rsidRPr="00853258">
        <w:rPr>
          <w:i/>
          <w:iCs/>
        </w:rPr>
        <w:t>16</w:t>
      </w:r>
      <w:r w:rsidRPr="00853258">
        <w:t xml:space="preserve">(3), 262-279. </w:t>
      </w:r>
    </w:p>
    <w:p w14:paraId="3E542B38" w14:textId="77777777" w:rsidR="0038435F" w:rsidRPr="00853258" w:rsidRDefault="0038435F" w:rsidP="00904EB2">
      <w:pPr>
        <w:pStyle w:val="References"/>
      </w:pPr>
      <w:r w:rsidRPr="00853258">
        <w:t xml:space="preserve">Cohen, J. (1988). </w:t>
      </w:r>
      <w:r w:rsidRPr="00853258">
        <w:rPr>
          <w:i/>
        </w:rPr>
        <w:t xml:space="preserve">Statistical Power Analysis for the </w:t>
      </w:r>
      <w:proofErr w:type="spellStart"/>
      <w:r w:rsidRPr="00853258">
        <w:rPr>
          <w:i/>
        </w:rPr>
        <w:t>Behavioral</w:t>
      </w:r>
      <w:proofErr w:type="spellEnd"/>
      <w:r w:rsidRPr="00853258">
        <w:rPr>
          <w:i/>
        </w:rPr>
        <w:t xml:space="preserve"> Sciences</w:t>
      </w:r>
      <w:r w:rsidRPr="00853258">
        <w:t xml:space="preserve">. </w:t>
      </w:r>
      <w:proofErr w:type="spellStart"/>
      <w:r w:rsidRPr="00853258">
        <w:t>Hilsdale</w:t>
      </w:r>
      <w:proofErr w:type="spellEnd"/>
      <w:r w:rsidRPr="00853258">
        <w:t xml:space="preserve">. </w:t>
      </w:r>
      <w:r w:rsidRPr="00853258">
        <w:rPr>
          <w:iCs/>
        </w:rPr>
        <w:t xml:space="preserve">NJ: Lawrence </w:t>
      </w:r>
      <w:proofErr w:type="spellStart"/>
      <w:r w:rsidRPr="00853258">
        <w:rPr>
          <w:iCs/>
        </w:rPr>
        <w:t>Earlbaum</w:t>
      </w:r>
      <w:proofErr w:type="spellEnd"/>
      <w:r w:rsidRPr="00853258">
        <w:rPr>
          <w:iCs/>
        </w:rPr>
        <w:t xml:space="preserve"> Associates</w:t>
      </w:r>
      <w:r w:rsidRPr="00853258">
        <w:t xml:space="preserve">, </w:t>
      </w:r>
      <w:r w:rsidRPr="00853258">
        <w:rPr>
          <w:iCs/>
        </w:rPr>
        <w:t>2</w:t>
      </w:r>
      <w:r w:rsidRPr="00853258">
        <w:t>.</w:t>
      </w:r>
    </w:p>
    <w:p w14:paraId="3E0AE713" w14:textId="77777777" w:rsidR="0038435F" w:rsidRPr="00853258" w:rsidRDefault="0038435F" w:rsidP="00904EB2">
      <w:pPr>
        <w:pStyle w:val="References"/>
      </w:pPr>
      <w:r w:rsidRPr="00853258">
        <w:t xml:space="preserve">Connell (2002), R. W. (2002). </w:t>
      </w:r>
      <w:r w:rsidRPr="00853258">
        <w:rPr>
          <w:i/>
        </w:rPr>
        <w:t xml:space="preserve">Gender (Short Introductions). </w:t>
      </w:r>
      <w:r w:rsidRPr="00853258">
        <w:t>Cambridge, U.K.: Polity Press.</w:t>
      </w:r>
    </w:p>
    <w:p w14:paraId="434F94AD" w14:textId="77777777" w:rsidR="0038435F" w:rsidRPr="00853258" w:rsidRDefault="0038435F" w:rsidP="00904EB2">
      <w:pPr>
        <w:pStyle w:val="References"/>
      </w:pPr>
      <w:r w:rsidRPr="00853258">
        <w:t xml:space="preserve">CPS (2008, 2009, 2010, 2011, 2012, 2013). </w:t>
      </w:r>
      <w:r w:rsidRPr="00853258">
        <w:rPr>
          <w:i/>
        </w:rPr>
        <w:t xml:space="preserve">Violence Against Women </w:t>
      </w:r>
      <w:proofErr w:type="gramStart"/>
      <w:r w:rsidRPr="00853258">
        <w:rPr>
          <w:i/>
        </w:rPr>
        <w:t>And</w:t>
      </w:r>
      <w:proofErr w:type="gramEnd"/>
      <w:r w:rsidRPr="00853258">
        <w:rPr>
          <w:i/>
        </w:rPr>
        <w:t xml:space="preserve"> Girls Crime - Annual Reports.</w:t>
      </w:r>
      <w:r w:rsidRPr="00853258">
        <w:t xml:space="preserve"> London: CPS. Available online (accessed December 2016): http://www.cps.gov.uk/publications/equality/vaw/.</w:t>
      </w:r>
    </w:p>
    <w:p w14:paraId="5F078358" w14:textId="2FB42564" w:rsidR="0038435F" w:rsidRPr="00853258" w:rsidRDefault="0038435F" w:rsidP="00904EB2">
      <w:pPr>
        <w:pStyle w:val="References"/>
      </w:pPr>
      <w:r w:rsidRPr="00853258">
        <w:lastRenderedPageBreak/>
        <w:t>CPS (Crown Prosecution Service) (</w:t>
      </w:r>
      <w:r w:rsidR="00FD0EC6">
        <w:rPr>
          <w:rStyle w:val="nlmyear"/>
        </w:rPr>
        <w:t>2015</w:t>
      </w:r>
      <w:r w:rsidRPr="00853258">
        <w:t xml:space="preserve">) </w:t>
      </w:r>
      <w:r w:rsidRPr="00853258">
        <w:rPr>
          <w:i/>
        </w:rPr>
        <w:t xml:space="preserve">Joint CPS and Police Rape Action Plan. </w:t>
      </w:r>
      <w:r w:rsidRPr="00853258">
        <w:rPr>
          <w:rStyle w:val="nlmpublisher-loc"/>
        </w:rPr>
        <w:t>London</w:t>
      </w:r>
      <w:r w:rsidRPr="00853258">
        <w:t xml:space="preserve">: </w:t>
      </w:r>
      <w:r w:rsidRPr="00853258">
        <w:rPr>
          <w:rStyle w:val="nlmpublisher-name"/>
        </w:rPr>
        <w:t>CPS</w:t>
      </w:r>
      <w:r w:rsidRPr="00853258">
        <w:t>. URL (</w:t>
      </w:r>
      <w:r w:rsidRPr="00853258">
        <w:rPr>
          <w:rStyle w:val="nlmdate-in-citation"/>
        </w:rPr>
        <w:t>accessed January 2017)</w:t>
      </w:r>
      <w:r w:rsidRPr="00853258">
        <w:t>: http://www.cps.gov.uk/publications/equality/vaw/rape_action_plan.pdf.</w:t>
      </w:r>
    </w:p>
    <w:p w14:paraId="3E46A049" w14:textId="77777777" w:rsidR="0038435F" w:rsidRDefault="0038435F" w:rsidP="00904EB2">
      <w:pPr>
        <w:pStyle w:val="References"/>
      </w:pPr>
      <w:r w:rsidRPr="00853258">
        <w:t xml:space="preserve">Dang, S. S., &amp; </w:t>
      </w:r>
      <w:proofErr w:type="spellStart"/>
      <w:r w:rsidRPr="00853258">
        <w:t>Gorzalka</w:t>
      </w:r>
      <w:proofErr w:type="spellEnd"/>
      <w:r w:rsidRPr="00853258">
        <w:t xml:space="preserve">, B. B. (2015). Insecure attachment style and dysfunctional sexual beliefs predict sexual coercion proclivity in university Men. </w:t>
      </w:r>
      <w:r w:rsidRPr="00853258">
        <w:rPr>
          <w:i/>
          <w:iCs/>
        </w:rPr>
        <w:t>Sexual medicine</w:t>
      </w:r>
      <w:r w:rsidRPr="00853258">
        <w:t xml:space="preserve">, </w:t>
      </w:r>
      <w:r w:rsidRPr="00853258">
        <w:rPr>
          <w:i/>
          <w:iCs/>
        </w:rPr>
        <w:t>3</w:t>
      </w:r>
      <w:r w:rsidRPr="00853258">
        <w:t xml:space="preserve">(2), 99-108. </w:t>
      </w:r>
    </w:p>
    <w:p w14:paraId="26220F0D" w14:textId="2F23A3A1" w:rsidR="00446ECB" w:rsidRPr="00853258" w:rsidRDefault="00446ECB" w:rsidP="00904EB2">
      <w:pPr>
        <w:pStyle w:val="References"/>
      </w:pPr>
      <w:proofErr w:type="spellStart"/>
      <w:r w:rsidRPr="00446ECB">
        <w:t>Darwinkel</w:t>
      </w:r>
      <w:proofErr w:type="spellEnd"/>
      <w:r w:rsidRPr="00446ECB">
        <w:t xml:space="preserve">, E., Powell, M., &amp; </w:t>
      </w:r>
      <w:proofErr w:type="spellStart"/>
      <w:r w:rsidRPr="00446ECB">
        <w:t>Tidmarsh</w:t>
      </w:r>
      <w:proofErr w:type="spellEnd"/>
      <w:r w:rsidRPr="00446ECB">
        <w:t>, P. (2013). Improving police officers’ perceptions of sexual offending through intensive training. </w:t>
      </w:r>
      <w:r w:rsidRPr="00446ECB">
        <w:rPr>
          <w:i/>
          <w:iCs/>
        </w:rPr>
        <w:t>Criminal justice and behavior</w:t>
      </w:r>
      <w:r w:rsidRPr="00446ECB">
        <w:t>, </w:t>
      </w:r>
      <w:r w:rsidRPr="00446ECB">
        <w:rPr>
          <w:i/>
          <w:iCs/>
        </w:rPr>
        <w:t>40</w:t>
      </w:r>
      <w:r w:rsidRPr="00446ECB">
        <w:t>(8), 895-908.</w:t>
      </w:r>
    </w:p>
    <w:p w14:paraId="367FD7C7" w14:textId="77777777" w:rsidR="0038435F" w:rsidRPr="00853258" w:rsidRDefault="0038435F" w:rsidP="00904EB2">
      <w:pPr>
        <w:pStyle w:val="References"/>
      </w:pPr>
      <w:proofErr w:type="spellStart"/>
      <w:r w:rsidRPr="00853258">
        <w:t>Dinos</w:t>
      </w:r>
      <w:proofErr w:type="spellEnd"/>
      <w:r w:rsidRPr="00853258">
        <w:t xml:space="preserve">, S., </w:t>
      </w:r>
      <w:proofErr w:type="spellStart"/>
      <w:r w:rsidRPr="00853258">
        <w:t>Burrowes</w:t>
      </w:r>
      <w:proofErr w:type="spellEnd"/>
      <w:r w:rsidRPr="00853258">
        <w:t>, N., Hammond, K., &amp; Cunliffe, C. (2015). A systematic review of juries' assessment of rape victims: Do rape myths impact on juror decision-</w:t>
      </w:r>
      <w:proofErr w:type="gramStart"/>
      <w:r w:rsidRPr="00853258">
        <w:t>making?.</w:t>
      </w:r>
      <w:proofErr w:type="gramEnd"/>
      <w:r w:rsidRPr="00853258">
        <w:t xml:space="preserve"> </w:t>
      </w:r>
      <w:r w:rsidRPr="00853258">
        <w:rPr>
          <w:i/>
          <w:iCs/>
        </w:rPr>
        <w:t>International Journal of Law, Crime and Justice</w:t>
      </w:r>
      <w:r w:rsidRPr="00853258">
        <w:t xml:space="preserve">, </w:t>
      </w:r>
      <w:r w:rsidRPr="00853258">
        <w:rPr>
          <w:i/>
          <w:iCs/>
        </w:rPr>
        <w:t>43</w:t>
      </w:r>
      <w:r w:rsidRPr="00853258">
        <w:t xml:space="preserve">(1), 36-49. </w:t>
      </w:r>
    </w:p>
    <w:p w14:paraId="6185BD2A" w14:textId="7B5154D5" w:rsidR="0038435F" w:rsidRPr="00853258" w:rsidRDefault="00FD0EC6" w:rsidP="00904EB2">
      <w:pPr>
        <w:pStyle w:val="References"/>
      </w:pPr>
      <w:proofErr w:type="spellStart"/>
      <w:r>
        <w:t>Du</w:t>
      </w:r>
      <w:r w:rsidR="0038435F" w:rsidRPr="00853258">
        <w:t>Mont</w:t>
      </w:r>
      <w:proofErr w:type="spellEnd"/>
      <w:r w:rsidR="0038435F" w:rsidRPr="00853258">
        <w:t xml:space="preserve">, J., Miller, K. L., &amp; </w:t>
      </w:r>
      <w:proofErr w:type="spellStart"/>
      <w:r w:rsidR="0038435F" w:rsidRPr="00853258">
        <w:t>Myhr</w:t>
      </w:r>
      <w:proofErr w:type="spellEnd"/>
      <w:r w:rsidR="0038435F" w:rsidRPr="00853258">
        <w:t xml:space="preserve">, T. L. (2003). The role of “real rape” and “real victim” stereotypes in the police reporting practices of sexually assaulted women. </w:t>
      </w:r>
      <w:r w:rsidR="0038435F" w:rsidRPr="00853258">
        <w:rPr>
          <w:i/>
          <w:iCs/>
        </w:rPr>
        <w:t>Violence Against Women</w:t>
      </w:r>
      <w:r w:rsidR="0038435F" w:rsidRPr="00853258">
        <w:t xml:space="preserve">, </w:t>
      </w:r>
      <w:r w:rsidR="0038435F" w:rsidRPr="00853258">
        <w:rPr>
          <w:i/>
          <w:iCs/>
        </w:rPr>
        <w:t>9</w:t>
      </w:r>
      <w:r w:rsidR="0038435F" w:rsidRPr="00853258">
        <w:t xml:space="preserve">(4), 466-486. </w:t>
      </w:r>
    </w:p>
    <w:p w14:paraId="62B6E639" w14:textId="77777777" w:rsidR="0038435F" w:rsidRPr="00853258" w:rsidRDefault="0038435F" w:rsidP="00904EB2">
      <w:pPr>
        <w:pStyle w:val="References"/>
      </w:pPr>
      <w:r w:rsidRPr="00853258">
        <w:t xml:space="preserve">Edwards, K. M., </w:t>
      </w:r>
      <w:proofErr w:type="spellStart"/>
      <w:r w:rsidRPr="00853258">
        <w:t>Turchik</w:t>
      </w:r>
      <w:proofErr w:type="spellEnd"/>
      <w:r w:rsidRPr="00853258">
        <w:t xml:space="preserve">, J. A., </w:t>
      </w:r>
      <w:proofErr w:type="spellStart"/>
      <w:r w:rsidRPr="00853258">
        <w:t>Dardis</w:t>
      </w:r>
      <w:proofErr w:type="spellEnd"/>
      <w:r w:rsidRPr="00853258">
        <w:t xml:space="preserve">, C. M., Reynolds, N., &amp; </w:t>
      </w:r>
      <w:proofErr w:type="spellStart"/>
      <w:r w:rsidRPr="00853258">
        <w:t>Gidycz</w:t>
      </w:r>
      <w:proofErr w:type="spellEnd"/>
      <w:r w:rsidRPr="00853258">
        <w:t xml:space="preserve">, C. A. (2011). Rape myths: History, individual and institutional-level presence, and implications for change. </w:t>
      </w:r>
      <w:r w:rsidRPr="00853258">
        <w:rPr>
          <w:i/>
          <w:iCs/>
        </w:rPr>
        <w:t>Sex Roles</w:t>
      </w:r>
      <w:r w:rsidRPr="00853258">
        <w:t xml:space="preserve">, </w:t>
      </w:r>
      <w:r w:rsidRPr="00853258">
        <w:rPr>
          <w:i/>
          <w:iCs/>
        </w:rPr>
        <w:t>65</w:t>
      </w:r>
      <w:r w:rsidRPr="00853258">
        <w:t xml:space="preserve">(11-12), 761-773. </w:t>
      </w:r>
    </w:p>
    <w:p w14:paraId="1DAAFD1D" w14:textId="77777777" w:rsidR="0038435F" w:rsidRPr="00853258" w:rsidRDefault="0038435F" w:rsidP="00904EB2">
      <w:pPr>
        <w:pStyle w:val="References"/>
      </w:pPr>
      <w:proofErr w:type="spellStart"/>
      <w:r w:rsidRPr="00853258">
        <w:t>Estrich</w:t>
      </w:r>
      <w:proofErr w:type="spellEnd"/>
      <w:r w:rsidRPr="00853258">
        <w:t xml:space="preserve">, S. (1987). Real rape: How the legal system victimises women who say no. </w:t>
      </w:r>
      <w:r w:rsidRPr="00853258">
        <w:rPr>
          <w:i/>
          <w:iCs/>
        </w:rPr>
        <w:t>MA: Harvard University Press, Cambridge</w:t>
      </w:r>
      <w:r w:rsidRPr="00853258">
        <w:t>.</w:t>
      </w:r>
    </w:p>
    <w:p w14:paraId="43BD044C" w14:textId="77777777" w:rsidR="0038435F" w:rsidRPr="00853258" w:rsidRDefault="0038435F" w:rsidP="00904EB2">
      <w:pPr>
        <w:pStyle w:val="References"/>
      </w:pPr>
      <w:r w:rsidRPr="00853258">
        <w:t xml:space="preserve">Feldman-Summers, S., &amp; Palmer, G. C. (1980). Rape as viewed by judges, prosecutors, and police officers. </w:t>
      </w:r>
      <w:r w:rsidRPr="00853258">
        <w:rPr>
          <w:i/>
          <w:iCs/>
        </w:rPr>
        <w:t>Criminal Justice and Behavior</w:t>
      </w:r>
      <w:r w:rsidRPr="00853258">
        <w:t xml:space="preserve">, </w:t>
      </w:r>
      <w:r w:rsidRPr="00853258">
        <w:rPr>
          <w:i/>
          <w:iCs/>
        </w:rPr>
        <w:t>7</w:t>
      </w:r>
      <w:r w:rsidRPr="00853258">
        <w:t xml:space="preserve">(1), 19-40. </w:t>
      </w:r>
    </w:p>
    <w:p w14:paraId="455AAB61" w14:textId="77777777" w:rsidR="0038435F" w:rsidRPr="00853258" w:rsidRDefault="0038435F" w:rsidP="00904EB2">
      <w:pPr>
        <w:pStyle w:val="References"/>
      </w:pPr>
      <w:r w:rsidRPr="00853258">
        <w:t xml:space="preserve">Felson, R. B., &amp; Pare, P. P. (2008). Gender and the victim’s experience with the criminal justice system. </w:t>
      </w:r>
      <w:r w:rsidRPr="00853258">
        <w:rPr>
          <w:i/>
          <w:iCs/>
        </w:rPr>
        <w:t>Social Science Research</w:t>
      </w:r>
      <w:r w:rsidRPr="00853258">
        <w:t xml:space="preserve">, </w:t>
      </w:r>
      <w:r w:rsidRPr="00853258">
        <w:rPr>
          <w:i/>
          <w:iCs/>
        </w:rPr>
        <w:t>37</w:t>
      </w:r>
      <w:r w:rsidRPr="00853258">
        <w:t xml:space="preserve">(1), 202-219. </w:t>
      </w:r>
    </w:p>
    <w:p w14:paraId="426D84ED" w14:textId="63743FA5" w:rsidR="0038435F" w:rsidRPr="00853258" w:rsidRDefault="00297EEE" w:rsidP="00904EB2">
      <w:pPr>
        <w:pStyle w:val="References"/>
      </w:pPr>
      <w:r w:rsidRPr="00853258">
        <w:t>Field</w:t>
      </w:r>
      <w:r w:rsidR="0038435F" w:rsidRPr="00853258">
        <w:t xml:space="preserve">, H. S. (1978). Juror background characteristics and attitudes toward rape. </w:t>
      </w:r>
      <w:r w:rsidR="0038435F" w:rsidRPr="00853258">
        <w:rPr>
          <w:i/>
        </w:rPr>
        <w:t xml:space="preserve">Law and Human Behaviour, 2, </w:t>
      </w:r>
      <w:r w:rsidR="0038435F" w:rsidRPr="00853258">
        <w:t xml:space="preserve">73-93. </w:t>
      </w:r>
    </w:p>
    <w:p w14:paraId="7E914605" w14:textId="77777777" w:rsidR="0038435F" w:rsidRPr="00853258" w:rsidRDefault="0038435F" w:rsidP="00904EB2">
      <w:pPr>
        <w:pStyle w:val="References"/>
      </w:pPr>
      <w:r w:rsidRPr="00853258">
        <w:t xml:space="preserve">Flores, S. A., &amp; </w:t>
      </w:r>
      <w:proofErr w:type="spellStart"/>
      <w:r w:rsidRPr="00853258">
        <w:t>Hartlaub</w:t>
      </w:r>
      <w:proofErr w:type="spellEnd"/>
      <w:r w:rsidRPr="00853258">
        <w:t xml:space="preserve">, M. G. (1998). Reducing rape-myth acceptance in male college students: A meta-analysis of intervention studies. </w:t>
      </w:r>
      <w:r w:rsidRPr="00853258">
        <w:rPr>
          <w:i/>
          <w:iCs/>
        </w:rPr>
        <w:t>Journal of College Student Development</w:t>
      </w:r>
      <w:r w:rsidRPr="00853258">
        <w:t xml:space="preserve">, </w:t>
      </w:r>
      <w:r w:rsidRPr="00853258">
        <w:rPr>
          <w:i/>
          <w:iCs/>
        </w:rPr>
        <w:t>39</w:t>
      </w:r>
      <w:r w:rsidRPr="00853258">
        <w:t>(5), 438-448.</w:t>
      </w:r>
    </w:p>
    <w:p w14:paraId="26382A6D" w14:textId="77777777" w:rsidR="0038435F" w:rsidRDefault="0038435F" w:rsidP="00904EB2">
      <w:pPr>
        <w:pStyle w:val="References"/>
      </w:pPr>
      <w:r w:rsidRPr="00853258">
        <w:t xml:space="preserve">Forbes, G. B., Adams-Curtis, L. E., &amp; White, K. B. (2004). First-and second-generation measures of sexism, rape myths and related beliefs, and hostility toward women: their interrelationships and association with college students’ experiences with dating aggression and sexual coercion. </w:t>
      </w:r>
      <w:r w:rsidRPr="00853258">
        <w:rPr>
          <w:i/>
          <w:iCs/>
        </w:rPr>
        <w:t>Violence against women</w:t>
      </w:r>
      <w:r w:rsidRPr="00853258">
        <w:t xml:space="preserve">, </w:t>
      </w:r>
      <w:r w:rsidRPr="00853258">
        <w:rPr>
          <w:i/>
          <w:iCs/>
        </w:rPr>
        <w:t>10</w:t>
      </w:r>
      <w:r w:rsidRPr="00853258">
        <w:t xml:space="preserve">(3), 236-261. </w:t>
      </w:r>
    </w:p>
    <w:p w14:paraId="53C04DC5" w14:textId="77777777" w:rsidR="0038435F" w:rsidRPr="00853258" w:rsidRDefault="0038435F" w:rsidP="00904EB2">
      <w:pPr>
        <w:pStyle w:val="References"/>
      </w:pPr>
      <w:r w:rsidRPr="00853258">
        <w:lastRenderedPageBreak/>
        <w:t xml:space="preserve">Frazier, P. A., &amp; Haney, B. (1996). Sexual assault cases in the legal system: Police, prosecutor, and victim perspectives. </w:t>
      </w:r>
      <w:r w:rsidRPr="00853258">
        <w:rPr>
          <w:i/>
          <w:iCs/>
        </w:rPr>
        <w:t>Law and Human Behavior</w:t>
      </w:r>
      <w:r w:rsidRPr="00853258">
        <w:t xml:space="preserve">, </w:t>
      </w:r>
      <w:r w:rsidRPr="00853258">
        <w:rPr>
          <w:i/>
          <w:iCs/>
        </w:rPr>
        <w:t>20</w:t>
      </w:r>
      <w:r w:rsidRPr="00853258">
        <w:t xml:space="preserve">(6), 607-628. </w:t>
      </w:r>
    </w:p>
    <w:p w14:paraId="137464EC" w14:textId="77777777" w:rsidR="0038435F" w:rsidRPr="00853258" w:rsidRDefault="0038435F" w:rsidP="00904EB2">
      <w:pPr>
        <w:pStyle w:val="References"/>
      </w:pPr>
      <w:proofErr w:type="spellStart"/>
      <w:r w:rsidRPr="00853258">
        <w:t>Frese</w:t>
      </w:r>
      <w:proofErr w:type="spellEnd"/>
      <w:r w:rsidRPr="00853258">
        <w:t xml:space="preserve">, B., Moya, M., &amp; </w:t>
      </w:r>
      <w:proofErr w:type="spellStart"/>
      <w:r w:rsidRPr="00853258">
        <w:t>Megías</w:t>
      </w:r>
      <w:proofErr w:type="spellEnd"/>
      <w:r w:rsidRPr="00853258">
        <w:t xml:space="preserve">, J. L. (2004). Social perception of rape: How rape myth acceptance modulates the influence of situational factors. </w:t>
      </w:r>
      <w:r w:rsidRPr="00853258">
        <w:rPr>
          <w:i/>
          <w:iCs/>
        </w:rPr>
        <w:t>Journal of interpersonal violence</w:t>
      </w:r>
      <w:r w:rsidRPr="00853258">
        <w:t xml:space="preserve">, </w:t>
      </w:r>
      <w:r w:rsidRPr="00853258">
        <w:rPr>
          <w:i/>
          <w:iCs/>
        </w:rPr>
        <w:t>19</w:t>
      </w:r>
      <w:r w:rsidRPr="00853258">
        <w:t xml:space="preserve">(2), 143-161. </w:t>
      </w:r>
    </w:p>
    <w:p w14:paraId="735069DA" w14:textId="77777777" w:rsidR="0038435F" w:rsidRPr="00853258" w:rsidRDefault="0038435F" w:rsidP="00904EB2">
      <w:pPr>
        <w:pStyle w:val="References"/>
      </w:pPr>
      <w:proofErr w:type="spellStart"/>
      <w:r w:rsidRPr="00853258">
        <w:t>Frohmann</w:t>
      </w:r>
      <w:proofErr w:type="spellEnd"/>
      <w:r w:rsidRPr="00853258">
        <w:t xml:space="preserve">, L. (1991). Discrediting victims' allegations of sexual assault: Prosecutorial accounts of case rejections. </w:t>
      </w:r>
      <w:r w:rsidRPr="00853258">
        <w:rPr>
          <w:i/>
          <w:iCs/>
        </w:rPr>
        <w:t>Social problems</w:t>
      </w:r>
      <w:r w:rsidRPr="00853258">
        <w:t xml:space="preserve">, </w:t>
      </w:r>
      <w:r w:rsidRPr="00853258">
        <w:rPr>
          <w:i/>
          <w:iCs/>
        </w:rPr>
        <w:t>38</w:t>
      </w:r>
      <w:r w:rsidRPr="00853258">
        <w:t xml:space="preserve">(2), 213-226. </w:t>
      </w:r>
    </w:p>
    <w:p w14:paraId="6EF9D245" w14:textId="77777777" w:rsidR="0038435F" w:rsidRPr="00853258" w:rsidRDefault="0038435F" w:rsidP="00904EB2">
      <w:pPr>
        <w:pStyle w:val="References"/>
      </w:pPr>
      <w:proofErr w:type="spellStart"/>
      <w:r w:rsidRPr="00853258">
        <w:t>Frohmann</w:t>
      </w:r>
      <w:proofErr w:type="spellEnd"/>
      <w:r w:rsidRPr="00853258">
        <w:t xml:space="preserve">, L. (1997). </w:t>
      </w:r>
      <w:proofErr w:type="spellStart"/>
      <w:r w:rsidRPr="00853258">
        <w:t>Convictability</w:t>
      </w:r>
      <w:proofErr w:type="spellEnd"/>
      <w:r w:rsidRPr="00853258">
        <w:t xml:space="preserve"> and discordant locales: Reproducing race, class, and gender ideologies in prosecutorial </w:t>
      </w:r>
      <w:proofErr w:type="spellStart"/>
      <w:r w:rsidRPr="00853258">
        <w:t>decisionmaking</w:t>
      </w:r>
      <w:proofErr w:type="spellEnd"/>
      <w:r w:rsidRPr="00853258">
        <w:t xml:space="preserve">. </w:t>
      </w:r>
      <w:r w:rsidRPr="00853258">
        <w:rPr>
          <w:i/>
          <w:iCs/>
        </w:rPr>
        <w:t>Law and Society Review</w:t>
      </w:r>
      <w:r w:rsidRPr="00853258">
        <w:t xml:space="preserve">, 531-556. </w:t>
      </w:r>
    </w:p>
    <w:p w14:paraId="0104877F" w14:textId="77777777" w:rsidR="0038435F" w:rsidRPr="00853258" w:rsidRDefault="0038435F" w:rsidP="00904EB2">
      <w:pPr>
        <w:pStyle w:val="References"/>
      </w:pPr>
      <w:r w:rsidRPr="00853258">
        <w:t xml:space="preserve">Gerger, H., Kley, H., Bohner, G., &amp; Siebler, F. (2007). The acceptance of modern myths about sexual aggression scale: Development and validation in German and English. </w:t>
      </w:r>
      <w:r w:rsidRPr="00853258">
        <w:rPr>
          <w:i/>
          <w:iCs/>
        </w:rPr>
        <w:t>Aggressive Behavior</w:t>
      </w:r>
      <w:r w:rsidRPr="00853258">
        <w:t xml:space="preserve">, </w:t>
      </w:r>
      <w:r w:rsidRPr="00853258">
        <w:rPr>
          <w:i/>
          <w:iCs/>
        </w:rPr>
        <w:t>33</w:t>
      </w:r>
      <w:r w:rsidRPr="00853258">
        <w:t xml:space="preserve">(5), 422-440. </w:t>
      </w:r>
    </w:p>
    <w:p w14:paraId="25CED24E" w14:textId="77777777" w:rsidR="0038435F" w:rsidRPr="00853258" w:rsidRDefault="0038435F" w:rsidP="00904EB2">
      <w:pPr>
        <w:pStyle w:val="References"/>
      </w:pPr>
      <w:r w:rsidRPr="00853258">
        <w:t xml:space="preserve">Glick, P., &amp; Fiske, S. T. (1996). The ambivalent sexism inventory: Differentiating hostile and benevolent sexism. </w:t>
      </w:r>
      <w:r w:rsidRPr="00853258">
        <w:rPr>
          <w:i/>
          <w:iCs/>
        </w:rPr>
        <w:t>Journal of personality and social psychology</w:t>
      </w:r>
      <w:r w:rsidRPr="00853258">
        <w:t xml:space="preserve">, </w:t>
      </w:r>
      <w:r w:rsidRPr="00853258">
        <w:rPr>
          <w:i/>
          <w:iCs/>
        </w:rPr>
        <w:t>70</w:t>
      </w:r>
      <w:r w:rsidRPr="00853258">
        <w:t xml:space="preserve">(3), 491-512. </w:t>
      </w:r>
    </w:p>
    <w:p w14:paraId="0A66B289" w14:textId="77777777" w:rsidR="0038435F" w:rsidRPr="00853258" w:rsidRDefault="0038435F" w:rsidP="00904EB2">
      <w:pPr>
        <w:pStyle w:val="References"/>
      </w:pPr>
      <w:r w:rsidRPr="00853258">
        <w:t xml:space="preserve">Glick, P., Fiske, S. T., </w:t>
      </w:r>
      <w:proofErr w:type="spellStart"/>
      <w:r w:rsidRPr="00853258">
        <w:t>Mladinic</w:t>
      </w:r>
      <w:proofErr w:type="spellEnd"/>
      <w:r w:rsidRPr="00853258">
        <w:t xml:space="preserve">, A., </w:t>
      </w:r>
      <w:proofErr w:type="spellStart"/>
      <w:r w:rsidRPr="00853258">
        <w:t>Saiz</w:t>
      </w:r>
      <w:proofErr w:type="spellEnd"/>
      <w:r w:rsidRPr="00853258">
        <w:t xml:space="preserve">, J. L., Abrams, D., </w:t>
      </w:r>
      <w:proofErr w:type="spellStart"/>
      <w:r w:rsidRPr="00853258">
        <w:t>Masser</w:t>
      </w:r>
      <w:proofErr w:type="spellEnd"/>
      <w:r w:rsidRPr="00853258">
        <w:t xml:space="preserve">, B., &amp; </w:t>
      </w:r>
      <w:proofErr w:type="spellStart"/>
      <w:r w:rsidRPr="00853258">
        <w:t>Annetje</w:t>
      </w:r>
      <w:proofErr w:type="spellEnd"/>
      <w:r w:rsidRPr="00853258">
        <w:t xml:space="preserve">, B. (2000). Beyond prejudice as simple antipathy: hostile and benevolent sexism across cultures. </w:t>
      </w:r>
      <w:r w:rsidRPr="00853258">
        <w:rPr>
          <w:i/>
          <w:iCs/>
        </w:rPr>
        <w:t>Journal of personality and social psychology</w:t>
      </w:r>
      <w:r w:rsidRPr="00853258">
        <w:t xml:space="preserve">, </w:t>
      </w:r>
      <w:r w:rsidRPr="00853258">
        <w:rPr>
          <w:i/>
          <w:iCs/>
        </w:rPr>
        <w:t>79</w:t>
      </w:r>
      <w:r w:rsidRPr="00853258">
        <w:t xml:space="preserve">(5), 763-775. </w:t>
      </w:r>
    </w:p>
    <w:p w14:paraId="20DBF997" w14:textId="77777777" w:rsidR="0038435F" w:rsidRPr="00853258" w:rsidRDefault="0038435F" w:rsidP="00904EB2">
      <w:pPr>
        <w:pStyle w:val="References"/>
      </w:pPr>
      <w:r w:rsidRPr="00853258">
        <w:t>Goodman</w:t>
      </w:r>
      <w:r w:rsidRPr="00853258">
        <w:rPr>
          <w:rFonts w:ascii="Cambria Math" w:eastAsia="Calibri" w:hAnsi="Cambria Math" w:cs="Cambria Math"/>
        </w:rPr>
        <w:t>‐</w:t>
      </w:r>
      <w:proofErr w:type="spellStart"/>
      <w:r w:rsidRPr="00853258">
        <w:t>Delahunty</w:t>
      </w:r>
      <w:proofErr w:type="spellEnd"/>
      <w:r w:rsidRPr="00853258">
        <w:t xml:space="preserve">, J., &amp; Graham, K. (2011). The influence of victim intoxication and victim attire on police responses to sexual assault. </w:t>
      </w:r>
      <w:r w:rsidRPr="00853258">
        <w:rPr>
          <w:i/>
          <w:iCs/>
        </w:rPr>
        <w:t>Journal of Investigative Psychology and Offender Profiling</w:t>
      </w:r>
      <w:r w:rsidRPr="00853258">
        <w:t xml:space="preserve">, </w:t>
      </w:r>
      <w:r w:rsidRPr="00853258">
        <w:rPr>
          <w:i/>
          <w:iCs/>
        </w:rPr>
        <w:t>8</w:t>
      </w:r>
      <w:r w:rsidRPr="00853258">
        <w:t xml:space="preserve">(1), 22-40. </w:t>
      </w:r>
    </w:p>
    <w:p w14:paraId="3202E073" w14:textId="77777777" w:rsidR="0038435F" w:rsidRPr="00853258" w:rsidRDefault="0038435F" w:rsidP="00904EB2">
      <w:pPr>
        <w:pStyle w:val="References"/>
      </w:pPr>
      <w:r w:rsidRPr="00853258">
        <w:t xml:space="preserve">Grace, S., Lloyd, C., &amp; Smith, L. J. (1992). </w:t>
      </w:r>
      <w:r w:rsidRPr="00853258">
        <w:rPr>
          <w:i/>
          <w:iCs/>
        </w:rPr>
        <w:t>Rape: from recording to conviction</w:t>
      </w:r>
      <w:r w:rsidRPr="00853258">
        <w:t>. London: Home Office.</w:t>
      </w:r>
    </w:p>
    <w:p w14:paraId="33695BA8" w14:textId="77777777" w:rsidR="0038435F" w:rsidRPr="00853258" w:rsidRDefault="0038435F" w:rsidP="00904EB2">
      <w:pPr>
        <w:pStyle w:val="References"/>
      </w:pPr>
      <w:r w:rsidRPr="00853258">
        <w:t xml:space="preserve">Grubb, A., &amp; Turner, E. (2012). Attribution of blame in rape cases: A review of the impact of rape myth acceptance, gender role conformity and substance use on victim blaming. </w:t>
      </w:r>
      <w:r w:rsidRPr="00853258">
        <w:rPr>
          <w:i/>
          <w:iCs/>
        </w:rPr>
        <w:t>Aggression and Violent Behavior</w:t>
      </w:r>
      <w:r w:rsidRPr="00853258">
        <w:t xml:space="preserve">, </w:t>
      </w:r>
      <w:r w:rsidRPr="00853258">
        <w:rPr>
          <w:i/>
          <w:iCs/>
        </w:rPr>
        <w:t>17</w:t>
      </w:r>
      <w:r w:rsidRPr="00853258">
        <w:t xml:space="preserve">(5), 443-452. </w:t>
      </w:r>
    </w:p>
    <w:p w14:paraId="6BEDFCE1" w14:textId="77777777" w:rsidR="0038435F" w:rsidRPr="00853258" w:rsidRDefault="0038435F" w:rsidP="00904EB2">
      <w:pPr>
        <w:pStyle w:val="References"/>
        <w:rPr>
          <w:shd w:val="clear" w:color="auto" w:fill="FFFFFF"/>
        </w:rPr>
      </w:pPr>
      <w:r w:rsidRPr="00853258">
        <w:rPr>
          <w:color w:val="222222"/>
          <w:shd w:val="clear" w:color="auto" w:fill="FFFFFF"/>
        </w:rPr>
        <w:t xml:space="preserve">Hair, J.F., Black, W.C., </w:t>
      </w:r>
      <w:proofErr w:type="spellStart"/>
      <w:r w:rsidRPr="00853258">
        <w:rPr>
          <w:color w:val="222222"/>
          <w:shd w:val="clear" w:color="auto" w:fill="FFFFFF"/>
        </w:rPr>
        <w:t>Babin</w:t>
      </w:r>
      <w:proofErr w:type="spellEnd"/>
      <w:r w:rsidRPr="00853258">
        <w:rPr>
          <w:color w:val="222222"/>
          <w:shd w:val="clear" w:color="auto" w:fill="FFFFFF"/>
        </w:rPr>
        <w:t xml:space="preserve">, B.J., and Anderson, R.E. 2010. </w:t>
      </w:r>
      <w:r w:rsidRPr="00853258">
        <w:rPr>
          <w:i/>
          <w:color w:val="222222"/>
          <w:shd w:val="clear" w:color="auto" w:fill="FFFFFF"/>
        </w:rPr>
        <w:t>Multivariate data analysis: A global perspective</w:t>
      </w:r>
      <w:r w:rsidRPr="00853258">
        <w:rPr>
          <w:color w:val="222222"/>
          <w:shd w:val="clear" w:color="auto" w:fill="FFFFFF"/>
        </w:rPr>
        <w:t>. New Jersey: Prentice Hall.</w:t>
      </w:r>
    </w:p>
    <w:p w14:paraId="240B38D1" w14:textId="77777777" w:rsidR="0038435F" w:rsidRPr="00853258" w:rsidRDefault="0038435F" w:rsidP="00904EB2">
      <w:pPr>
        <w:pStyle w:val="References"/>
      </w:pPr>
      <w:r w:rsidRPr="00853258">
        <w:t xml:space="preserve">Hall, A. V., Hall, E. V., &amp; Perry, J. L. (2016). Black and blue: Exploring racial bias and law enforcement in the killings of unarmed black male civilians. </w:t>
      </w:r>
      <w:r w:rsidRPr="00853258">
        <w:rPr>
          <w:i/>
          <w:iCs/>
        </w:rPr>
        <w:t>American Psychologist</w:t>
      </w:r>
      <w:r w:rsidRPr="00853258">
        <w:t xml:space="preserve">, </w:t>
      </w:r>
      <w:r w:rsidRPr="00853258">
        <w:rPr>
          <w:i/>
          <w:iCs/>
        </w:rPr>
        <w:t>71</w:t>
      </w:r>
      <w:r w:rsidRPr="00853258">
        <w:t xml:space="preserve">(3), 175-186. </w:t>
      </w:r>
    </w:p>
    <w:p w14:paraId="5D8F698A" w14:textId="77777777" w:rsidR="0038435F" w:rsidRPr="00853258" w:rsidRDefault="0038435F" w:rsidP="00904EB2">
      <w:pPr>
        <w:pStyle w:val="References"/>
      </w:pPr>
      <w:r w:rsidRPr="00853258">
        <w:t xml:space="preserve">Hazelwood, R. R., &amp; Burgess, A. W. (1995). </w:t>
      </w:r>
      <w:r w:rsidRPr="00853258">
        <w:rPr>
          <w:i/>
        </w:rPr>
        <w:t>Practical Aspects of Rape Investigation: A Multidisciplinary Approach</w:t>
      </w:r>
      <w:r w:rsidRPr="00853258">
        <w:t xml:space="preserve"> (2</w:t>
      </w:r>
      <w:r w:rsidRPr="00853258">
        <w:rPr>
          <w:vertAlign w:val="superscript"/>
        </w:rPr>
        <w:t>nd</w:t>
      </w:r>
      <w:r w:rsidRPr="00853258">
        <w:t xml:space="preserve"> ed.). New York, NY: CRC Press.</w:t>
      </w:r>
    </w:p>
    <w:p w14:paraId="61D0B523" w14:textId="77777777" w:rsidR="0038435F" w:rsidRPr="00853258" w:rsidRDefault="0038435F" w:rsidP="00904EB2">
      <w:pPr>
        <w:pStyle w:val="References"/>
      </w:pPr>
      <w:r w:rsidRPr="00853258">
        <w:lastRenderedPageBreak/>
        <w:t xml:space="preserve">Hester, M. (2015). Reflections on criminal (in) justice in cases of rape. In </w:t>
      </w:r>
      <w:r w:rsidRPr="00853258">
        <w:rPr>
          <w:i/>
          <w:iCs/>
        </w:rPr>
        <w:t>British Criminology Conference</w:t>
      </w:r>
      <w:r w:rsidRPr="00853258">
        <w:t xml:space="preserve"> (Vol. 15, pp. 26-42).</w:t>
      </w:r>
    </w:p>
    <w:p w14:paraId="1EC1F009" w14:textId="77777777" w:rsidR="0038435F" w:rsidRPr="00853258" w:rsidRDefault="0038435F" w:rsidP="00904EB2">
      <w:pPr>
        <w:pStyle w:val="References"/>
      </w:pPr>
      <w:proofErr w:type="spellStart"/>
      <w:r w:rsidRPr="00853258">
        <w:t>Hinck</w:t>
      </w:r>
      <w:proofErr w:type="spellEnd"/>
      <w:r w:rsidRPr="00853258">
        <w:t xml:space="preserve">, S. S., &amp; Thomas, R. W. (1999). Rape myth acceptance in college students: How far have we come? </w:t>
      </w:r>
      <w:r w:rsidRPr="00853258">
        <w:rPr>
          <w:i/>
          <w:iCs/>
        </w:rPr>
        <w:t>Sex roles</w:t>
      </w:r>
      <w:r w:rsidRPr="00853258">
        <w:t xml:space="preserve">, </w:t>
      </w:r>
      <w:r w:rsidRPr="00853258">
        <w:rPr>
          <w:i/>
          <w:iCs/>
        </w:rPr>
        <w:t>40</w:t>
      </w:r>
      <w:r w:rsidRPr="00853258">
        <w:t>(9), 815-832.</w:t>
      </w:r>
    </w:p>
    <w:p w14:paraId="11224777" w14:textId="77777777" w:rsidR="0038435F" w:rsidRPr="00853258" w:rsidRDefault="0038435F" w:rsidP="00904EB2">
      <w:pPr>
        <w:pStyle w:val="References"/>
      </w:pPr>
      <w:r w:rsidRPr="00853258">
        <w:t xml:space="preserve">Hine, B., &amp; Murphy, A. (2017). The impact of victim-perpetrator relationship, reputation and initial point of resistance on officers' responsibility and authenticity ratings towards hypothetical rape cases. </w:t>
      </w:r>
      <w:r w:rsidRPr="00853258">
        <w:rPr>
          <w:i/>
          <w:iCs/>
        </w:rPr>
        <w:t>Journal of Criminal Justice</w:t>
      </w:r>
      <w:r w:rsidRPr="00853258">
        <w:t xml:space="preserve">, </w:t>
      </w:r>
      <w:r w:rsidRPr="00853258">
        <w:rPr>
          <w:i/>
          <w:iCs/>
        </w:rPr>
        <w:t>49</w:t>
      </w:r>
      <w:r w:rsidRPr="00853258">
        <w:t xml:space="preserve">, 1-13. </w:t>
      </w:r>
    </w:p>
    <w:p w14:paraId="6B1C4A90" w14:textId="77777777" w:rsidR="0038435F" w:rsidRPr="00853258" w:rsidRDefault="0038435F" w:rsidP="00904EB2">
      <w:pPr>
        <w:pStyle w:val="References"/>
      </w:pPr>
      <w:r w:rsidRPr="00853258">
        <w:t>HMIC (Her Majesty’s Inspectorate for the Constabulary) (</w:t>
      </w:r>
      <w:r w:rsidRPr="00853258">
        <w:rPr>
          <w:rStyle w:val="nlmyear"/>
        </w:rPr>
        <w:t>2014</w:t>
      </w:r>
      <w:r w:rsidRPr="00853258">
        <w:t xml:space="preserve">) Rape Monitoring Group. </w:t>
      </w:r>
      <w:r w:rsidRPr="00853258">
        <w:rPr>
          <w:i/>
        </w:rPr>
        <w:t>Adult and Child Rape Data 2012/13</w:t>
      </w:r>
      <w:r w:rsidRPr="00853258">
        <w:t xml:space="preserve">. </w:t>
      </w:r>
      <w:r w:rsidRPr="00853258">
        <w:rPr>
          <w:rStyle w:val="nlmpublisher-loc"/>
        </w:rPr>
        <w:t>London</w:t>
      </w:r>
      <w:r w:rsidRPr="00853258">
        <w:t xml:space="preserve">: </w:t>
      </w:r>
      <w:r w:rsidRPr="00853258">
        <w:rPr>
          <w:rStyle w:val="nlmpublisher-name"/>
        </w:rPr>
        <w:t>HMIC</w:t>
      </w:r>
      <w:r w:rsidRPr="00853258">
        <w:t xml:space="preserve">. </w:t>
      </w:r>
    </w:p>
    <w:p w14:paraId="37656834" w14:textId="449C5698" w:rsidR="0038435F" w:rsidRPr="00853258" w:rsidRDefault="0038435F" w:rsidP="00904EB2">
      <w:pPr>
        <w:pStyle w:val="References"/>
        <w:rPr>
          <w:rStyle w:val="nlmpublisher-name"/>
        </w:rPr>
      </w:pPr>
      <w:r w:rsidRPr="00853258">
        <w:t xml:space="preserve">HMIC (Her Majesty’s Inspectorate for the Constabulary) and HMCPSI (Her Majesty’s Crown </w:t>
      </w:r>
      <w:proofErr w:type="spellStart"/>
      <w:r w:rsidRPr="00853258">
        <w:t>Posecution</w:t>
      </w:r>
      <w:proofErr w:type="spellEnd"/>
      <w:r w:rsidRPr="00853258">
        <w:t xml:space="preserve"> Service Inspectorate). (2007). </w:t>
      </w:r>
      <w:r w:rsidRPr="00853258">
        <w:rPr>
          <w:i/>
        </w:rPr>
        <w:t>Without Consent. A Report on the Joint Review of the Investigation and Prosecution of Rape Offences</w:t>
      </w:r>
      <w:r w:rsidRPr="00853258">
        <w:t xml:space="preserve">. </w:t>
      </w:r>
      <w:r w:rsidRPr="00853258">
        <w:rPr>
          <w:rStyle w:val="nlmpublisher-loc"/>
        </w:rPr>
        <w:t>London</w:t>
      </w:r>
      <w:r w:rsidRPr="00853258">
        <w:t xml:space="preserve">: </w:t>
      </w:r>
      <w:r w:rsidRPr="00853258">
        <w:rPr>
          <w:rStyle w:val="nlmpublisher-name"/>
        </w:rPr>
        <w:t>HMCPSI and HMIC</w:t>
      </w:r>
      <w:r w:rsidR="000A4867">
        <w:rPr>
          <w:rStyle w:val="nlmpublisher-name"/>
        </w:rPr>
        <w:t>.</w:t>
      </w:r>
    </w:p>
    <w:p w14:paraId="485B7053" w14:textId="77777777" w:rsidR="0038435F" w:rsidRPr="00853258" w:rsidRDefault="0038435F" w:rsidP="00904EB2">
      <w:pPr>
        <w:pStyle w:val="References"/>
      </w:pPr>
      <w:proofErr w:type="spellStart"/>
      <w:r w:rsidRPr="00853258">
        <w:t>Hohl</w:t>
      </w:r>
      <w:proofErr w:type="spellEnd"/>
      <w:r w:rsidRPr="00853258">
        <w:t xml:space="preserve">, K., &amp; Stanko, E. A. (2015). Complaints of rape and the criminal justice system: Fresh evidence on the attrition problem in England and Wales. </w:t>
      </w:r>
      <w:r w:rsidRPr="00853258">
        <w:rPr>
          <w:i/>
          <w:iCs/>
        </w:rPr>
        <w:t>European Journal of Criminology</w:t>
      </w:r>
      <w:r w:rsidRPr="00853258">
        <w:t xml:space="preserve">, </w:t>
      </w:r>
      <w:r w:rsidRPr="00853258">
        <w:rPr>
          <w:i/>
          <w:iCs/>
        </w:rPr>
        <w:t>12</w:t>
      </w:r>
      <w:r w:rsidRPr="00853258">
        <w:t xml:space="preserve">(3), 324-341. </w:t>
      </w:r>
    </w:p>
    <w:p w14:paraId="76F10D65" w14:textId="77777777" w:rsidR="0038435F" w:rsidRPr="00853258" w:rsidRDefault="0038435F" w:rsidP="00904EB2">
      <w:pPr>
        <w:pStyle w:val="References"/>
      </w:pPr>
      <w:r w:rsidRPr="00853258">
        <w:t xml:space="preserve">Home Office and Ministry of Justice. (2013). </w:t>
      </w:r>
      <w:r w:rsidRPr="00853258">
        <w:rPr>
          <w:rStyle w:val="nlmarticle-title"/>
        </w:rPr>
        <w:t>An Overview of Sexual Offending in England and Wales. Sexual offending overview tables</w:t>
      </w:r>
      <w:r w:rsidRPr="00853258">
        <w:t>. URL (</w:t>
      </w:r>
      <w:r w:rsidRPr="00853258">
        <w:rPr>
          <w:rStyle w:val="nlmdate-in-citation"/>
        </w:rPr>
        <w:t>accessed December 2016</w:t>
      </w:r>
      <w:r w:rsidRPr="00853258">
        <w:t>): https://www.gov.uk/government/publications/an-overview-of-sexual-offending-in-england-and-wales.</w:t>
      </w:r>
    </w:p>
    <w:p w14:paraId="189BD574" w14:textId="673A5A05" w:rsidR="0038435F" w:rsidRPr="00853258" w:rsidRDefault="0038435F" w:rsidP="00904EB2">
      <w:pPr>
        <w:pStyle w:val="References"/>
      </w:pPr>
      <w:r w:rsidRPr="00853258">
        <w:t xml:space="preserve">Home Office. (2014). Home Office </w:t>
      </w:r>
      <w:r w:rsidRPr="00853258">
        <w:rPr>
          <w:i/>
        </w:rPr>
        <w:t xml:space="preserve">Counting Rules for Recorded Crime – Sexual Offences. </w:t>
      </w:r>
      <w:r w:rsidRPr="00853258">
        <w:rPr>
          <w:rStyle w:val="nlmpublisher-loc"/>
        </w:rPr>
        <w:t>London</w:t>
      </w:r>
      <w:r w:rsidRPr="00853258">
        <w:t xml:space="preserve">: </w:t>
      </w:r>
      <w:r w:rsidRPr="00853258">
        <w:rPr>
          <w:rStyle w:val="nlmpublisher-name"/>
        </w:rPr>
        <w:t>Home Office</w:t>
      </w:r>
      <w:r w:rsidRPr="00853258">
        <w:t>. URL (</w:t>
      </w:r>
      <w:r w:rsidRPr="00853258">
        <w:rPr>
          <w:rStyle w:val="nlmdate-in-citation"/>
        </w:rPr>
        <w:t>accessed December 2016</w:t>
      </w:r>
      <w:r w:rsidRPr="00853258">
        <w:t>): https://www.gov.uk/government/uploads/system/uploads/attachment_data/file/299319/count-sexual-april-2014.pdf</w:t>
      </w:r>
      <w:r w:rsidR="000A4867">
        <w:t>.</w:t>
      </w:r>
    </w:p>
    <w:p w14:paraId="2D587D10" w14:textId="77777777" w:rsidR="0038435F" w:rsidRPr="00853258" w:rsidRDefault="0038435F" w:rsidP="00904EB2">
      <w:pPr>
        <w:pStyle w:val="References"/>
      </w:pPr>
      <w:r w:rsidRPr="00853258">
        <w:t xml:space="preserve">Horvath, M., &amp; Brown, J. (2009). </w:t>
      </w:r>
      <w:r w:rsidRPr="00853258">
        <w:rPr>
          <w:i/>
        </w:rPr>
        <w:t xml:space="preserve">Rape: Challenging Contemporary Thinking. </w:t>
      </w:r>
      <w:r w:rsidRPr="00853258">
        <w:t>New York, NY: Routledge.</w:t>
      </w:r>
    </w:p>
    <w:p w14:paraId="36C291F3" w14:textId="77777777" w:rsidR="0038435F" w:rsidRPr="00853258" w:rsidRDefault="0038435F" w:rsidP="00904EB2">
      <w:pPr>
        <w:pStyle w:val="References"/>
        <w:rPr>
          <w:color w:val="000000"/>
        </w:rPr>
      </w:pPr>
      <w:r w:rsidRPr="00853258">
        <w:t xml:space="preserve">Jordan, (2004). Beyond belief? Police, rape, and women’s credibility. </w:t>
      </w:r>
      <w:r w:rsidRPr="00853258">
        <w:rPr>
          <w:i/>
        </w:rPr>
        <w:t xml:space="preserve">Criminal Justice, 4, </w:t>
      </w:r>
      <w:r w:rsidRPr="00853258">
        <w:t xml:space="preserve">29-59. </w:t>
      </w:r>
    </w:p>
    <w:p w14:paraId="6165E786" w14:textId="77777777" w:rsidR="0038435F" w:rsidRPr="00853258" w:rsidRDefault="0038435F" w:rsidP="00904EB2">
      <w:pPr>
        <w:pStyle w:val="References"/>
        <w:rPr>
          <w:color w:val="000000"/>
        </w:rPr>
      </w:pPr>
      <w:r w:rsidRPr="00853258">
        <w:t xml:space="preserve">Jordan, J. (2001). Worlds Apart? Women, rape and the police reporting process. </w:t>
      </w:r>
      <w:r w:rsidRPr="00853258">
        <w:rPr>
          <w:i/>
        </w:rPr>
        <w:t xml:space="preserve">British Journal of Criminology, 41, </w:t>
      </w:r>
      <w:r w:rsidRPr="00853258">
        <w:t xml:space="preserve">679-706. </w:t>
      </w:r>
    </w:p>
    <w:p w14:paraId="1D6FEE20" w14:textId="77777777" w:rsidR="0038435F" w:rsidRPr="00853258" w:rsidRDefault="0038435F" w:rsidP="00904EB2">
      <w:pPr>
        <w:pStyle w:val="References"/>
      </w:pPr>
      <w:r w:rsidRPr="00853258">
        <w:t xml:space="preserve">Kelly, L. (2002). </w:t>
      </w:r>
      <w:r w:rsidRPr="00853258">
        <w:rPr>
          <w:i/>
        </w:rPr>
        <w:t>Routes to (In)justice: A Research Review on the Reporting, Investigation and Prosecution of Rape Cases.</w:t>
      </w:r>
      <w:r w:rsidRPr="00853258">
        <w:t xml:space="preserve"> </w:t>
      </w:r>
      <w:r w:rsidRPr="00853258">
        <w:rPr>
          <w:rStyle w:val="nlmpublisher-loc"/>
        </w:rPr>
        <w:t>London</w:t>
      </w:r>
      <w:r w:rsidRPr="00853258">
        <w:t xml:space="preserve">: </w:t>
      </w:r>
      <w:r w:rsidRPr="00853258">
        <w:rPr>
          <w:rStyle w:val="nlmpublisher-name"/>
        </w:rPr>
        <w:t>Her Majesty’s Crown Prosecution Service Inspectorate</w:t>
      </w:r>
      <w:r w:rsidRPr="00853258">
        <w:t>.</w:t>
      </w:r>
    </w:p>
    <w:p w14:paraId="6A0F116C" w14:textId="77777777" w:rsidR="0038435F" w:rsidRPr="00853258" w:rsidRDefault="0038435F" w:rsidP="00904EB2">
      <w:pPr>
        <w:pStyle w:val="References"/>
        <w:rPr>
          <w:color w:val="000000"/>
        </w:rPr>
      </w:pPr>
      <w:r w:rsidRPr="00853258">
        <w:lastRenderedPageBreak/>
        <w:t xml:space="preserve">Kelly, L. (2010). The (in)credible words of women: False allegations in European rape research. </w:t>
      </w:r>
      <w:r w:rsidRPr="00853258">
        <w:rPr>
          <w:i/>
        </w:rPr>
        <w:t xml:space="preserve">Violence Against Women, 16, </w:t>
      </w:r>
      <w:r w:rsidRPr="00853258">
        <w:t xml:space="preserve">1345-1355. </w:t>
      </w:r>
    </w:p>
    <w:p w14:paraId="5F1C473B" w14:textId="77777777" w:rsidR="0038435F" w:rsidRPr="00853258" w:rsidRDefault="0038435F" w:rsidP="00904EB2">
      <w:pPr>
        <w:pStyle w:val="References"/>
      </w:pPr>
      <w:r w:rsidRPr="00853258">
        <w:t xml:space="preserve">Kelly, L., Lovett, J., &amp; Regan, L. (2005). </w:t>
      </w:r>
      <w:r w:rsidRPr="00853258">
        <w:rPr>
          <w:i/>
        </w:rPr>
        <w:t xml:space="preserve">A gap or a </w:t>
      </w:r>
      <w:proofErr w:type="gramStart"/>
      <w:r w:rsidRPr="00853258">
        <w:rPr>
          <w:i/>
        </w:rPr>
        <w:t>chasm?:</w:t>
      </w:r>
      <w:proofErr w:type="gramEnd"/>
      <w:r w:rsidRPr="00853258">
        <w:rPr>
          <w:i/>
        </w:rPr>
        <w:t xml:space="preserve"> attrition in reported rape cases. </w:t>
      </w:r>
      <w:r w:rsidRPr="00853258">
        <w:t xml:space="preserve">London: Home Office. </w:t>
      </w:r>
    </w:p>
    <w:p w14:paraId="5AE58AF5" w14:textId="77777777" w:rsidR="0038435F" w:rsidRPr="00853258" w:rsidRDefault="0038435F" w:rsidP="00904EB2">
      <w:pPr>
        <w:pStyle w:val="References"/>
      </w:pPr>
      <w:proofErr w:type="spellStart"/>
      <w:r w:rsidRPr="00853258">
        <w:t>Kersetter</w:t>
      </w:r>
      <w:proofErr w:type="spellEnd"/>
      <w:r w:rsidRPr="00853258">
        <w:t xml:space="preserve">, W. A. (1990). Gateway to justice: Police and prosecutorial response to sexual assaults against women. Journal of Criminal Law and Criminology, 81, 267-313. </w:t>
      </w:r>
    </w:p>
    <w:p w14:paraId="3310C1C1" w14:textId="77777777" w:rsidR="0038435F" w:rsidRPr="00853258" w:rsidRDefault="0038435F" w:rsidP="00904EB2">
      <w:pPr>
        <w:pStyle w:val="References"/>
      </w:pPr>
      <w:r w:rsidRPr="00853258">
        <w:t xml:space="preserve">Lee, J., Lee, C., &amp; Lee, W. (2012). Attitudes toward women, rape myths, and rape perceptions among male police officers in South Korea. </w:t>
      </w:r>
      <w:r w:rsidRPr="00853258">
        <w:rPr>
          <w:i/>
          <w:iCs/>
        </w:rPr>
        <w:t>Psychology of Women Quarterly</w:t>
      </w:r>
      <w:r w:rsidRPr="00853258">
        <w:t xml:space="preserve">, </w:t>
      </w:r>
      <w:r w:rsidRPr="00853258">
        <w:rPr>
          <w:i/>
          <w:iCs/>
        </w:rPr>
        <w:t>36</w:t>
      </w:r>
      <w:r w:rsidRPr="00853258">
        <w:t xml:space="preserve">(3), 365-376. </w:t>
      </w:r>
    </w:p>
    <w:p w14:paraId="24E5E068" w14:textId="77777777" w:rsidR="0038435F" w:rsidRPr="00853258" w:rsidRDefault="0038435F" w:rsidP="00904EB2">
      <w:pPr>
        <w:pStyle w:val="References"/>
      </w:pPr>
      <w:r w:rsidRPr="00853258">
        <w:t xml:space="preserve">Lonsway, K. A., &amp; Archambault, J. (2012). The “justice gap” for sexual assault cases: Future directions for research and reform. </w:t>
      </w:r>
      <w:r w:rsidRPr="00853258">
        <w:rPr>
          <w:i/>
          <w:iCs/>
        </w:rPr>
        <w:t>Violence against women</w:t>
      </w:r>
      <w:r w:rsidRPr="00853258">
        <w:t xml:space="preserve">, </w:t>
      </w:r>
      <w:r w:rsidRPr="00853258">
        <w:rPr>
          <w:i/>
          <w:iCs/>
        </w:rPr>
        <w:t>18</w:t>
      </w:r>
      <w:r w:rsidRPr="00853258">
        <w:t xml:space="preserve">(2), 145-168. </w:t>
      </w:r>
    </w:p>
    <w:p w14:paraId="21DEC0B6" w14:textId="77777777" w:rsidR="0038435F" w:rsidRPr="00853258" w:rsidRDefault="0038435F" w:rsidP="00904EB2">
      <w:pPr>
        <w:pStyle w:val="References"/>
      </w:pPr>
      <w:r w:rsidRPr="00853258">
        <w:t xml:space="preserve">Lonsway, K. A., &amp; Fitzgerald, L. F. (1994). Rape myths. In review. </w:t>
      </w:r>
      <w:r w:rsidRPr="00853258">
        <w:rPr>
          <w:i/>
          <w:iCs/>
        </w:rPr>
        <w:t>Psychology of women quarterly</w:t>
      </w:r>
      <w:r w:rsidRPr="00853258">
        <w:t xml:space="preserve">, </w:t>
      </w:r>
      <w:r w:rsidRPr="00853258">
        <w:rPr>
          <w:i/>
          <w:iCs/>
        </w:rPr>
        <w:t>18</w:t>
      </w:r>
      <w:r w:rsidRPr="00853258">
        <w:t xml:space="preserve">(2), 133-164. </w:t>
      </w:r>
    </w:p>
    <w:p w14:paraId="7993D22B" w14:textId="77777777" w:rsidR="0038435F" w:rsidRPr="00853258" w:rsidRDefault="0038435F" w:rsidP="00904EB2">
      <w:pPr>
        <w:pStyle w:val="References"/>
      </w:pPr>
      <w:r w:rsidRPr="00853258">
        <w:t xml:space="preserve">Lonsway, K. A., &amp; Fitzgerald, L. F. (1995). Attitudinal antecedents of rape myth acceptance: A theoretical and empirical </w:t>
      </w:r>
      <w:proofErr w:type="spellStart"/>
      <w:r w:rsidRPr="00853258">
        <w:t>reexamination</w:t>
      </w:r>
      <w:proofErr w:type="spellEnd"/>
      <w:r w:rsidRPr="00853258">
        <w:t xml:space="preserve">. </w:t>
      </w:r>
      <w:r w:rsidRPr="00853258">
        <w:rPr>
          <w:i/>
          <w:iCs/>
        </w:rPr>
        <w:t>Journal of Personality and Social Psychology</w:t>
      </w:r>
      <w:r w:rsidRPr="00853258">
        <w:t xml:space="preserve">, </w:t>
      </w:r>
      <w:r w:rsidRPr="00853258">
        <w:rPr>
          <w:i/>
          <w:iCs/>
        </w:rPr>
        <w:t>68</w:t>
      </w:r>
      <w:r w:rsidRPr="00853258">
        <w:t xml:space="preserve">(4), 704-711. </w:t>
      </w:r>
    </w:p>
    <w:p w14:paraId="36F2A379" w14:textId="77777777" w:rsidR="0038435F" w:rsidRPr="00853258" w:rsidRDefault="0038435F" w:rsidP="00904EB2">
      <w:pPr>
        <w:pStyle w:val="References"/>
      </w:pPr>
      <w:r w:rsidRPr="00853258">
        <w:t xml:space="preserve">Lonsway, K. A., Welch, S., &amp; Fitzgerald, L. F. (2001). Police training in sexual assault response: Process, outcomes, and elements of change. </w:t>
      </w:r>
      <w:r w:rsidRPr="00853258">
        <w:rPr>
          <w:i/>
          <w:iCs/>
        </w:rPr>
        <w:t>Criminal Justice and Behavior</w:t>
      </w:r>
      <w:r w:rsidRPr="00853258">
        <w:t xml:space="preserve">, </w:t>
      </w:r>
      <w:r w:rsidRPr="00853258">
        <w:rPr>
          <w:i/>
          <w:iCs/>
        </w:rPr>
        <w:t>28</w:t>
      </w:r>
      <w:r w:rsidRPr="00853258">
        <w:t>(6), 695-730.</w:t>
      </w:r>
    </w:p>
    <w:p w14:paraId="15762982" w14:textId="77777777" w:rsidR="0038435F" w:rsidRPr="00853258" w:rsidRDefault="0038435F" w:rsidP="00904EB2">
      <w:pPr>
        <w:pStyle w:val="References"/>
      </w:pPr>
      <w:r w:rsidRPr="00853258">
        <w:t xml:space="preserve">Lovett, J., &amp; Kelly, L. (2009). Different systems, similar outcomes? Tracking attrition in reported rape cases across Europe. </w:t>
      </w:r>
      <w:r w:rsidRPr="00853258">
        <w:rPr>
          <w:i/>
          <w:iCs/>
        </w:rPr>
        <w:t>London: Child and Women Abuse Studies Unit, London Metropolitan University. Retrieved on February</w:t>
      </w:r>
      <w:r w:rsidRPr="00853258">
        <w:t xml:space="preserve">, </w:t>
      </w:r>
      <w:r w:rsidRPr="00853258">
        <w:rPr>
          <w:i/>
          <w:iCs/>
        </w:rPr>
        <w:t>11</w:t>
      </w:r>
      <w:r w:rsidRPr="00853258">
        <w:t>, 2017.</w:t>
      </w:r>
    </w:p>
    <w:p w14:paraId="71231DD1" w14:textId="77777777" w:rsidR="0038435F" w:rsidRPr="00853258" w:rsidRDefault="0038435F" w:rsidP="00904EB2">
      <w:pPr>
        <w:pStyle w:val="References"/>
      </w:pPr>
      <w:r w:rsidRPr="00853258">
        <w:t xml:space="preserve">Martin, P. Y. (2005). </w:t>
      </w:r>
      <w:r w:rsidRPr="00853258">
        <w:rPr>
          <w:i/>
          <w:iCs/>
        </w:rPr>
        <w:t>Rape work: Victims, gender and emotions in organization and community context</w:t>
      </w:r>
      <w:r w:rsidRPr="00853258">
        <w:t>. Psychology Press.</w:t>
      </w:r>
    </w:p>
    <w:p w14:paraId="6B3BC09A" w14:textId="77777777" w:rsidR="0038435F" w:rsidRPr="00853258" w:rsidRDefault="0038435F" w:rsidP="00904EB2">
      <w:pPr>
        <w:pStyle w:val="References"/>
        <w:rPr>
          <w:rStyle w:val="article-headermeta-info-data"/>
        </w:rPr>
      </w:pPr>
      <w:r w:rsidRPr="00853258">
        <w:t xml:space="preserve">Martin, P. Y., &amp; Powell, R. M. (1994). Accounting for the “second assault”: Legal organizations’ framing of rape victims. </w:t>
      </w:r>
      <w:r w:rsidRPr="00853258">
        <w:rPr>
          <w:i/>
          <w:iCs/>
        </w:rPr>
        <w:t>Law &amp; Social Inquiry</w:t>
      </w:r>
      <w:r w:rsidRPr="00853258">
        <w:t xml:space="preserve">, </w:t>
      </w:r>
      <w:r w:rsidRPr="00853258">
        <w:rPr>
          <w:i/>
          <w:iCs/>
        </w:rPr>
        <w:t>19</w:t>
      </w:r>
      <w:r w:rsidRPr="00853258">
        <w:t xml:space="preserve">(4), 853-890. </w:t>
      </w:r>
    </w:p>
    <w:p w14:paraId="6E58C084" w14:textId="77777777" w:rsidR="0038435F" w:rsidRPr="00853258" w:rsidRDefault="0038435F" w:rsidP="00904EB2">
      <w:pPr>
        <w:pStyle w:val="References"/>
      </w:pPr>
      <w:proofErr w:type="spellStart"/>
      <w:r w:rsidRPr="00853258">
        <w:t>Mennicke</w:t>
      </w:r>
      <w:proofErr w:type="spellEnd"/>
      <w:r w:rsidRPr="00853258">
        <w:t xml:space="preserve">, A., Anderson, D., </w:t>
      </w:r>
      <w:proofErr w:type="spellStart"/>
      <w:r w:rsidRPr="00853258">
        <w:t>Oehme</w:t>
      </w:r>
      <w:proofErr w:type="spellEnd"/>
      <w:r w:rsidRPr="00853258">
        <w:t xml:space="preserve">, K., &amp; Kennedy, S. (2014). Law enforcement officers' perception of rape and rape victims: A multimethod study. </w:t>
      </w:r>
      <w:r w:rsidRPr="00853258">
        <w:rPr>
          <w:i/>
          <w:iCs/>
        </w:rPr>
        <w:t>Violence and victims</w:t>
      </w:r>
      <w:r w:rsidRPr="00853258">
        <w:t xml:space="preserve">, </w:t>
      </w:r>
      <w:r w:rsidRPr="00853258">
        <w:rPr>
          <w:i/>
          <w:iCs/>
        </w:rPr>
        <w:t>29</w:t>
      </w:r>
      <w:r w:rsidRPr="00853258">
        <w:t xml:space="preserve">(5), 814-827. </w:t>
      </w:r>
    </w:p>
    <w:p w14:paraId="5DDE696F" w14:textId="77777777" w:rsidR="0038435F" w:rsidRPr="00853258" w:rsidRDefault="0038435F" w:rsidP="00904EB2">
      <w:pPr>
        <w:pStyle w:val="References"/>
      </w:pPr>
      <w:r w:rsidRPr="00853258">
        <w:t xml:space="preserve">Muir, G., Lonsway, K. A., &amp; Payne, D. L. (1996). Rape myth acceptance among Scottish and American students. </w:t>
      </w:r>
      <w:r w:rsidRPr="00853258">
        <w:rPr>
          <w:i/>
          <w:iCs/>
        </w:rPr>
        <w:t>The Journal of social psychology</w:t>
      </w:r>
      <w:r w:rsidRPr="00853258">
        <w:t xml:space="preserve">, </w:t>
      </w:r>
      <w:r w:rsidRPr="00853258">
        <w:rPr>
          <w:i/>
          <w:iCs/>
        </w:rPr>
        <w:t>136</w:t>
      </w:r>
      <w:r w:rsidRPr="00853258">
        <w:t xml:space="preserve">(2), 261-262. </w:t>
      </w:r>
    </w:p>
    <w:p w14:paraId="387FAD4D" w14:textId="77777777" w:rsidR="0038435F" w:rsidRDefault="0038435F" w:rsidP="00904EB2">
      <w:pPr>
        <w:pStyle w:val="References"/>
      </w:pPr>
      <w:r w:rsidRPr="00853258">
        <w:lastRenderedPageBreak/>
        <w:t xml:space="preserve">Munro, V. E., &amp; Kelly, L. (2009). A vicious cycle? Attrition and conviction patterns in contemporary rape cases in England and Wales. In M. A. Horvath &amp; J. Brown (Eds.), </w:t>
      </w:r>
      <w:r w:rsidRPr="00853258">
        <w:rPr>
          <w:i/>
          <w:iCs/>
        </w:rPr>
        <w:t>Rape: Challenging contemporary thinking</w:t>
      </w:r>
      <w:r w:rsidRPr="00853258">
        <w:t>, 281-300.</w:t>
      </w:r>
    </w:p>
    <w:p w14:paraId="78B1F55F" w14:textId="66EAF247" w:rsidR="00B71BAB" w:rsidRPr="00853258" w:rsidRDefault="00B71BAB" w:rsidP="00904EB2">
      <w:pPr>
        <w:pStyle w:val="References"/>
      </w:pPr>
      <w:proofErr w:type="spellStart"/>
      <w:r w:rsidRPr="00B71BAB">
        <w:t>Muram</w:t>
      </w:r>
      <w:proofErr w:type="spellEnd"/>
      <w:r w:rsidRPr="00B71BAB">
        <w:t xml:space="preserve">, D., Hellman, R., &amp; </w:t>
      </w:r>
      <w:proofErr w:type="spellStart"/>
      <w:r w:rsidRPr="00B71BAB">
        <w:t>Cassinello</w:t>
      </w:r>
      <w:proofErr w:type="spellEnd"/>
      <w:r w:rsidRPr="00B71BAB">
        <w:t>, B. (1995). Prevalence of negative attitudes among police officers toward rape victims. </w:t>
      </w:r>
      <w:r w:rsidRPr="00B71BAB">
        <w:rPr>
          <w:i/>
          <w:iCs/>
        </w:rPr>
        <w:t xml:space="preserve">Adolescent and pediatric </w:t>
      </w:r>
      <w:proofErr w:type="spellStart"/>
      <w:r w:rsidRPr="00B71BAB">
        <w:rPr>
          <w:i/>
          <w:iCs/>
        </w:rPr>
        <w:t>gynecology</w:t>
      </w:r>
      <w:proofErr w:type="spellEnd"/>
      <w:r w:rsidRPr="00B71BAB">
        <w:t>, </w:t>
      </w:r>
      <w:r w:rsidRPr="00B71BAB">
        <w:rPr>
          <w:i/>
          <w:iCs/>
        </w:rPr>
        <w:t>8</w:t>
      </w:r>
      <w:r w:rsidRPr="00B71BAB">
        <w:t>(2), 89-91.</w:t>
      </w:r>
    </w:p>
    <w:p w14:paraId="152844FB" w14:textId="77777777" w:rsidR="0038435F" w:rsidRPr="00853258" w:rsidRDefault="0038435F" w:rsidP="00904EB2">
      <w:pPr>
        <w:pStyle w:val="References"/>
      </w:pPr>
      <w:r w:rsidRPr="00853258">
        <w:t xml:space="preserve">O’Keeffe, S., Brown, J. M., &amp; Lyons, E. (2009). Seeking proof or truth: Naturalistic decision-making by police officers when considering rape allegations. In M. A. Horvath &amp; J. Brown (Eds.), </w:t>
      </w:r>
      <w:r w:rsidRPr="00853258">
        <w:rPr>
          <w:i/>
          <w:iCs/>
        </w:rPr>
        <w:t>Rape: Challenging contemporary thinking</w:t>
      </w:r>
      <w:r w:rsidRPr="00853258">
        <w:t>, 229-254.</w:t>
      </w:r>
    </w:p>
    <w:p w14:paraId="44EB1B23" w14:textId="77777777" w:rsidR="0038435F" w:rsidRPr="00853258" w:rsidRDefault="0038435F" w:rsidP="00904EB2">
      <w:pPr>
        <w:pStyle w:val="References"/>
        <w:rPr>
          <w:color w:val="000000"/>
        </w:rPr>
      </w:pPr>
      <w:r w:rsidRPr="00853258">
        <w:rPr>
          <w:color w:val="000000"/>
        </w:rPr>
        <w:t xml:space="preserve">Office for National Statistics. (2013). </w:t>
      </w:r>
      <w:r w:rsidRPr="00853258">
        <w:rPr>
          <w:i/>
          <w:iCs/>
          <w:color w:val="000000"/>
        </w:rPr>
        <w:t>Focus on: Violent Crime and Sexual Offences</w:t>
      </w:r>
      <w:r w:rsidRPr="00853258">
        <w:rPr>
          <w:color w:val="000000"/>
        </w:rPr>
        <w:t xml:space="preserve">. London: Office for National Statistics. </w:t>
      </w:r>
    </w:p>
    <w:p w14:paraId="0A7CF246" w14:textId="77777777" w:rsidR="0038435F" w:rsidRPr="00853258" w:rsidRDefault="0038435F" w:rsidP="00904EB2">
      <w:pPr>
        <w:pStyle w:val="References"/>
        <w:rPr>
          <w:color w:val="000000"/>
        </w:rPr>
      </w:pPr>
      <w:r w:rsidRPr="00853258">
        <w:rPr>
          <w:color w:val="000000"/>
        </w:rPr>
        <w:t xml:space="preserve">Office for National Statistics. (2015). </w:t>
      </w:r>
      <w:r w:rsidRPr="00853258">
        <w:rPr>
          <w:i/>
          <w:iCs/>
          <w:color w:val="000000"/>
        </w:rPr>
        <w:t>Police workforce, England and Wales: 31 March 2015</w:t>
      </w:r>
      <w:r w:rsidRPr="00853258">
        <w:rPr>
          <w:color w:val="000000"/>
        </w:rPr>
        <w:t xml:space="preserve">. London: Office for National Statistics. </w:t>
      </w:r>
    </w:p>
    <w:p w14:paraId="766711C3" w14:textId="77777777" w:rsidR="0038435F" w:rsidRPr="00853258" w:rsidRDefault="0038435F" w:rsidP="00904EB2">
      <w:pPr>
        <w:pStyle w:val="References"/>
      </w:pPr>
      <w:r w:rsidRPr="00853258">
        <w:t xml:space="preserve">Page, A. D. (2007). Behind the blue line: Investigating police officers' attitudes toward rape. </w:t>
      </w:r>
      <w:r w:rsidRPr="00853258">
        <w:rPr>
          <w:i/>
        </w:rPr>
        <w:t>Journal of Police and Criminal Psychology, 22</w:t>
      </w:r>
      <w:r w:rsidRPr="00853258">
        <w:t xml:space="preserve">, 22-32. </w:t>
      </w:r>
    </w:p>
    <w:p w14:paraId="6B2157BB" w14:textId="77777777" w:rsidR="0038435F" w:rsidRPr="00853258" w:rsidRDefault="0038435F" w:rsidP="00904EB2">
      <w:pPr>
        <w:pStyle w:val="References"/>
      </w:pPr>
      <w:r w:rsidRPr="00853258">
        <w:t xml:space="preserve">Page, A. D. (2008a). Gateway to reform? Policy implications of police officers' attitudes toward rape. </w:t>
      </w:r>
      <w:r w:rsidRPr="00853258">
        <w:rPr>
          <w:i/>
        </w:rPr>
        <w:t>American Journal of Criminal Justice, 33</w:t>
      </w:r>
      <w:r w:rsidRPr="00853258">
        <w:t xml:space="preserve">, 44-58. </w:t>
      </w:r>
    </w:p>
    <w:p w14:paraId="792F7E5E" w14:textId="77777777" w:rsidR="0038435F" w:rsidRPr="00853258" w:rsidRDefault="0038435F" w:rsidP="00904EB2">
      <w:pPr>
        <w:pStyle w:val="References"/>
      </w:pPr>
      <w:r w:rsidRPr="00853258">
        <w:t xml:space="preserve">Page, A. D. (2008b). Judging women and defining crime: Police officers' attitudes toward women and rape. </w:t>
      </w:r>
      <w:r w:rsidRPr="00853258">
        <w:rPr>
          <w:i/>
        </w:rPr>
        <w:t>Sociological Spectrum, 28</w:t>
      </w:r>
      <w:r w:rsidRPr="00853258">
        <w:t xml:space="preserve">, 389-411. </w:t>
      </w:r>
    </w:p>
    <w:p w14:paraId="2E0FC978" w14:textId="77777777" w:rsidR="0038435F" w:rsidRPr="00853258" w:rsidRDefault="0038435F" w:rsidP="00904EB2">
      <w:pPr>
        <w:pStyle w:val="References"/>
      </w:pPr>
      <w:r w:rsidRPr="00853258">
        <w:t xml:space="preserve">Page, A. D. (2010). True </w:t>
      </w:r>
      <w:proofErr w:type="spellStart"/>
      <w:r w:rsidRPr="00853258">
        <w:t>Colors</w:t>
      </w:r>
      <w:proofErr w:type="spellEnd"/>
      <w:r w:rsidRPr="00853258">
        <w:t xml:space="preserve">: Police Officers and Rape Myth Acceptance. </w:t>
      </w:r>
      <w:r w:rsidRPr="00853258">
        <w:rPr>
          <w:i/>
        </w:rPr>
        <w:t>Feminist Criminology, 5</w:t>
      </w:r>
      <w:r w:rsidRPr="00853258">
        <w:t xml:space="preserve">, 315-334. </w:t>
      </w:r>
    </w:p>
    <w:p w14:paraId="2EB0DB09" w14:textId="77777777" w:rsidR="0038435F" w:rsidRPr="00853258" w:rsidRDefault="0038435F" w:rsidP="00904EB2">
      <w:pPr>
        <w:pStyle w:val="References"/>
      </w:pPr>
      <w:r w:rsidRPr="00853258">
        <w:t xml:space="preserve">Payne, D. L., Lonsway, K. A., &amp; Fitzgerald, L. F. (1999). Rape Myth Acceptance: Exploration of Its Structure and Its Measurement Using the Illinois Rape Myth Acceptance Scale. </w:t>
      </w:r>
      <w:r w:rsidRPr="00853258">
        <w:rPr>
          <w:i/>
          <w:iCs/>
        </w:rPr>
        <w:t>Journal of Research in Personality</w:t>
      </w:r>
      <w:r w:rsidRPr="00853258">
        <w:t xml:space="preserve">, </w:t>
      </w:r>
      <w:r w:rsidRPr="00853258">
        <w:rPr>
          <w:i/>
          <w:iCs/>
        </w:rPr>
        <w:t>33</w:t>
      </w:r>
      <w:r w:rsidRPr="00853258">
        <w:t xml:space="preserve">(1), 27-68. </w:t>
      </w:r>
    </w:p>
    <w:p w14:paraId="51CFA4F6" w14:textId="77777777" w:rsidR="0038435F" w:rsidRPr="00853258" w:rsidRDefault="0038435F" w:rsidP="00904EB2">
      <w:pPr>
        <w:pStyle w:val="References"/>
        <w:rPr>
          <w:color w:val="000000"/>
        </w:rPr>
      </w:pPr>
      <w:r w:rsidRPr="00853258">
        <w:rPr>
          <w:color w:val="000000"/>
        </w:rPr>
        <w:t xml:space="preserve">Pollard, P. (1992). Judgements about victims and attackers in depicted rapes: A review. </w:t>
      </w:r>
      <w:r w:rsidRPr="00853258">
        <w:rPr>
          <w:i/>
          <w:iCs/>
          <w:color w:val="000000"/>
        </w:rPr>
        <w:t>British Journal of Social Psychology, 31</w:t>
      </w:r>
      <w:r w:rsidRPr="00853258">
        <w:rPr>
          <w:color w:val="000000"/>
        </w:rPr>
        <w:t xml:space="preserve">, 307-326. </w:t>
      </w:r>
    </w:p>
    <w:p w14:paraId="25F85027" w14:textId="07463E60" w:rsidR="0038435F" w:rsidRPr="00853258" w:rsidRDefault="0038435F" w:rsidP="00904EB2">
      <w:pPr>
        <w:pStyle w:val="References"/>
        <w:rPr>
          <w:color w:val="000000"/>
        </w:rPr>
      </w:pPr>
      <w:r w:rsidRPr="00853258">
        <w:t xml:space="preserve">Rich, K., &amp; </w:t>
      </w:r>
      <w:proofErr w:type="spellStart"/>
      <w:r w:rsidRPr="00853258">
        <w:t>Seffrin</w:t>
      </w:r>
      <w:proofErr w:type="spellEnd"/>
      <w:r w:rsidRPr="00853258">
        <w:t>, P. (2012). Police interviews of sexual assault reporters: do atti</w:t>
      </w:r>
      <w:r w:rsidR="00F32E9E">
        <w:t>tudes matter?</w:t>
      </w:r>
      <w:r w:rsidRPr="00853258">
        <w:t xml:space="preserve"> </w:t>
      </w:r>
      <w:r w:rsidRPr="00853258">
        <w:rPr>
          <w:i/>
          <w:iCs/>
        </w:rPr>
        <w:t>Violence and victims</w:t>
      </w:r>
      <w:r w:rsidRPr="00853258">
        <w:t xml:space="preserve">, </w:t>
      </w:r>
      <w:r w:rsidRPr="00853258">
        <w:rPr>
          <w:i/>
          <w:iCs/>
        </w:rPr>
        <w:t>27</w:t>
      </w:r>
      <w:r w:rsidRPr="00853258">
        <w:t xml:space="preserve">(2), 263-279. </w:t>
      </w:r>
    </w:p>
    <w:p w14:paraId="4227B964" w14:textId="77777777" w:rsidR="0038435F" w:rsidRPr="00853258" w:rsidRDefault="0038435F" w:rsidP="00904EB2">
      <w:pPr>
        <w:pStyle w:val="References"/>
      </w:pPr>
      <w:proofErr w:type="spellStart"/>
      <w:r w:rsidRPr="00853258">
        <w:t>Rozee</w:t>
      </w:r>
      <w:proofErr w:type="spellEnd"/>
      <w:r w:rsidRPr="00853258">
        <w:t xml:space="preserve">, P. D., &amp; Koss, M. P. (2001). Rape: A century of resistance. </w:t>
      </w:r>
      <w:r w:rsidRPr="00853258">
        <w:rPr>
          <w:i/>
          <w:iCs/>
        </w:rPr>
        <w:t>Psychology of Women Quarterly</w:t>
      </w:r>
      <w:r w:rsidRPr="00853258">
        <w:t xml:space="preserve">, </w:t>
      </w:r>
      <w:r w:rsidRPr="00853258">
        <w:rPr>
          <w:i/>
          <w:iCs/>
        </w:rPr>
        <w:t>25</w:t>
      </w:r>
      <w:r w:rsidRPr="00853258">
        <w:t xml:space="preserve">(4), 295-311. </w:t>
      </w:r>
    </w:p>
    <w:p w14:paraId="09000746" w14:textId="77777777" w:rsidR="0038435F" w:rsidRPr="00853258" w:rsidRDefault="0038435F" w:rsidP="00904EB2">
      <w:pPr>
        <w:pStyle w:val="References"/>
      </w:pPr>
      <w:r w:rsidRPr="00853258">
        <w:t xml:space="preserve">Schuller, R. A., &amp; Stewart, A. (2000). Police responses to sexual assault complaints: the role of perpetrator/complainant intoxication. </w:t>
      </w:r>
      <w:r w:rsidRPr="00853258">
        <w:rPr>
          <w:i/>
          <w:iCs/>
        </w:rPr>
        <w:t>Law and human behavior</w:t>
      </w:r>
      <w:r w:rsidRPr="00853258">
        <w:t xml:space="preserve">, </w:t>
      </w:r>
      <w:r w:rsidRPr="00853258">
        <w:rPr>
          <w:i/>
          <w:iCs/>
        </w:rPr>
        <w:t>24</w:t>
      </w:r>
      <w:r w:rsidRPr="00853258">
        <w:t xml:space="preserve">(5), 535-551. </w:t>
      </w:r>
    </w:p>
    <w:p w14:paraId="6123C904" w14:textId="77777777" w:rsidR="0038435F" w:rsidRPr="00853258" w:rsidRDefault="0038435F" w:rsidP="00904EB2">
      <w:pPr>
        <w:pStyle w:val="References"/>
        <w:rPr>
          <w:i/>
        </w:rPr>
      </w:pPr>
      <w:r w:rsidRPr="00853258">
        <w:t xml:space="preserve">Shaw, J., Campbell, R., Cain, D., &amp; Feeney, H. (2016). Beyond Surveys and Scales: How Rape Myths Manifest in Sexual Assault Police Records. </w:t>
      </w:r>
      <w:r w:rsidRPr="00853258">
        <w:rPr>
          <w:i/>
        </w:rPr>
        <w:t xml:space="preserve">Psychology of Violence. </w:t>
      </w:r>
    </w:p>
    <w:p w14:paraId="34E38E52" w14:textId="77777777" w:rsidR="0038435F" w:rsidRPr="00853258" w:rsidRDefault="0038435F" w:rsidP="00904EB2">
      <w:pPr>
        <w:pStyle w:val="References"/>
      </w:pPr>
      <w:proofErr w:type="spellStart"/>
      <w:r w:rsidRPr="00853258">
        <w:lastRenderedPageBreak/>
        <w:t>Shechory</w:t>
      </w:r>
      <w:proofErr w:type="spellEnd"/>
      <w:r w:rsidRPr="00853258">
        <w:t xml:space="preserve">, M., &amp; </w:t>
      </w:r>
      <w:proofErr w:type="spellStart"/>
      <w:r w:rsidRPr="00853258">
        <w:t>Idisis</w:t>
      </w:r>
      <w:proofErr w:type="spellEnd"/>
      <w:r w:rsidRPr="00853258">
        <w:t xml:space="preserve">, Y. (2006). Rape myths and social distance toward sex offenders and victims among therapists and students. </w:t>
      </w:r>
      <w:r w:rsidRPr="00853258">
        <w:rPr>
          <w:i/>
          <w:iCs/>
        </w:rPr>
        <w:t>Sex Roles</w:t>
      </w:r>
      <w:r w:rsidRPr="00853258">
        <w:t xml:space="preserve">, </w:t>
      </w:r>
      <w:r w:rsidRPr="00853258">
        <w:rPr>
          <w:i/>
          <w:iCs/>
        </w:rPr>
        <w:t>54</w:t>
      </w:r>
      <w:r w:rsidRPr="00853258">
        <w:t xml:space="preserve">(9-10), 651-658. </w:t>
      </w:r>
    </w:p>
    <w:p w14:paraId="18D7C0E6" w14:textId="77777777" w:rsidR="0038435F" w:rsidRPr="00853258" w:rsidRDefault="0038435F" w:rsidP="00904EB2">
      <w:pPr>
        <w:pStyle w:val="References"/>
      </w:pPr>
      <w:r w:rsidRPr="00853258">
        <w:t xml:space="preserve">Sims, C. M., Noel, N. E., &amp; </w:t>
      </w:r>
      <w:proofErr w:type="spellStart"/>
      <w:r w:rsidRPr="00853258">
        <w:t>Maisto</w:t>
      </w:r>
      <w:proofErr w:type="spellEnd"/>
      <w:r w:rsidRPr="00853258">
        <w:t xml:space="preserve">, S. A. (2007). Rape blame as a function of alcohol presence and resistance type. </w:t>
      </w:r>
      <w:r w:rsidRPr="00853258">
        <w:rPr>
          <w:i/>
          <w:iCs/>
        </w:rPr>
        <w:t>Addictive behaviors</w:t>
      </w:r>
      <w:r w:rsidRPr="00853258">
        <w:t xml:space="preserve">, </w:t>
      </w:r>
      <w:r w:rsidRPr="00853258">
        <w:rPr>
          <w:i/>
          <w:iCs/>
        </w:rPr>
        <w:t>32</w:t>
      </w:r>
      <w:r w:rsidRPr="00853258">
        <w:t xml:space="preserve">(12), 2766-2775. </w:t>
      </w:r>
    </w:p>
    <w:p w14:paraId="280FFA9E" w14:textId="77777777" w:rsidR="0038435F" w:rsidRPr="00853258" w:rsidRDefault="0038435F" w:rsidP="00904EB2">
      <w:pPr>
        <w:pStyle w:val="References"/>
      </w:pPr>
      <w:r w:rsidRPr="00853258">
        <w:t xml:space="preserve">Sleath, E., &amp; Bull, R. (2012). Comparing rape victim and perpetrator blaming in a police officer sample: Differences between police officers with and without special training. </w:t>
      </w:r>
      <w:r w:rsidRPr="00853258">
        <w:rPr>
          <w:i/>
          <w:iCs/>
        </w:rPr>
        <w:t>Criminal Justice and Behavior</w:t>
      </w:r>
      <w:r w:rsidRPr="00853258">
        <w:t xml:space="preserve">, </w:t>
      </w:r>
      <w:r w:rsidRPr="00853258">
        <w:rPr>
          <w:i/>
          <w:iCs/>
        </w:rPr>
        <w:t>39</w:t>
      </w:r>
      <w:r w:rsidRPr="00853258">
        <w:t xml:space="preserve">(5), 646-665. </w:t>
      </w:r>
    </w:p>
    <w:p w14:paraId="080E48AF" w14:textId="77777777" w:rsidR="0038435F" w:rsidRPr="00853258" w:rsidRDefault="0038435F" w:rsidP="00904EB2">
      <w:pPr>
        <w:pStyle w:val="References"/>
      </w:pPr>
      <w:r w:rsidRPr="00853258">
        <w:t xml:space="preserve">Sleath, E., &amp; Bull, R. (2015). A brief report on rape myth acceptance: Differences between police officers, law students, and psychology students in the United Kingdom. </w:t>
      </w:r>
      <w:r w:rsidRPr="00853258">
        <w:rPr>
          <w:i/>
          <w:iCs/>
        </w:rPr>
        <w:t>Violence and victims</w:t>
      </w:r>
      <w:r w:rsidRPr="00853258">
        <w:t xml:space="preserve">, </w:t>
      </w:r>
      <w:r w:rsidRPr="00853258">
        <w:rPr>
          <w:i/>
          <w:iCs/>
        </w:rPr>
        <w:t>30</w:t>
      </w:r>
      <w:r w:rsidRPr="00853258">
        <w:t xml:space="preserve">(1), 136-147. </w:t>
      </w:r>
    </w:p>
    <w:p w14:paraId="2707076A" w14:textId="77777777" w:rsidR="0038435F" w:rsidRPr="00853258" w:rsidRDefault="0038435F" w:rsidP="00904EB2">
      <w:pPr>
        <w:pStyle w:val="References"/>
      </w:pPr>
      <w:r w:rsidRPr="00853258">
        <w:t xml:space="preserve">Sleath, E., &amp; Bull, R. (2017). Police perceptions of rape victims and the impact on case decision making: A systematic review. </w:t>
      </w:r>
      <w:r w:rsidRPr="00853258">
        <w:rPr>
          <w:i/>
          <w:iCs/>
        </w:rPr>
        <w:t>Aggression and Violent Behavior</w:t>
      </w:r>
      <w:r w:rsidRPr="00853258">
        <w:rPr>
          <w:i/>
        </w:rPr>
        <w:t>, 34,</w:t>
      </w:r>
      <w:r w:rsidRPr="00853258">
        <w:t xml:space="preserve"> 102-112. </w:t>
      </w:r>
    </w:p>
    <w:p w14:paraId="53B43CEE" w14:textId="77777777" w:rsidR="0038435F" w:rsidRPr="00853258" w:rsidRDefault="0038435F" w:rsidP="00904EB2">
      <w:pPr>
        <w:pStyle w:val="References"/>
      </w:pPr>
      <w:r w:rsidRPr="00853258">
        <w:t xml:space="preserve">Smith, M., Wilkes, N., &amp; Bouffard, L. A. (2016). Rape myth adherence among campus law enforcement officers. </w:t>
      </w:r>
      <w:r w:rsidRPr="00853258">
        <w:rPr>
          <w:i/>
          <w:iCs/>
        </w:rPr>
        <w:t>Criminal Justice and Behavior</w:t>
      </w:r>
      <w:r w:rsidRPr="00853258">
        <w:t xml:space="preserve">, </w:t>
      </w:r>
      <w:r w:rsidRPr="00853258">
        <w:rPr>
          <w:i/>
          <w:iCs/>
        </w:rPr>
        <w:t>43</w:t>
      </w:r>
      <w:r w:rsidRPr="00853258">
        <w:t xml:space="preserve">(4), 539-556. </w:t>
      </w:r>
    </w:p>
    <w:p w14:paraId="449264FB" w14:textId="77777777" w:rsidR="0038435F" w:rsidRPr="00853258" w:rsidRDefault="0038435F" w:rsidP="00904EB2">
      <w:pPr>
        <w:pStyle w:val="References"/>
      </w:pPr>
      <w:r w:rsidRPr="00853258">
        <w:t xml:space="preserve">Spohn, C., &amp; </w:t>
      </w:r>
      <w:proofErr w:type="spellStart"/>
      <w:r w:rsidRPr="00853258">
        <w:t>Tellis</w:t>
      </w:r>
      <w:proofErr w:type="spellEnd"/>
      <w:r w:rsidRPr="00853258">
        <w:t xml:space="preserve">, K. (2012). The criminal justice system's response to sexual violence. </w:t>
      </w:r>
      <w:r w:rsidRPr="00853258">
        <w:rPr>
          <w:i/>
        </w:rPr>
        <w:t>Violence Against Women, 18</w:t>
      </w:r>
      <w:r w:rsidRPr="00853258">
        <w:t xml:space="preserve">, 169-192. </w:t>
      </w:r>
    </w:p>
    <w:p w14:paraId="3F38C7F3" w14:textId="77777777" w:rsidR="0038435F" w:rsidRPr="00853258" w:rsidRDefault="0038435F" w:rsidP="00904EB2">
      <w:pPr>
        <w:pStyle w:val="References"/>
      </w:pPr>
      <w:r w:rsidRPr="00853258">
        <w:t xml:space="preserve">Spohn, C., White, C., &amp; </w:t>
      </w:r>
      <w:proofErr w:type="spellStart"/>
      <w:r w:rsidRPr="00853258">
        <w:t>Tellis</w:t>
      </w:r>
      <w:proofErr w:type="spellEnd"/>
      <w:r w:rsidRPr="00853258">
        <w:t xml:space="preserve">, K. (2014). </w:t>
      </w:r>
      <w:proofErr w:type="spellStart"/>
      <w:r w:rsidRPr="00853258">
        <w:t>Unfounding</w:t>
      </w:r>
      <w:proofErr w:type="spellEnd"/>
      <w:r w:rsidRPr="00853258">
        <w:t xml:space="preserve"> sexual assault: Examining the decision to unfound and identifying false reports. </w:t>
      </w:r>
      <w:r w:rsidRPr="00853258">
        <w:rPr>
          <w:i/>
          <w:iCs/>
        </w:rPr>
        <w:t>Law &amp; Society Review</w:t>
      </w:r>
      <w:r w:rsidRPr="00853258">
        <w:t xml:space="preserve">, </w:t>
      </w:r>
      <w:r w:rsidRPr="00853258">
        <w:rPr>
          <w:i/>
          <w:iCs/>
        </w:rPr>
        <w:t>48</w:t>
      </w:r>
      <w:r w:rsidRPr="00853258">
        <w:t>(1), 161-192.</w:t>
      </w:r>
    </w:p>
    <w:p w14:paraId="005B9C28" w14:textId="4335E565" w:rsidR="0038435F" w:rsidRPr="00853258" w:rsidRDefault="0038435F" w:rsidP="00904EB2">
      <w:pPr>
        <w:pStyle w:val="References"/>
      </w:pPr>
      <w:r w:rsidRPr="00853258">
        <w:t xml:space="preserve">Stanko, B., &amp; Williams, E. (2009). Reviewing rape and rape allegations in London: What are the vulnerabilities of the victims who report to the </w:t>
      </w:r>
      <w:r w:rsidR="00F32E9E" w:rsidRPr="00853258">
        <w:t>police?</w:t>
      </w:r>
      <w:r w:rsidRPr="00853258">
        <w:t xml:space="preserve"> In M. A. Horvath &amp; J. Brown (Eds.), </w:t>
      </w:r>
      <w:r w:rsidRPr="00853258">
        <w:rPr>
          <w:i/>
          <w:iCs/>
        </w:rPr>
        <w:t>Rape: Challenging contemporary thinking</w:t>
      </w:r>
      <w:r w:rsidRPr="00853258">
        <w:t xml:space="preserve">, 207-225. </w:t>
      </w:r>
    </w:p>
    <w:p w14:paraId="55826D11" w14:textId="77777777" w:rsidR="0038435F" w:rsidRPr="00853258" w:rsidRDefault="0038435F" w:rsidP="00904EB2">
      <w:pPr>
        <w:pStyle w:val="References"/>
      </w:pPr>
      <w:r w:rsidRPr="00853258">
        <w:t xml:space="preserve">Stanko, E. (1985). Intimate intrusions. </w:t>
      </w:r>
      <w:r w:rsidRPr="00853258">
        <w:rPr>
          <w:i/>
          <w:iCs/>
        </w:rPr>
        <w:t>Woman's Experience of Male Violence, London. Boston, Melbourne, Henley</w:t>
      </w:r>
      <w:r w:rsidRPr="00853258">
        <w:t>.</w:t>
      </w:r>
    </w:p>
    <w:p w14:paraId="079F0A69" w14:textId="497D503D" w:rsidR="0038435F" w:rsidRDefault="0038435F" w:rsidP="00904EB2">
      <w:pPr>
        <w:pStyle w:val="References"/>
      </w:pPr>
      <w:r w:rsidRPr="00853258">
        <w:t xml:space="preserve">Suarez, E., &amp; </w:t>
      </w:r>
      <w:proofErr w:type="spellStart"/>
      <w:r w:rsidRPr="00853258">
        <w:t>Gadalla</w:t>
      </w:r>
      <w:proofErr w:type="spellEnd"/>
      <w:r w:rsidRPr="00853258">
        <w:t xml:space="preserve">, T. M. (2010). Stop blaming the victim: A meta-analysis on rape myths. </w:t>
      </w:r>
      <w:r w:rsidRPr="00853258">
        <w:rPr>
          <w:i/>
          <w:iCs/>
        </w:rPr>
        <w:t>Journal of Interpersonal Violence</w:t>
      </w:r>
      <w:r w:rsidRPr="00853258">
        <w:t xml:space="preserve">, </w:t>
      </w:r>
      <w:r w:rsidRPr="00853258">
        <w:rPr>
          <w:i/>
          <w:iCs/>
        </w:rPr>
        <w:t>25</w:t>
      </w:r>
      <w:r w:rsidRPr="00853258">
        <w:t xml:space="preserve">(11), 2010-2035. </w:t>
      </w:r>
    </w:p>
    <w:p w14:paraId="677C08AD" w14:textId="1C65D0DB" w:rsidR="006A7790" w:rsidRPr="006A7790" w:rsidRDefault="006A7790" w:rsidP="00904EB2">
      <w:pPr>
        <w:pStyle w:val="References"/>
      </w:pPr>
      <w:proofErr w:type="spellStart"/>
      <w:r w:rsidRPr="00305C97">
        <w:rPr>
          <w:color w:val="222222"/>
          <w:shd w:val="clear" w:color="auto" w:fill="FFFFFF"/>
        </w:rPr>
        <w:t>Süssenbach</w:t>
      </w:r>
      <w:proofErr w:type="spellEnd"/>
      <w:r w:rsidRPr="00305C97">
        <w:rPr>
          <w:color w:val="222222"/>
          <w:shd w:val="clear" w:color="auto" w:fill="FFFFFF"/>
        </w:rPr>
        <w:t>, P., &amp; Bohner, G. (2011). Acceptance of sexual aggression myths in a representative sample of German residents. </w:t>
      </w:r>
      <w:r w:rsidRPr="00305C97">
        <w:rPr>
          <w:i/>
          <w:iCs/>
          <w:color w:val="222222"/>
        </w:rPr>
        <w:t>Aggressive Behavior</w:t>
      </w:r>
      <w:r w:rsidRPr="00305C97">
        <w:rPr>
          <w:color w:val="222222"/>
          <w:shd w:val="clear" w:color="auto" w:fill="FFFFFF"/>
        </w:rPr>
        <w:t>, </w:t>
      </w:r>
      <w:r w:rsidRPr="00305C97">
        <w:rPr>
          <w:i/>
          <w:iCs/>
          <w:color w:val="222222"/>
        </w:rPr>
        <w:t>37</w:t>
      </w:r>
      <w:r w:rsidRPr="00305C97">
        <w:rPr>
          <w:color w:val="222222"/>
          <w:shd w:val="clear" w:color="auto" w:fill="FFFFFF"/>
        </w:rPr>
        <w:t>(4), 374-385.</w:t>
      </w:r>
    </w:p>
    <w:p w14:paraId="7B5F08DA" w14:textId="77777777" w:rsidR="0038435F" w:rsidRPr="00853258" w:rsidRDefault="0038435F" w:rsidP="00904EB2">
      <w:pPr>
        <w:pStyle w:val="References"/>
      </w:pPr>
      <w:proofErr w:type="spellStart"/>
      <w:r w:rsidRPr="00853258">
        <w:t>Tabachnick</w:t>
      </w:r>
      <w:proofErr w:type="spellEnd"/>
      <w:r w:rsidRPr="00853258">
        <w:t xml:space="preserve">, B. Fidel, l. (2001). </w:t>
      </w:r>
      <w:r w:rsidRPr="00853258">
        <w:rPr>
          <w:i/>
          <w:iCs/>
        </w:rPr>
        <w:t>Using multivariate statistics</w:t>
      </w:r>
      <w:r w:rsidRPr="00853258">
        <w:t>. Harper Collins, New York.</w:t>
      </w:r>
    </w:p>
    <w:p w14:paraId="07E38192" w14:textId="77777777" w:rsidR="0038435F" w:rsidRPr="00853258" w:rsidRDefault="0038435F" w:rsidP="00904EB2">
      <w:pPr>
        <w:pStyle w:val="References"/>
      </w:pPr>
      <w:r w:rsidRPr="00853258">
        <w:t xml:space="preserve">Taylor, S. C., Muldoon, S, D., Norma, C., &amp; Bradley, D. (2012). </w:t>
      </w:r>
      <w:r w:rsidRPr="00853258">
        <w:rPr>
          <w:i/>
        </w:rPr>
        <w:t xml:space="preserve">Policing just outcomes: Improving the police response to adults reporting sexual assault. </w:t>
      </w:r>
      <w:r w:rsidRPr="00853258">
        <w:t>Perth: Edith Cowan University.</w:t>
      </w:r>
    </w:p>
    <w:p w14:paraId="3DEE6095" w14:textId="210EDB7A" w:rsidR="0038435F" w:rsidRDefault="0038435F" w:rsidP="00904EB2">
      <w:pPr>
        <w:pStyle w:val="References"/>
      </w:pPr>
      <w:r w:rsidRPr="00853258">
        <w:lastRenderedPageBreak/>
        <w:t xml:space="preserve">Temkin, J. (1999). Reporting rape in London: A qualitative study. </w:t>
      </w:r>
      <w:r w:rsidRPr="00853258">
        <w:rPr>
          <w:i/>
          <w:iCs/>
        </w:rPr>
        <w:t>The Howard Journal of Crime and Justice</w:t>
      </w:r>
      <w:r w:rsidRPr="00853258">
        <w:t xml:space="preserve">, </w:t>
      </w:r>
      <w:r w:rsidRPr="00853258">
        <w:rPr>
          <w:i/>
          <w:iCs/>
        </w:rPr>
        <w:t>38</w:t>
      </w:r>
      <w:r w:rsidRPr="00853258">
        <w:t>(1), 17-41</w:t>
      </w:r>
      <w:r w:rsidR="00B71BAB">
        <w:t>.</w:t>
      </w:r>
    </w:p>
    <w:p w14:paraId="7FFCD1F0" w14:textId="7A5A63C2" w:rsidR="00B71BAB" w:rsidRPr="00B71BAB" w:rsidRDefault="00B71BAB" w:rsidP="00904EB2">
      <w:pPr>
        <w:pStyle w:val="References"/>
      </w:pPr>
      <w:r w:rsidRPr="00B71BAB">
        <w:rPr>
          <w:color w:val="222222"/>
          <w:shd w:val="clear" w:color="auto" w:fill="FFFFFF"/>
        </w:rPr>
        <w:t xml:space="preserve">Temkin, J., &amp; </w:t>
      </w:r>
      <w:proofErr w:type="spellStart"/>
      <w:r w:rsidRPr="00B71BAB">
        <w:rPr>
          <w:color w:val="222222"/>
          <w:shd w:val="clear" w:color="auto" w:fill="FFFFFF"/>
        </w:rPr>
        <w:t>Krahé</w:t>
      </w:r>
      <w:proofErr w:type="spellEnd"/>
      <w:r w:rsidRPr="00B71BAB">
        <w:rPr>
          <w:color w:val="222222"/>
          <w:shd w:val="clear" w:color="auto" w:fill="FFFFFF"/>
        </w:rPr>
        <w:t>, B. (2008). </w:t>
      </w:r>
      <w:r w:rsidRPr="00B71BAB">
        <w:rPr>
          <w:i/>
          <w:iCs/>
          <w:color w:val="222222"/>
          <w:shd w:val="clear" w:color="auto" w:fill="FFFFFF"/>
        </w:rPr>
        <w:t>Sexual assault and the justice gap: A question of attitude</w:t>
      </w:r>
      <w:r w:rsidRPr="00B71BAB">
        <w:rPr>
          <w:color w:val="222222"/>
          <w:shd w:val="clear" w:color="auto" w:fill="FFFFFF"/>
        </w:rPr>
        <w:t> (No. 5). Bloomsbury Publishing.</w:t>
      </w:r>
    </w:p>
    <w:p w14:paraId="3505BAEF" w14:textId="37E13027" w:rsidR="00DE3727" w:rsidRPr="00DE3727" w:rsidRDefault="00DE3727" w:rsidP="00904EB2">
      <w:pPr>
        <w:pStyle w:val="References"/>
      </w:pPr>
      <w:proofErr w:type="spellStart"/>
      <w:r w:rsidRPr="00DE3727">
        <w:rPr>
          <w:color w:val="222222"/>
          <w:shd w:val="clear" w:color="auto" w:fill="FFFFFF"/>
        </w:rPr>
        <w:t>Tidmarsh</w:t>
      </w:r>
      <w:proofErr w:type="spellEnd"/>
      <w:r w:rsidRPr="00DE3727">
        <w:rPr>
          <w:color w:val="222222"/>
          <w:shd w:val="clear" w:color="auto" w:fill="FFFFFF"/>
        </w:rPr>
        <w:t xml:space="preserve">, P., Powell, M. B., &amp; </w:t>
      </w:r>
      <w:proofErr w:type="spellStart"/>
      <w:r w:rsidRPr="00DE3727">
        <w:rPr>
          <w:color w:val="222222"/>
          <w:shd w:val="clear" w:color="auto" w:fill="FFFFFF"/>
        </w:rPr>
        <w:t>Darwinkel</w:t>
      </w:r>
      <w:proofErr w:type="spellEnd"/>
      <w:r w:rsidRPr="00DE3727">
        <w:rPr>
          <w:color w:val="222222"/>
          <w:shd w:val="clear" w:color="auto" w:fill="FFFFFF"/>
        </w:rPr>
        <w:t>, E. (2012). Whole story”: A new framework for conducting investigative interviews about sexual assault. </w:t>
      </w:r>
      <w:r w:rsidRPr="00DE3727">
        <w:rPr>
          <w:i/>
          <w:iCs/>
          <w:color w:val="222222"/>
        </w:rPr>
        <w:t>Investigative Interviewing: Research and Practice</w:t>
      </w:r>
      <w:r w:rsidRPr="00DE3727">
        <w:rPr>
          <w:color w:val="222222"/>
          <w:shd w:val="clear" w:color="auto" w:fill="FFFFFF"/>
        </w:rPr>
        <w:t>, </w:t>
      </w:r>
      <w:r w:rsidRPr="00DE3727">
        <w:rPr>
          <w:i/>
          <w:iCs/>
          <w:color w:val="222222"/>
        </w:rPr>
        <w:t>4</w:t>
      </w:r>
      <w:r w:rsidRPr="00DE3727">
        <w:rPr>
          <w:color w:val="222222"/>
          <w:shd w:val="clear" w:color="auto" w:fill="FFFFFF"/>
        </w:rPr>
        <w:t>(2), 33-45.</w:t>
      </w:r>
    </w:p>
    <w:p w14:paraId="7CFC03D9" w14:textId="77777777" w:rsidR="0038435F" w:rsidRPr="00853258" w:rsidRDefault="0038435F" w:rsidP="00904EB2">
      <w:pPr>
        <w:pStyle w:val="References"/>
      </w:pPr>
      <w:r w:rsidRPr="00853258">
        <w:t xml:space="preserve">Ullman, S. E., &amp; Townsend, S. M. (2007). Barriers to working with sexual assault survivors: A qualitative study of rape crisis </w:t>
      </w:r>
      <w:proofErr w:type="spellStart"/>
      <w:r w:rsidRPr="00853258">
        <w:t>center</w:t>
      </w:r>
      <w:proofErr w:type="spellEnd"/>
      <w:r w:rsidRPr="00853258">
        <w:t xml:space="preserve"> workers. </w:t>
      </w:r>
      <w:r w:rsidRPr="00853258">
        <w:rPr>
          <w:i/>
          <w:iCs/>
        </w:rPr>
        <w:t>Violence Against Women</w:t>
      </w:r>
      <w:r w:rsidRPr="00853258">
        <w:t xml:space="preserve">, </w:t>
      </w:r>
      <w:r w:rsidRPr="00853258">
        <w:rPr>
          <w:i/>
          <w:iCs/>
        </w:rPr>
        <w:t>13</w:t>
      </w:r>
      <w:r w:rsidRPr="00853258">
        <w:t xml:space="preserve">(4), 412-443. </w:t>
      </w:r>
    </w:p>
    <w:p w14:paraId="6B2CA639" w14:textId="77777777" w:rsidR="0038435F" w:rsidRPr="00853258" w:rsidRDefault="0038435F" w:rsidP="00904EB2">
      <w:pPr>
        <w:pStyle w:val="References"/>
      </w:pPr>
      <w:proofErr w:type="spellStart"/>
      <w:r w:rsidRPr="00853258">
        <w:rPr>
          <w:color w:val="000000"/>
        </w:rPr>
        <w:t>Venema</w:t>
      </w:r>
      <w:proofErr w:type="spellEnd"/>
      <w:r w:rsidRPr="00853258">
        <w:rPr>
          <w:color w:val="000000"/>
        </w:rPr>
        <w:t xml:space="preserve">, R. M. (2016a). Making judgments: How blame mediates the influence of rape myth acceptance in police response to sexual assault. </w:t>
      </w:r>
      <w:r w:rsidRPr="00853258">
        <w:rPr>
          <w:i/>
          <w:iCs/>
          <w:color w:val="000000"/>
        </w:rPr>
        <w:t>Journal of Interpersonal Violence</w:t>
      </w:r>
      <w:r w:rsidRPr="00853258">
        <w:rPr>
          <w:color w:val="000000"/>
        </w:rPr>
        <w:t>. [no pagination]</w:t>
      </w:r>
    </w:p>
    <w:p w14:paraId="2AF1C56E" w14:textId="77777777" w:rsidR="0038435F" w:rsidRPr="00853258" w:rsidRDefault="0038435F" w:rsidP="00904EB2">
      <w:pPr>
        <w:pStyle w:val="References"/>
      </w:pPr>
      <w:proofErr w:type="spellStart"/>
      <w:r w:rsidRPr="00853258">
        <w:rPr>
          <w:color w:val="000000"/>
        </w:rPr>
        <w:t>Venema</w:t>
      </w:r>
      <w:proofErr w:type="spellEnd"/>
      <w:r w:rsidRPr="00853258">
        <w:rPr>
          <w:color w:val="000000"/>
        </w:rPr>
        <w:t xml:space="preserve">, R. M. (2016b). Police officer schema of sexual assault reports: Real rape, ambiguous cases, and false reports. </w:t>
      </w:r>
      <w:r w:rsidRPr="00853258">
        <w:rPr>
          <w:i/>
          <w:iCs/>
          <w:color w:val="000000"/>
        </w:rPr>
        <w:t>Journal of Interpersonal Violence, 31</w:t>
      </w:r>
      <w:r w:rsidRPr="00853258">
        <w:rPr>
          <w:color w:val="000000"/>
        </w:rPr>
        <w:t xml:space="preserve">, 872-899. </w:t>
      </w:r>
    </w:p>
    <w:p w14:paraId="182FD605" w14:textId="77777777" w:rsidR="0038435F" w:rsidRPr="00853258" w:rsidRDefault="0038435F" w:rsidP="00904EB2">
      <w:pPr>
        <w:pStyle w:val="References"/>
      </w:pPr>
      <w:r w:rsidRPr="00853258">
        <w:t xml:space="preserve">Whatley, M. A. (1996). Victim characteristics influencing attributions of responsibility to rape victims: A meta-analysis. </w:t>
      </w:r>
      <w:r w:rsidRPr="00853258">
        <w:rPr>
          <w:i/>
          <w:iCs/>
        </w:rPr>
        <w:t>Aggression and Violent Behavior</w:t>
      </w:r>
      <w:r w:rsidRPr="00853258">
        <w:t xml:space="preserve">, </w:t>
      </w:r>
      <w:r w:rsidRPr="00853258">
        <w:rPr>
          <w:i/>
          <w:iCs/>
        </w:rPr>
        <w:t>1</w:t>
      </w:r>
      <w:r w:rsidRPr="00853258">
        <w:t xml:space="preserve">(2), 81-95. </w:t>
      </w:r>
    </w:p>
    <w:p w14:paraId="7E32351C" w14:textId="77777777" w:rsidR="0038435F" w:rsidRPr="00853258" w:rsidRDefault="0038435F" w:rsidP="00904EB2">
      <w:pPr>
        <w:pStyle w:val="References"/>
      </w:pPr>
      <w:proofErr w:type="spellStart"/>
      <w:r w:rsidRPr="00853258">
        <w:t>Yamawaki</w:t>
      </w:r>
      <w:proofErr w:type="spellEnd"/>
      <w:r w:rsidRPr="00853258">
        <w:t xml:space="preserve">, N., Darby, R., &amp; Queiroz, A. (2007). The moderating role of ambivalent sexism: The influence of power status on perception of rape victim and rapist. </w:t>
      </w:r>
      <w:r w:rsidRPr="00853258">
        <w:rPr>
          <w:i/>
          <w:iCs/>
        </w:rPr>
        <w:t>The Journal of social psychology</w:t>
      </w:r>
      <w:r w:rsidRPr="00853258">
        <w:t xml:space="preserve">, </w:t>
      </w:r>
      <w:r w:rsidRPr="00853258">
        <w:rPr>
          <w:i/>
          <w:iCs/>
        </w:rPr>
        <w:t>147</w:t>
      </w:r>
      <w:r w:rsidRPr="00853258">
        <w:t xml:space="preserve">(1), 41-56. </w:t>
      </w:r>
    </w:p>
    <w:p w14:paraId="672C7552" w14:textId="77777777" w:rsidR="0038435F" w:rsidRPr="00853258" w:rsidRDefault="0038435F" w:rsidP="00904EB2">
      <w:pPr>
        <w:pStyle w:val="References"/>
      </w:pPr>
      <w:r w:rsidRPr="00853258">
        <w:t xml:space="preserve">Zurbriggen, E. L. (2000). Social motives and cognitive power–sex associations: Predictors of aggressive sexual behavior. </w:t>
      </w:r>
      <w:r w:rsidRPr="00853258">
        <w:rPr>
          <w:i/>
          <w:iCs/>
        </w:rPr>
        <w:t>Journal of personality and social psychology</w:t>
      </w:r>
      <w:r w:rsidRPr="00853258">
        <w:t xml:space="preserve">, </w:t>
      </w:r>
      <w:r w:rsidRPr="00853258">
        <w:rPr>
          <w:i/>
          <w:iCs/>
        </w:rPr>
        <w:t>78</w:t>
      </w:r>
      <w:r w:rsidRPr="00853258">
        <w:t xml:space="preserve">(3), 559-581. </w:t>
      </w:r>
    </w:p>
    <w:p w14:paraId="05C92F6F" w14:textId="77777777" w:rsidR="00D31F7B" w:rsidRDefault="00D31F7B" w:rsidP="00D31F7B"/>
    <w:p w14:paraId="1E56DAD2" w14:textId="77777777" w:rsidR="00F95214" w:rsidRPr="00A4261C" w:rsidRDefault="00F95214" w:rsidP="001513C2">
      <w:pPr>
        <w:jc w:val="both"/>
        <w:sectPr w:rsidR="00F95214" w:rsidRPr="00A4261C" w:rsidSect="0038435F">
          <w:headerReference w:type="even" r:id="rId8"/>
          <w:headerReference w:type="default" r:id="rId9"/>
          <w:footerReference w:type="even" r:id="rId10"/>
          <w:footerReference w:type="default" r:id="rId11"/>
          <w:headerReference w:type="first" r:id="rId12"/>
          <w:footerReference w:type="first" r:id="rId13"/>
          <w:type w:val="continuous"/>
          <w:pgSz w:w="11900" w:h="16840"/>
          <w:pgMar w:top="1440" w:right="1440" w:bottom="1440" w:left="1440" w:header="708" w:footer="708" w:gutter="0"/>
          <w:cols w:space="708"/>
          <w:docGrid w:linePitch="360"/>
        </w:sectPr>
      </w:pPr>
    </w:p>
    <w:tbl>
      <w:tblPr>
        <w:tblW w:w="11969" w:type="dxa"/>
        <w:tblInd w:w="547" w:type="dxa"/>
        <w:tblLook w:val="04A0" w:firstRow="1" w:lastRow="0" w:firstColumn="1" w:lastColumn="0" w:noHBand="0" w:noVBand="1"/>
      </w:tblPr>
      <w:tblGrid>
        <w:gridCol w:w="2437"/>
        <w:gridCol w:w="236"/>
        <w:gridCol w:w="1348"/>
        <w:gridCol w:w="222"/>
        <w:gridCol w:w="1220"/>
        <w:gridCol w:w="222"/>
        <w:gridCol w:w="222"/>
        <w:gridCol w:w="808"/>
        <w:gridCol w:w="222"/>
        <w:gridCol w:w="750"/>
        <w:gridCol w:w="222"/>
        <w:gridCol w:w="2058"/>
        <w:gridCol w:w="2002"/>
      </w:tblGrid>
      <w:tr w:rsidR="000369F7" w14:paraId="1063E902" w14:textId="77777777" w:rsidTr="00886B56">
        <w:trPr>
          <w:trHeight w:val="364"/>
        </w:trPr>
        <w:tc>
          <w:tcPr>
            <w:tcW w:w="7909" w:type="dxa"/>
            <w:gridSpan w:val="11"/>
            <w:tcBorders>
              <w:top w:val="nil"/>
              <w:left w:val="nil"/>
              <w:bottom w:val="single" w:sz="4" w:space="0" w:color="auto"/>
              <w:right w:val="nil"/>
            </w:tcBorders>
            <w:noWrap/>
            <w:vAlign w:val="bottom"/>
            <w:hideMark/>
          </w:tcPr>
          <w:p w14:paraId="135EFFE5" w14:textId="77777777" w:rsidR="000369F7" w:rsidRDefault="000369F7" w:rsidP="00904EB2">
            <w:pPr>
              <w:pStyle w:val="Tabletitle"/>
              <w:rPr>
                <w:lang w:eastAsia="en-US"/>
              </w:rPr>
            </w:pPr>
            <w:r>
              <w:rPr>
                <w:lang w:eastAsia="en-US"/>
              </w:rPr>
              <w:lastRenderedPageBreak/>
              <w:t>Table 1. Descriptive Statistics, N=912</w:t>
            </w:r>
          </w:p>
        </w:tc>
        <w:tc>
          <w:tcPr>
            <w:tcW w:w="4060" w:type="dxa"/>
            <w:gridSpan w:val="2"/>
            <w:tcBorders>
              <w:top w:val="nil"/>
              <w:left w:val="nil"/>
              <w:bottom w:val="single" w:sz="4" w:space="0" w:color="auto"/>
              <w:right w:val="nil"/>
            </w:tcBorders>
            <w:noWrap/>
            <w:vAlign w:val="bottom"/>
            <w:hideMark/>
          </w:tcPr>
          <w:p w14:paraId="3E8BB322" w14:textId="77777777" w:rsidR="000369F7" w:rsidRDefault="000369F7" w:rsidP="00904EB2">
            <w:pPr>
              <w:pStyle w:val="Tabletitle"/>
              <w:rPr>
                <w:lang w:eastAsia="en-US"/>
              </w:rPr>
            </w:pPr>
            <w:r>
              <w:rPr>
                <w:lang w:eastAsia="en-US"/>
              </w:rPr>
              <w:t> </w:t>
            </w:r>
          </w:p>
        </w:tc>
      </w:tr>
      <w:tr w:rsidR="000369F7" w14:paraId="7229751C" w14:textId="77777777" w:rsidTr="00886B56">
        <w:trPr>
          <w:trHeight w:val="382"/>
        </w:trPr>
        <w:tc>
          <w:tcPr>
            <w:tcW w:w="2437" w:type="dxa"/>
            <w:noWrap/>
            <w:vAlign w:val="bottom"/>
            <w:hideMark/>
          </w:tcPr>
          <w:p w14:paraId="63EEBA68" w14:textId="77777777" w:rsidR="000369F7" w:rsidRDefault="000369F7">
            <w:pPr>
              <w:rPr>
                <w:lang w:eastAsia="en-US"/>
              </w:rPr>
            </w:pPr>
          </w:p>
        </w:tc>
        <w:tc>
          <w:tcPr>
            <w:tcW w:w="236" w:type="dxa"/>
            <w:noWrap/>
            <w:vAlign w:val="bottom"/>
            <w:hideMark/>
          </w:tcPr>
          <w:p w14:paraId="587208F6" w14:textId="77777777" w:rsidR="000369F7" w:rsidRDefault="000369F7">
            <w:pPr>
              <w:spacing w:line="256" w:lineRule="auto"/>
              <w:rPr>
                <w:rFonts w:asciiTheme="minorHAnsi" w:eastAsiaTheme="minorHAnsi" w:hAnsiTheme="minorHAnsi" w:cstheme="minorBidi"/>
                <w:sz w:val="20"/>
                <w:szCs w:val="20"/>
              </w:rPr>
            </w:pPr>
          </w:p>
        </w:tc>
        <w:tc>
          <w:tcPr>
            <w:tcW w:w="1348" w:type="dxa"/>
            <w:noWrap/>
            <w:vAlign w:val="bottom"/>
            <w:hideMark/>
          </w:tcPr>
          <w:p w14:paraId="29CEB5C3" w14:textId="77777777" w:rsidR="000369F7" w:rsidRDefault="000369F7">
            <w:pPr>
              <w:spacing w:line="256" w:lineRule="auto"/>
              <w:rPr>
                <w:rFonts w:asciiTheme="minorHAnsi" w:eastAsiaTheme="minorHAnsi" w:hAnsiTheme="minorHAnsi" w:cstheme="minorBidi"/>
                <w:sz w:val="20"/>
                <w:szCs w:val="20"/>
              </w:rPr>
            </w:pPr>
          </w:p>
        </w:tc>
        <w:tc>
          <w:tcPr>
            <w:tcW w:w="222" w:type="dxa"/>
            <w:noWrap/>
            <w:vAlign w:val="bottom"/>
            <w:hideMark/>
          </w:tcPr>
          <w:p w14:paraId="7A1FBEFF" w14:textId="77777777" w:rsidR="000369F7" w:rsidRDefault="000369F7">
            <w:pPr>
              <w:spacing w:line="256" w:lineRule="auto"/>
              <w:rPr>
                <w:rFonts w:asciiTheme="minorHAnsi" w:eastAsiaTheme="minorHAnsi" w:hAnsiTheme="minorHAnsi" w:cstheme="minorBidi"/>
                <w:sz w:val="20"/>
                <w:szCs w:val="20"/>
              </w:rPr>
            </w:pPr>
          </w:p>
        </w:tc>
        <w:tc>
          <w:tcPr>
            <w:tcW w:w="1220" w:type="dxa"/>
            <w:noWrap/>
            <w:vAlign w:val="bottom"/>
            <w:hideMark/>
          </w:tcPr>
          <w:p w14:paraId="2EEF2F94" w14:textId="77777777" w:rsidR="000369F7" w:rsidRDefault="000369F7">
            <w:pPr>
              <w:spacing w:line="256" w:lineRule="auto"/>
              <w:rPr>
                <w:rFonts w:asciiTheme="minorHAnsi" w:eastAsiaTheme="minorHAnsi" w:hAnsiTheme="minorHAnsi" w:cstheme="minorBidi"/>
                <w:sz w:val="20"/>
                <w:szCs w:val="20"/>
              </w:rPr>
            </w:pPr>
          </w:p>
        </w:tc>
        <w:tc>
          <w:tcPr>
            <w:tcW w:w="222" w:type="dxa"/>
            <w:noWrap/>
            <w:vAlign w:val="bottom"/>
            <w:hideMark/>
          </w:tcPr>
          <w:p w14:paraId="29010CD2" w14:textId="77777777" w:rsidR="000369F7" w:rsidRDefault="000369F7">
            <w:pPr>
              <w:spacing w:line="256" w:lineRule="auto"/>
              <w:rPr>
                <w:rFonts w:asciiTheme="minorHAnsi" w:eastAsiaTheme="minorHAnsi" w:hAnsiTheme="minorHAnsi" w:cstheme="minorBidi"/>
                <w:sz w:val="20"/>
                <w:szCs w:val="20"/>
              </w:rPr>
            </w:pPr>
          </w:p>
        </w:tc>
        <w:tc>
          <w:tcPr>
            <w:tcW w:w="1030" w:type="dxa"/>
            <w:gridSpan w:val="2"/>
            <w:noWrap/>
            <w:vAlign w:val="bottom"/>
            <w:hideMark/>
          </w:tcPr>
          <w:p w14:paraId="285595C7" w14:textId="77777777" w:rsidR="000369F7" w:rsidRDefault="000369F7">
            <w:pPr>
              <w:spacing w:line="256" w:lineRule="auto"/>
              <w:rPr>
                <w:rFonts w:asciiTheme="minorHAnsi" w:eastAsiaTheme="minorHAnsi" w:hAnsiTheme="minorHAnsi" w:cstheme="minorBidi"/>
                <w:sz w:val="20"/>
                <w:szCs w:val="20"/>
              </w:rPr>
            </w:pPr>
          </w:p>
        </w:tc>
        <w:tc>
          <w:tcPr>
            <w:tcW w:w="222" w:type="dxa"/>
            <w:noWrap/>
            <w:vAlign w:val="bottom"/>
            <w:hideMark/>
          </w:tcPr>
          <w:p w14:paraId="765FC3B0" w14:textId="77777777" w:rsidR="000369F7" w:rsidRDefault="000369F7">
            <w:pPr>
              <w:spacing w:line="256" w:lineRule="auto"/>
              <w:rPr>
                <w:rFonts w:asciiTheme="minorHAnsi" w:eastAsiaTheme="minorHAnsi" w:hAnsiTheme="minorHAnsi" w:cstheme="minorBidi"/>
                <w:sz w:val="20"/>
                <w:szCs w:val="20"/>
              </w:rPr>
            </w:pPr>
          </w:p>
        </w:tc>
        <w:tc>
          <w:tcPr>
            <w:tcW w:w="750" w:type="dxa"/>
            <w:noWrap/>
            <w:vAlign w:val="bottom"/>
            <w:hideMark/>
          </w:tcPr>
          <w:p w14:paraId="52E33351" w14:textId="77777777" w:rsidR="000369F7" w:rsidRDefault="000369F7">
            <w:pPr>
              <w:spacing w:line="256" w:lineRule="auto"/>
              <w:rPr>
                <w:rFonts w:asciiTheme="minorHAnsi" w:eastAsiaTheme="minorHAnsi" w:hAnsiTheme="minorHAnsi" w:cstheme="minorBidi"/>
                <w:sz w:val="20"/>
                <w:szCs w:val="20"/>
              </w:rPr>
            </w:pPr>
          </w:p>
        </w:tc>
        <w:tc>
          <w:tcPr>
            <w:tcW w:w="222" w:type="dxa"/>
            <w:noWrap/>
            <w:vAlign w:val="bottom"/>
            <w:hideMark/>
          </w:tcPr>
          <w:p w14:paraId="71349858" w14:textId="77777777" w:rsidR="000369F7" w:rsidRDefault="000369F7">
            <w:pPr>
              <w:spacing w:line="256" w:lineRule="auto"/>
              <w:rPr>
                <w:rFonts w:asciiTheme="minorHAnsi" w:eastAsiaTheme="minorHAnsi" w:hAnsiTheme="minorHAnsi" w:cstheme="minorBidi"/>
                <w:sz w:val="20"/>
                <w:szCs w:val="20"/>
              </w:rPr>
            </w:pPr>
          </w:p>
        </w:tc>
        <w:tc>
          <w:tcPr>
            <w:tcW w:w="4060" w:type="dxa"/>
            <w:gridSpan w:val="2"/>
            <w:noWrap/>
            <w:vAlign w:val="bottom"/>
            <w:hideMark/>
          </w:tcPr>
          <w:p w14:paraId="09C553B8" w14:textId="77777777" w:rsidR="000369F7" w:rsidRDefault="000369F7">
            <w:pPr>
              <w:spacing w:line="256" w:lineRule="auto"/>
              <w:rPr>
                <w:rFonts w:asciiTheme="minorHAnsi" w:eastAsiaTheme="minorHAnsi" w:hAnsiTheme="minorHAnsi" w:cstheme="minorBidi"/>
                <w:sz w:val="20"/>
                <w:szCs w:val="20"/>
              </w:rPr>
            </w:pPr>
          </w:p>
        </w:tc>
      </w:tr>
      <w:tr w:rsidR="000369F7" w14:paraId="1EB1D102" w14:textId="77777777" w:rsidTr="00886B56">
        <w:trPr>
          <w:gridAfter w:val="1"/>
          <w:wAfter w:w="2002" w:type="dxa"/>
          <w:trHeight w:val="320"/>
        </w:trPr>
        <w:tc>
          <w:tcPr>
            <w:tcW w:w="2437" w:type="dxa"/>
            <w:tcBorders>
              <w:top w:val="nil"/>
              <w:left w:val="nil"/>
              <w:bottom w:val="single" w:sz="4" w:space="0" w:color="auto"/>
              <w:right w:val="nil"/>
            </w:tcBorders>
            <w:noWrap/>
            <w:vAlign w:val="bottom"/>
            <w:hideMark/>
          </w:tcPr>
          <w:p w14:paraId="3B7EA703" w14:textId="77777777" w:rsidR="000369F7" w:rsidRDefault="000369F7">
            <w:pPr>
              <w:spacing w:line="360" w:lineRule="auto"/>
              <w:jc w:val="both"/>
              <w:rPr>
                <w:color w:val="000000"/>
                <w:lang w:eastAsia="en-US"/>
              </w:rPr>
            </w:pPr>
            <w:r>
              <w:rPr>
                <w:color w:val="000000"/>
                <w:lang w:eastAsia="en-US"/>
              </w:rPr>
              <w:t> </w:t>
            </w:r>
          </w:p>
        </w:tc>
        <w:tc>
          <w:tcPr>
            <w:tcW w:w="236" w:type="dxa"/>
            <w:noWrap/>
            <w:vAlign w:val="bottom"/>
            <w:hideMark/>
          </w:tcPr>
          <w:p w14:paraId="04D9F10A" w14:textId="77777777" w:rsidR="000369F7" w:rsidRDefault="000369F7">
            <w:pPr>
              <w:rPr>
                <w:color w:val="000000"/>
                <w:lang w:eastAsia="en-US"/>
              </w:rPr>
            </w:pPr>
          </w:p>
        </w:tc>
        <w:tc>
          <w:tcPr>
            <w:tcW w:w="1348" w:type="dxa"/>
            <w:tcBorders>
              <w:top w:val="nil"/>
              <w:left w:val="nil"/>
              <w:bottom w:val="single" w:sz="4" w:space="0" w:color="auto"/>
              <w:right w:val="nil"/>
            </w:tcBorders>
            <w:noWrap/>
            <w:vAlign w:val="bottom"/>
            <w:hideMark/>
          </w:tcPr>
          <w:p w14:paraId="3800C308" w14:textId="77777777" w:rsidR="000369F7" w:rsidRDefault="000369F7">
            <w:pPr>
              <w:spacing w:line="360" w:lineRule="auto"/>
              <w:jc w:val="both"/>
              <w:rPr>
                <w:color w:val="000000"/>
                <w:lang w:eastAsia="en-US"/>
              </w:rPr>
            </w:pPr>
            <w:r>
              <w:rPr>
                <w:color w:val="000000"/>
                <w:lang w:eastAsia="en-US"/>
              </w:rPr>
              <w:t xml:space="preserve"> </w:t>
            </w:r>
            <w:r>
              <w:rPr>
                <w:i/>
                <w:iCs/>
                <w:color w:val="000000"/>
                <w:lang w:eastAsia="en-US"/>
              </w:rPr>
              <w:t>M</w:t>
            </w:r>
            <w:r>
              <w:rPr>
                <w:color w:val="000000"/>
                <w:lang w:eastAsia="en-US"/>
              </w:rPr>
              <w:t>(SD)</w:t>
            </w:r>
          </w:p>
        </w:tc>
        <w:tc>
          <w:tcPr>
            <w:tcW w:w="222" w:type="dxa"/>
            <w:noWrap/>
            <w:vAlign w:val="bottom"/>
            <w:hideMark/>
          </w:tcPr>
          <w:p w14:paraId="1046DECE" w14:textId="77777777" w:rsidR="000369F7" w:rsidRDefault="000369F7">
            <w:pPr>
              <w:rPr>
                <w:color w:val="000000"/>
                <w:lang w:eastAsia="en-US"/>
              </w:rPr>
            </w:pPr>
          </w:p>
        </w:tc>
        <w:tc>
          <w:tcPr>
            <w:tcW w:w="1220" w:type="dxa"/>
            <w:tcBorders>
              <w:top w:val="nil"/>
              <w:left w:val="nil"/>
              <w:bottom w:val="single" w:sz="4" w:space="0" w:color="auto"/>
              <w:right w:val="nil"/>
            </w:tcBorders>
            <w:noWrap/>
            <w:vAlign w:val="bottom"/>
            <w:hideMark/>
          </w:tcPr>
          <w:p w14:paraId="09DE3099" w14:textId="77777777" w:rsidR="000369F7" w:rsidRDefault="000369F7">
            <w:pPr>
              <w:spacing w:line="360" w:lineRule="auto"/>
              <w:jc w:val="both"/>
              <w:rPr>
                <w:color w:val="000000"/>
                <w:lang w:eastAsia="en-US"/>
              </w:rPr>
            </w:pPr>
            <w:r>
              <w:rPr>
                <w:color w:val="000000"/>
                <w:lang w:eastAsia="en-US"/>
              </w:rPr>
              <w:t xml:space="preserve">Range </w:t>
            </w:r>
          </w:p>
        </w:tc>
        <w:tc>
          <w:tcPr>
            <w:tcW w:w="222" w:type="dxa"/>
            <w:noWrap/>
            <w:vAlign w:val="bottom"/>
            <w:hideMark/>
          </w:tcPr>
          <w:p w14:paraId="2BFB140E" w14:textId="77777777" w:rsidR="000369F7" w:rsidRDefault="000369F7">
            <w:pPr>
              <w:rPr>
                <w:color w:val="000000"/>
                <w:lang w:eastAsia="en-US"/>
              </w:rPr>
            </w:pPr>
          </w:p>
        </w:tc>
        <w:tc>
          <w:tcPr>
            <w:tcW w:w="222" w:type="dxa"/>
            <w:noWrap/>
            <w:vAlign w:val="bottom"/>
            <w:hideMark/>
          </w:tcPr>
          <w:p w14:paraId="5A3D38F2" w14:textId="77777777" w:rsidR="000369F7" w:rsidRDefault="000369F7">
            <w:pPr>
              <w:spacing w:line="256" w:lineRule="auto"/>
              <w:rPr>
                <w:rFonts w:asciiTheme="minorHAnsi" w:eastAsiaTheme="minorHAnsi" w:hAnsiTheme="minorHAnsi" w:cstheme="minorBidi"/>
                <w:sz w:val="20"/>
                <w:szCs w:val="20"/>
              </w:rPr>
            </w:pPr>
          </w:p>
        </w:tc>
        <w:tc>
          <w:tcPr>
            <w:tcW w:w="4060" w:type="dxa"/>
            <w:gridSpan w:val="5"/>
            <w:noWrap/>
            <w:vAlign w:val="bottom"/>
            <w:hideMark/>
          </w:tcPr>
          <w:p w14:paraId="79BE9046" w14:textId="77777777" w:rsidR="000369F7" w:rsidRDefault="000369F7">
            <w:pPr>
              <w:spacing w:line="256" w:lineRule="auto"/>
              <w:rPr>
                <w:rFonts w:asciiTheme="minorHAnsi" w:eastAsiaTheme="minorHAnsi" w:hAnsiTheme="minorHAnsi" w:cstheme="minorBidi"/>
                <w:sz w:val="20"/>
                <w:szCs w:val="20"/>
              </w:rPr>
            </w:pPr>
          </w:p>
        </w:tc>
      </w:tr>
      <w:tr w:rsidR="000369F7" w14:paraId="1D862A3E" w14:textId="77777777" w:rsidTr="00886B56">
        <w:trPr>
          <w:gridAfter w:val="1"/>
          <w:wAfter w:w="2002" w:type="dxa"/>
          <w:trHeight w:val="320"/>
        </w:trPr>
        <w:tc>
          <w:tcPr>
            <w:tcW w:w="2437" w:type="dxa"/>
            <w:noWrap/>
            <w:vAlign w:val="bottom"/>
            <w:hideMark/>
          </w:tcPr>
          <w:p w14:paraId="26ABEBB5" w14:textId="77777777" w:rsidR="000369F7" w:rsidRDefault="000369F7">
            <w:pPr>
              <w:spacing w:line="360" w:lineRule="auto"/>
              <w:jc w:val="both"/>
              <w:rPr>
                <w:color w:val="000000"/>
                <w:lang w:eastAsia="en-US"/>
              </w:rPr>
            </w:pPr>
            <w:r>
              <w:rPr>
                <w:color w:val="000000"/>
                <w:lang w:eastAsia="en-US"/>
              </w:rPr>
              <w:t>Dependent Variable</w:t>
            </w:r>
          </w:p>
        </w:tc>
        <w:tc>
          <w:tcPr>
            <w:tcW w:w="236" w:type="dxa"/>
            <w:noWrap/>
            <w:vAlign w:val="bottom"/>
            <w:hideMark/>
          </w:tcPr>
          <w:p w14:paraId="2C7E3827" w14:textId="77777777" w:rsidR="000369F7" w:rsidRDefault="000369F7">
            <w:pPr>
              <w:rPr>
                <w:color w:val="000000"/>
                <w:lang w:eastAsia="en-US"/>
              </w:rPr>
            </w:pPr>
          </w:p>
        </w:tc>
        <w:tc>
          <w:tcPr>
            <w:tcW w:w="1348" w:type="dxa"/>
            <w:noWrap/>
            <w:vAlign w:val="bottom"/>
            <w:hideMark/>
          </w:tcPr>
          <w:p w14:paraId="013CE8E5" w14:textId="77777777" w:rsidR="000369F7" w:rsidRDefault="000369F7">
            <w:pPr>
              <w:spacing w:line="256" w:lineRule="auto"/>
              <w:rPr>
                <w:rFonts w:asciiTheme="minorHAnsi" w:eastAsiaTheme="minorHAnsi" w:hAnsiTheme="minorHAnsi" w:cstheme="minorBidi"/>
                <w:sz w:val="20"/>
                <w:szCs w:val="20"/>
              </w:rPr>
            </w:pPr>
          </w:p>
        </w:tc>
        <w:tc>
          <w:tcPr>
            <w:tcW w:w="222" w:type="dxa"/>
            <w:noWrap/>
            <w:vAlign w:val="bottom"/>
            <w:hideMark/>
          </w:tcPr>
          <w:p w14:paraId="18BF3990" w14:textId="77777777" w:rsidR="000369F7" w:rsidRDefault="000369F7">
            <w:pPr>
              <w:spacing w:line="256" w:lineRule="auto"/>
              <w:rPr>
                <w:rFonts w:asciiTheme="minorHAnsi" w:eastAsiaTheme="minorHAnsi" w:hAnsiTheme="minorHAnsi" w:cstheme="minorBidi"/>
                <w:sz w:val="20"/>
                <w:szCs w:val="20"/>
              </w:rPr>
            </w:pPr>
          </w:p>
        </w:tc>
        <w:tc>
          <w:tcPr>
            <w:tcW w:w="1220" w:type="dxa"/>
            <w:noWrap/>
            <w:vAlign w:val="bottom"/>
            <w:hideMark/>
          </w:tcPr>
          <w:p w14:paraId="7B100EC5" w14:textId="77777777" w:rsidR="000369F7" w:rsidRDefault="000369F7">
            <w:pPr>
              <w:spacing w:line="256" w:lineRule="auto"/>
              <w:rPr>
                <w:rFonts w:asciiTheme="minorHAnsi" w:eastAsiaTheme="minorHAnsi" w:hAnsiTheme="minorHAnsi" w:cstheme="minorBidi"/>
                <w:sz w:val="20"/>
                <w:szCs w:val="20"/>
              </w:rPr>
            </w:pPr>
          </w:p>
        </w:tc>
        <w:tc>
          <w:tcPr>
            <w:tcW w:w="222" w:type="dxa"/>
            <w:noWrap/>
            <w:vAlign w:val="bottom"/>
            <w:hideMark/>
          </w:tcPr>
          <w:p w14:paraId="32138F85" w14:textId="77777777" w:rsidR="000369F7" w:rsidRDefault="000369F7">
            <w:pPr>
              <w:spacing w:line="256" w:lineRule="auto"/>
              <w:rPr>
                <w:rFonts w:asciiTheme="minorHAnsi" w:eastAsiaTheme="minorHAnsi" w:hAnsiTheme="minorHAnsi" w:cstheme="minorBidi"/>
                <w:sz w:val="20"/>
                <w:szCs w:val="20"/>
              </w:rPr>
            </w:pPr>
          </w:p>
        </w:tc>
        <w:tc>
          <w:tcPr>
            <w:tcW w:w="222" w:type="dxa"/>
            <w:noWrap/>
            <w:vAlign w:val="bottom"/>
            <w:hideMark/>
          </w:tcPr>
          <w:p w14:paraId="3375AB6C" w14:textId="77777777" w:rsidR="000369F7" w:rsidRDefault="000369F7">
            <w:pPr>
              <w:spacing w:line="256" w:lineRule="auto"/>
              <w:rPr>
                <w:rFonts w:asciiTheme="minorHAnsi" w:eastAsiaTheme="minorHAnsi" w:hAnsiTheme="minorHAnsi" w:cstheme="minorBidi"/>
                <w:sz w:val="20"/>
                <w:szCs w:val="20"/>
              </w:rPr>
            </w:pPr>
          </w:p>
        </w:tc>
        <w:tc>
          <w:tcPr>
            <w:tcW w:w="4060" w:type="dxa"/>
            <w:gridSpan w:val="5"/>
            <w:noWrap/>
            <w:vAlign w:val="bottom"/>
            <w:hideMark/>
          </w:tcPr>
          <w:p w14:paraId="443E1A5D" w14:textId="77777777" w:rsidR="000369F7" w:rsidRDefault="000369F7">
            <w:pPr>
              <w:spacing w:line="256" w:lineRule="auto"/>
              <w:rPr>
                <w:rFonts w:asciiTheme="minorHAnsi" w:eastAsiaTheme="minorHAnsi" w:hAnsiTheme="minorHAnsi" w:cstheme="minorBidi"/>
                <w:sz w:val="20"/>
                <w:szCs w:val="20"/>
              </w:rPr>
            </w:pPr>
          </w:p>
        </w:tc>
      </w:tr>
      <w:tr w:rsidR="000369F7" w14:paraId="3EAC4B14" w14:textId="77777777" w:rsidTr="00886B56">
        <w:trPr>
          <w:gridAfter w:val="1"/>
          <w:wAfter w:w="2002" w:type="dxa"/>
          <w:trHeight w:val="574"/>
        </w:trPr>
        <w:tc>
          <w:tcPr>
            <w:tcW w:w="2437" w:type="dxa"/>
            <w:noWrap/>
            <w:vAlign w:val="bottom"/>
            <w:hideMark/>
          </w:tcPr>
          <w:p w14:paraId="3F0F58CD" w14:textId="289DCB80" w:rsidR="000369F7" w:rsidRDefault="00DF41FB">
            <w:pPr>
              <w:spacing w:line="360" w:lineRule="auto"/>
              <w:jc w:val="both"/>
              <w:rPr>
                <w:color w:val="000000"/>
                <w:lang w:eastAsia="en-US"/>
              </w:rPr>
            </w:pPr>
            <w:r>
              <w:rPr>
                <w:color w:val="000000"/>
                <w:lang w:eastAsia="en-US"/>
              </w:rPr>
              <w:t xml:space="preserve"> </w:t>
            </w:r>
            <w:r w:rsidR="000369F7">
              <w:rPr>
                <w:color w:val="000000"/>
                <w:lang w:eastAsia="en-US"/>
              </w:rPr>
              <w:t xml:space="preserve">AMMSA </w:t>
            </w:r>
          </w:p>
        </w:tc>
        <w:tc>
          <w:tcPr>
            <w:tcW w:w="236" w:type="dxa"/>
            <w:noWrap/>
            <w:vAlign w:val="bottom"/>
            <w:hideMark/>
          </w:tcPr>
          <w:p w14:paraId="4ACE86DD" w14:textId="77777777" w:rsidR="000369F7" w:rsidRDefault="000369F7">
            <w:pPr>
              <w:rPr>
                <w:color w:val="000000"/>
                <w:lang w:eastAsia="en-US"/>
              </w:rPr>
            </w:pPr>
          </w:p>
        </w:tc>
        <w:tc>
          <w:tcPr>
            <w:tcW w:w="1348" w:type="dxa"/>
            <w:noWrap/>
            <w:vAlign w:val="bottom"/>
            <w:hideMark/>
          </w:tcPr>
          <w:p w14:paraId="7018B6AE" w14:textId="77777777" w:rsidR="000369F7" w:rsidRDefault="000369F7">
            <w:pPr>
              <w:spacing w:line="360" w:lineRule="auto"/>
              <w:jc w:val="both"/>
              <w:rPr>
                <w:color w:val="000000"/>
                <w:lang w:eastAsia="en-US"/>
              </w:rPr>
            </w:pPr>
            <w:r>
              <w:rPr>
                <w:color w:val="000000"/>
                <w:lang w:eastAsia="en-US"/>
              </w:rPr>
              <w:t>2.70(.78)</w:t>
            </w:r>
          </w:p>
        </w:tc>
        <w:tc>
          <w:tcPr>
            <w:tcW w:w="222" w:type="dxa"/>
            <w:noWrap/>
            <w:vAlign w:val="bottom"/>
            <w:hideMark/>
          </w:tcPr>
          <w:p w14:paraId="7F252EB6" w14:textId="77777777" w:rsidR="000369F7" w:rsidRDefault="000369F7">
            <w:pPr>
              <w:rPr>
                <w:color w:val="000000"/>
                <w:lang w:eastAsia="en-US"/>
              </w:rPr>
            </w:pPr>
          </w:p>
        </w:tc>
        <w:tc>
          <w:tcPr>
            <w:tcW w:w="1220" w:type="dxa"/>
            <w:noWrap/>
            <w:vAlign w:val="bottom"/>
            <w:hideMark/>
          </w:tcPr>
          <w:p w14:paraId="507E05E9" w14:textId="77777777" w:rsidR="000369F7" w:rsidRDefault="000369F7">
            <w:pPr>
              <w:spacing w:line="360" w:lineRule="auto"/>
              <w:jc w:val="both"/>
              <w:rPr>
                <w:color w:val="000000"/>
                <w:lang w:eastAsia="en-US"/>
              </w:rPr>
            </w:pPr>
            <w:r>
              <w:rPr>
                <w:color w:val="000000"/>
                <w:lang w:eastAsia="en-US"/>
              </w:rPr>
              <w:t>1-5.30</w:t>
            </w:r>
            <w:r>
              <w:rPr>
                <w:color w:val="000000"/>
                <w:vertAlign w:val="superscript"/>
                <w:lang w:eastAsia="en-US"/>
              </w:rPr>
              <w:t>a</w:t>
            </w:r>
          </w:p>
        </w:tc>
        <w:tc>
          <w:tcPr>
            <w:tcW w:w="222" w:type="dxa"/>
            <w:noWrap/>
            <w:vAlign w:val="bottom"/>
            <w:hideMark/>
          </w:tcPr>
          <w:p w14:paraId="0DB596FC" w14:textId="77777777" w:rsidR="000369F7" w:rsidRDefault="000369F7">
            <w:pPr>
              <w:rPr>
                <w:color w:val="000000"/>
                <w:lang w:eastAsia="en-US"/>
              </w:rPr>
            </w:pPr>
          </w:p>
        </w:tc>
        <w:tc>
          <w:tcPr>
            <w:tcW w:w="222" w:type="dxa"/>
            <w:noWrap/>
            <w:vAlign w:val="bottom"/>
            <w:hideMark/>
          </w:tcPr>
          <w:p w14:paraId="0A6E0523" w14:textId="77777777" w:rsidR="000369F7" w:rsidRDefault="000369F7">
            <w:pPr>
              <w:spacing w:line="256" w:lineRule="auto"/>
              <w:rPr>
                <w:rFonts w:asciiTheme="minorHAnsi" w:eastAsiaTheme="minorHAnsi" w:hAnsiTheme="minorHAnsi" w:cstheme="minorBidi"/>
                <w:sz w:val="20"/>
                <w:szCs w:val="20"/>
              </w:rPr>
            </w:pPr>
          </w:p>
        </w:tc>
        <w:tc>
          <w:tcPr>
            <w:tcW w:w="4060" w:type="dxa"/>
            <w:gridSpan w:val="5"/>
            <w:noWrap/>
            <w:vAlign w:val="bottom"/>
            <w:hideMark/>
          </w:tcPr>
          <w:p w14:paraId="39C7BD0C" w14:textId="77777777" w:rsidR="000369F7" w:rsidRDefault="000369F7">
            <w:pPr>
              <w:spacing w:line="256" w:lineRule="auto"/>
              <w:rPr>
                <w:rFonts w:asciiTheme="minorHAnsi" w:eastAsiaTheme="minorHAnsi" w:hAnsiTheme="minorHAnsi" w:cstheme="minorBidi"/>
                <w:sz w:val="20"/>
                <w:szCs w:val="20"/>
              </w:rPr>
            </w:pPr>
          </w:p>
        </w:tc>
      </w:tr>
      <w:tr w:rsidR="000369F7" w14:paraId="0867A33E" w14:textId="77777777" w:rsidTr="00886B56">
        <w:trPr>
          <w:gridAfter w:val="1"/>
          <w:wAfter w:w="2002" w:type="dxa"/>
          <w:trHeight w:val="420"/>
        </w:trPr>
        <w:tc>
          <w:tcPr>
            <w:tcW w:w="2437" w:type="dxa"/>
            <w:noWrap/>
            <w:vAlign w:val="bottom"/>
            <w:hideMark/>
          </w:tcPr>
          <w:p w14:paraId="72C9104F" w14:textId="77777777" w:rsidR="000369F7" w:rsidRDefault="000369F7">
            <w:pPr>
              <w:rPr>
                <w:lang w:eastAsia="en-US"/>
              </w:rPr>
            </w:pPr>
          </w:p>
        </w:tc>
        <w:tc>
          <w:tcPr>
            <w:tcW w:w="236" w:type="dxa"/>
            <w:noWrap/>
            <w:vAlign w:val="bottom"/>
            <w:hideMark/>
          </w:tcPr>
          <w:p w14:paraId="2683A2EF" w14:textId="77777777" w:rsidR="000369F7" w:rsidRDefault="000369F7">
            <w:pPr>
              <w:spacing w:line="256" w:lineRule="auto"/>
              <w:rPr>
                <w:rFonts w:asciiTheme="minorHAnsi" w:eastAsiaTheme="minorHAnsi" w:hAnsiTheme="minorHAnsi" w:cstheme="minorBidi"/>
                <w:sz w:val="20"/>
                <w:szCs w:val="20"/>
              </w:rPr>
            </w:pPr>
          </w:p>
        </w:tc>
        <w:tc>
          <w:tcPr>
            <w:tcW w:w="1348" w:type="dxa"/>
            <w:noWrap/>
            <w:vAlign w:val="bottom"/>
            <w:hideMark/>
          </w:tcPr>
          <w:p w14:paraId="230E6499" w14:textId="77777777" w:rsidR="000369F7" w:rsidRDefault="000369F7">
            <w:pPr>
              <w:spacing w:line="256" w:lineRule="auto"/>
              <w:rPr>
                <w:rFonts w:asciiTheme="minorHAnsi" w:eastAsiaTheme="minorHAnsi" w:hAnsiTheme="minorHAnsi" w:cstheme="minorBidi"/>
                <w:sz w:val="20"/>
                <w:szCs w:val="20"/>
              </w:rPr>
            </w:pPr>
          </w:p>
        </w:tc>
        <w:tc>
          <w:tcPr>
            <w:tcW w:w="222" w:type="dxa"/>
            <w:noWrap/>
            <w:vAlign w:val="bottom"/>
            <w:hideMark/>
          </w:tcPr>
          <w:p w14:paraId="7A35F6C7" w14:textId="77777777" w:rsidR="000369F7" w:rsidRDefault="000369F7">
            <w:pPr>
              <w:spacing w:line="256" w:lineRule="auto"/>
              <w:rPr>
                <w:rFonts w:asciiTheme="minorHAnsi" w:eastAsiaTheme="minorHAnsi" w:hAnsiTheme="minorHAnsi" w:cstheme="minorBidi"/>
                <w:sz w:val="20"/>
                <w:szCs w:val="20"/>
              </w:rPr>
            </w:pPr>
          </w:p>
        </w:tc>
        <w:tc>
          <w:tcPr>
            <w:tcW w:w="1220" w:type="dxa"/>
            <w:noWrap/>
            <w:vAlign w:val="bottom"/>
            <w:hideMark/>
          </w:tcPr>
          <w:p w14:paraId="03492F27" w14:textId="77777777" w:rsidR="000369F7" w:rsidRDefault="000369F7">
            <w:pPr>
              <w:spacing w:line="256" w:lineRule="auto"/>
              <w:rPr>
                <w:rFonts w:asciiTheme="minorHAnsi" w:eastAsiaTheme="minorHAnsi" w:hAnsiTheme="minorHAnsi" w:cstheme="minorBidi"/>
                <w:sz w:val="20"/>
                <w:szCs w:val="20"/>
              </w:rPr>
            </w:pPr>
          </w:p>
        </w:tc>
        <w:tc>
          <w:tcPr>
            <w:tcW w:w="222" w:type="dxa"/>
            <w:noWrap/>
            <w:vAlign w:val="bottom"/>
            <w:hideMark/>
          </w:tcPr>
          <w:p w14:paraId="29A28C37" w14:textId="77777777" w:rsidR="000369F7" w:rsidRDefault="000369F7">
            <w:pPr>
              <w:spacing w:line="256" w:lineRule="auto"/>
              <w:rPr>
                <w:rFonts w:asciiTheme="minorHAnsi" w:eastAsiaTheme="minorHAnsi" w:hAnsiTheme="minorHAnsi" w:cstheme="minorBidi"/>
                <w:sz w:val="20"/>
                <w:szCs w:val="20"/>
              </w:rPr>
            </w:pPr>
          </w:p>
        </w:tc>
        <w:tc>
          <w:tcPr>
            <w:tcW w:w="222" w:type="dxa"/>
            <w:noWrap/>
            <w:vAlign w:val="bottom"/>
            <w:hideMark/>
          </w:tcPr>
          <w:p w14:paraId="5BE9D16E" w14:textId="77777777" w:rsidR="000369F7" w:rsidRDefault="000369F7">
            <w:pPr>
              <w:spacing w:line="256" w:lineRule="auto"/>
              <w:rPr>
                <w:rFonts w:asciiTheme="minorHAnsi" w:eastAsiaTheme="minorHAnsi" w:hAnsiTheme="minorHAnsi" w:cstheme="minorBidi"/>
                <w:sz w:val="20"/>
                <w:szCs w:val="20"/>
              </w:rPr>
            </w:pPr>
          </w:p>
        </w:tc>
        <w:tc>
          <w:tcPr>
            <w:tcW w:w="4060" w:type="dxa"/>
            <w:gridSpan w:val="5"/>
            <w:noWrap/>
            <w:vAlign w:val="bottom"/>
            <w:hideMark/>
          </w:tcPr>
          <w:p w14:paraId="34144353" w14:textId="77777777" w:rsidR="000369F7" w:rsidRDefault="000369F7">
            <w:pPr>
              <w:spacing w:line="256" w:lineRule="auto"/>
              <w:rPr>
                <w:rFonts w:asciiTheme="minorHAnsi" w:eastAsiaTheme="minorHAnsi" w:hAnsiTheme="minorHAnsi" w:cstheme="minorBidi"/>
                <w:sz w:val="20"/>
                <w:szCs w:val="20"/>
              </w:rPr>
            </w:pPr>
          </w:p>
        </w:tc>
      </w:tr>
      <w:tr w:rsidR="000369F7" w14:paraId="52E81425" w14:textId="77777777" w:rsidTr="00886B56">
        <w:trPr>
          <w:gridAfter w:val="1"/>
          <w:wAfter w:w="2002" w:type="dxa"/>
          <w:trHeight w:val="320"/>
        </w:trPr>
        <w:tc>
          <w:tcPr>
            <w:tcW w:w="2437" w:type="dxa"/>
            <w:noWrap/>
            <w:vAlign w:val="bottom"/>
            <w:hideMark/>
          </w:tcPr>
          <w:p w14:paraId="0AEE3E12" w14:textId="77777777" w:rsidR="000369F7" w:rsidRDefault="000369F7">
            <w:pPr>
              <w:spacing w:line="360" w:lineRule="auto"/>
              <w:jc w:val="both"/>
              <w:rPr>
                <w:color w:val="000000"/>
                <w:lang w:eastAsia="en-US"/>
              </w:rPr>
            </w:pPr>
            <w:r>
              <w:rPr>
                <w:color w:val="000000"/>
                <w:lang w:eastAsia="en-US"/>
              </w:rPr>
              <w:t xml:space="preserve">Predictors </w:t>
            </w:r>
          </w:p>
        </w:tc>
        <w:tc>
          <w:tcPr>
            <w:tcW w:w="236" w:type="dxa"/>
            <w:noWrap/>
            <w:vAlign w:val="bottom"/>
            <w:hideMark/>
          </w:tcPr>
          <w:p w14:paraId="70CFE305" w14:textId="77777777" w:rsidR="000369F7" w:rsidRDefault="000369F7">
            <w:pPr>
              <w:rPr>
                <w:color w:val="000000"/>
                <w:lang w:eastAsia="en-US"/>
              </w:rPr>
            </w:pPr>
          </w:p>
        </w:tc>
        <w:tc>
          <w:tcPr>
            <w:tcW w:w="1348" w:type="dxa"/>
            <w:noWrap/>
            <w:vAlign w:val="bottom"/>
            <w:hideMark/>
          </w:tcPr>
          <w:p w14:paraId="724536A4" w14:textId="77777777" w:rsidR="000369F7" w:rsidRDefault="000369F7">
            <w:pPr>
              <w:spacing w:line="256" w:lineRule="auto"/>
              <w:rPr>
                <w:rFonts w:asciiTheme="minorHAnsi" w:eastAsiaTheme="minorHAnsi" w:hAnsiTheme="minorHAnsi" w:cstheme="minorBidi"/>
                <w:sz w:val="20"/>
                <w:szCs w:val="20"/>
              </w:rPr>
            </w:pPr>
          </w:p>
        </w:tc>
        <w:tc>
          <w:tcPr>
            <w:tcW w:w="222" w:type="dxa"/>
            <w:noWrap/>
            <w:vAlign w:val="bottom"/>
            <w:hideMark/>
          </w:tcPr>
          <w:p w14:paraId="644E2D48" w14:textId="77777777" w:rsidR="000369F7" w:rsidRDefault="000369F7">
            <w:pPr>
              <w:spacing w:line="256" w:lineRule="auto"/>
              <w:rPr>
                <w:rFonts w:asciiTheme="minorHAnsi" w:eastAsiaTheme="minorHAnsi" w:hAnsiTheme="minorHAnsi" w:cstheme="minorBidi"/>
                <w:sz w:val="20"/>
                <w:szCs w:val="20"/>
              </w:rPr>
            </w:pPr>
          </w:p>
        </w:tc>
        <w:tc>
          <w:tcPr>
            <w:tcW w:w="1220" w:type="dxa"/>
            <w:noWrap/>
            <w:vAlign w:val="bottom"/>
            <w:hideMark/>
          </w:tcPr>
          <w:p w14:paraId="262C1F2A" w14:textId="77777777" w:rsidR="000369F7" w:rsidRDefault="000369F7">
            <w:pPr>
              <w:spacing w:line="256" w:lineRule="auto"/>
              <w:rPr>
                <w:rFonts w:asciiTheme="minorHAnsi" w:eastAsiaTheme="minorHAnsi" w:hAnsiTheme="minorHAnsi" w:cstheme="minorBidi"/>
                <w:sz w:val="20"/>
                <w:szCs w:val="20"/>
              </w:rPr>
            </w:pPr>
          </w:p>
        </w:tc>
        <w:tc>
          <w:tcPr>
            <w:tcW w:w="222" w:type="dxa"/>
            <w:noWrap/>
            <w:vAlign w:val="bottom"/>
            <w:hideMark/>
          </w:tcPr>
          <w:p w14:paraId="05B45957" w14:textId="77777777" w:rsidR="000369F7" w:rsidRDefault="000369F7">
            <w:pPr>
              <w:spacing w:line="256" w:lineRule="auto"/>
              <w:rPr>
                <w:rFonts w:asciiTheme="minorHAnsi" w:eastAsiaTheme="minorHAnsi" w:hAnsiTheme="minorHAnsi" w:cstheme="minorBidi"/>
                <w:sz w:val="20"/>
                <w:szCs w:val="20"/>
              </w:rPr>
            </w:pPr>
          </w:p>
        </w:tc>
        <w:tc>
          <w:tcPr>
            <w:tcW w:w="222" w:type="dxa"/>
            <w:noWrap/>
            <w:vAlign w:val="bottom"/>
            <w:hideMark/>
          </w:tcPr>
          <w:p w14:paraId="72D4123A" w14:textId="77777777" w:rsidR="000369F7" w:rsidRDefault="000369F7">
            <w:pPr>
              <w:spacing w:line="256" w:lineRule="auto"/>
              <w:rPr>
                <w:rFonts w:asciiTheme="minorHAnsi" w:eastAsiaTheme="minorHAnsi" w:hAnsiTheme="minorHAnsi" w:cstheme="minorBidi"/>
                <w:sz w:val="20"/>
                <w:szCs w:val="20"/>
              </w:rPr>
            </w:pPr>
          </w:p>
        </w:tc>
        <w:tc>
          <w:tcPr>
            <w:tcW w:w="4060" w:type="dxa"/>
            <w:gridSpan w:val="5"/>
            <w:noWrap/>
            <w:vAlign w:val="bottom"/>
            <w:hideMark/>
          </w:tcPr>
          <w:p w14:paraId="4CCC410B" w14:textId="77777777" w:rsidR="000369F7" w:rsidRDefault="000369F7">
            <w:pPr>
              <w:spacing w:line="256" w:lineRule="auto"/>
              <w:rPr>
                <w:rFonts w:asciiTheme="minorHAnsi" w:eastAsiaTheme="minorHAnsi" w:hAnsiTheme="minorHAnsi" w:cstheme="minorBidi"/>
                <w:sz w:val="20"/>
                <w:szCs w:val="20"/>
              </w:rPr>
            </w:pPr>
          </w:p>
        </w:tc>
      </w:tr>
      <w:tr w:rsidR="000369F7" w14:paraId="3EACD219" w14:textId="77777777" w:rsidTr="00886B56">
        <w:trPr>
          <w:gridAfter w:val="1"/>
          <w:wAfter w:w="2002" w:type="dxa"/>
          <w:trHeight w:val="360"/>
        </w:trPr>
        <w:tc>
          <w:tcPr>
            <w:tcW w:w="2437" w:type="dxa"/>
            <w:noWrap/>
            <w:vAlign w:val="bottom"/>
            <w:hideMark/>
          </w:tcPr>
          <w:p w14:paraId="2C599E6B" w14:textId="0BE5D66B" w:rsidR="000369F7" w:rsidRDefault="00DF41FB">
            <w:pPr>
              <w:spacing w:line="360" w:lineRule="auto"/>
              <w:jc w:val="both"/>
              <w:rPr>
                <w:color w:val="000000"/>
                <w:lang w:eastAsia="en-US"/>
              </w:rPr>
            </w:pPr>
            <w:r>
              <w:rPr>
                <w:color w:val="000000"/>
                <w:lang w:eastAsia="en-US"/>
              </w:rPr>
              <w:t xml:space="preserve"> </w:t>
            </w:r>
            <w:r w:rsidR="000369F7">
              <w:rPr>
                <w:color w:val="000000"/>
                <w:lang w:eastAsia="en-US"/>
              </w:rPr>
              <w:t>HTWS</w:t>
            </w:r>
          </w:p>
        </w:tc>
        <w:tc>
          <w:tcPr>
            <w:tcW w:w="236" w:type="dxa"/>
            <w:noWrap/>
            <w:vAlign w:val="bottom"/>
            <w:hideMark/>
          </w:tcPr>
          <w:p w14:paraId="051F3396" w14:textId="77777777" w:rsidR="000369F7" w:rsidRDefault="000369F7">
            <w:pPr>
              <w:rPr>
                <w:color w:val="000000"/>
                <w:lang w:eastAsia="en-US"/>
              </w:rPr>
            </w:pPr>
          </w:p>
        </w:tc>
        <w:tc>
          <w:tcPr>
            <w:tcW w:w="1348" w:type="dxa"/>
            <w:noWrap/>
            <w:vAlign w:val="bottom"/>
            <w:hideMark/>
          </w:tcPr>
          <w:p w14:paraId="190AA443" w14:textId="77777777" w:rsidR="000369F7" w:rsidRDefault="000369F7">
            <w:pPr>
              <w:spacing w:line="360" w:lineRule="auto"/>
              <w:jc w:val="both"/>
              <w:rPr>
                <w:color w:val="000000"/>
                <w:lang w:eastAsia="en-US"/>
              </w:rPr>
            </w:pPr>
            <w:r>
              <w:rPr>
                <w:color w:val="000000"/>
                <w:lang w:eastAsia="en-US"/>
              </w:rPr>
              <w:t>2.46(.82)</w:t>
            </w:r>
          </w:p>
        </w:tc>
        <w:tc>
          <w:tcPr>
            <w:tcW w:w="222" w:type="dxa"/>
            <w:noWrap/>
            <w:vAlign w:val="bottom"/>
            <w:hideMark/>
          </w:tcPr>
          <w:p w14:paraId="484C5C9B" w14:textId="77777777" w:rsidR="000369F7" w:rsidRDefault="000369F7">
            <w:pPr>
              <w:rPr>
                <w:color w:val="000000"/>
                <w:lang w:eastAsia="en-US"/>
              </w:rPr>
            </w:pPr>
          </w:p>
        </w:tc>
        <w:tc>
          <w:tcPr>
            <w:tcW w:w="1220" w:type="dxa"/>
            <w:noWrap/>
            <w:vAlign w:val="bottom"/>
            <w:hideMark/>
          </w:tcPr>
          <w:p w14:paraId="34897DFA" w14:textId="77777777" w:rsidR="000369F7" w:rsidRDefault="000369F7">
            <w:pPr>
              <w:spacing w:line="360" w:lineRule="auto"/>
              <w:jc w:val="both"/>
              <w:rPr>
                <w:color w:val="000000"/>
                <w:lang w:eastAsia="en-US"/>
              </w:rPr>
            </w:pPr>
            <w:r>
              <w:rPr>
                <w:color w:val="000000"/>
                <w:lang w:eastAsia="en-US"/>
              </w:rPr>
              <w:t>1-5</w:t>
            </w:r>
            <w:r>
              <w:rPr>
                <w:color w:val="000000"/>
                <w:vertAlign w:val="superscript"/>
                <w:lang w:eastAsia="en-US"/>
              </w:rPr>
              <w:t>a</w:t>
            </w:r>
          </w:p>
        </w:tc>
        <w:tc>
          <w:tcPr>
            <w:tcW w:w="222" w:type="dxa"/>
            <w:noWrap/>
            <w:vAlign w:val="bottom"/>
            <w:hideMark/>
          </w:tcPr>
          <w:p w14:paraId="19B2A73B" w14:textId="77777777" w:rsidR="000369F7" w:rsidRDefault="000369F7">
            <w:pPr>
              <w:rPr>
                <w:color w:val="000000"/>
                <w:lang w:eastAsia="en-US"/>
              </w:rPr>
            </w:pPr>
          </w:p>
        </w:tc>
        <w:tc>
          <w:tcPr>
            <w:tcW w:w="222" w:type="dxa"/>
            <w:noWrap/>
            <w:vAlign w:val="bottom"/>
            <w:hideMark/>
          </w:tcPr>
          <w:p w14:paraId="75C639E1" w14:textId="77777777" w:rsidR="000369F7" w:rsidRDefault="000369F7">
            <w:pPr>
              <w:spacing w:line="256" w:lineRule="auto"/>
              <w:rPr>
                <w:rFonts w:asciiTheme="minorHAnsi" w:eastAsiaTheme="minorHAnsi" w:hAnsiTheme="minorHAnsi" w:cstheme="minorBidi"/>
                <w:sz w:val="20"/>
                <w:szCs w:val="20"/>
              </w:rPr>
            </w:pPr>
          </w:p>
        </w:tc>
        <w:tc>
          <w:tcPr>
            <w:tcW w:w="4060" w:type="dxa"/>
            <w:gridSpan w:val="5"/>
            <w:noWrap/>
            <w:vAlign w:val="bottom"/>
            <w:hideMark/>
          </w:tcPr>
          <w:p w14:paraId="50A75676" w14:textId="77777777" w:rsidR="000369F7" w:rsidRDefault="000369F7">
            <w:pPr>
              <w:spacing w:line="256" w:lineRule="auto"/>
              <w:rPr>
                <w:rFonts w:asciiTheme="minorHAnsi" w:eastAsiaTheme="minorHAnsi" w:hAnsiTheme="minorHAnsi" w:cstheme="minorBidi"/>
                <w:sz w:val="20"/>
                <w:szCs w:val="20"/>
              </w:rPr>
            </w:pPr>
          </w:p>
        </w:tc>
      </w:tr>
      <w:tr w:rsidR="000369F7" w14:paraId="077F3B52" w14:textId="77777777" w:rsidTr="00886B56">
        <w:trPr>
          <w:gridAfter w:val="1"/>
          <w:wAfter w:w="2002" w:type="dxa"/>
          <w:trHeight w:val="340"/>
        </w:trPr>
        <w:tc>
          <w:tcPr>
            <w:tcW w:w="2437" w:type="dxa"/>
            <w:vAlign w:val="center"/>
            <w:hideMark/>
          </w:tcPr>
          <w:p w14:paraId="0704CBC6" w14:textId="69F0CDF9" w:rsidR="000369F7" w:rsidRDefault="00DF41FB">
            <w:pPr>
              <w:spacing w:line="360" w:lineRule="auto"/>
              <w:jc w:val="both"/>
              <w:rPr>
                <w:color w:val="000000"/>
                <w:lang w:eastAsia="en-US"/>
              </w:rPr>
            </w:pPr>
            <w:r>
              <w:rPr>
                <w:color w:val="000000"/>
                <w:lang w:eastAsia="en-US"/>
              </w:rPr>
              <w:t xml:space="preserve"> </w:t>
            </w:r>
            <w:r w:rsidR="000369F7">
              <w:rPr>
                <w:color w:val="000000"/>
                <w:lang w:eastAsia="en-US"/>
              </w:rPr>
              <w:t>ASI Hostile</w:t>
            </w:r>
          </w:p>
        </w:tc>
        <w:tc>
          <w:tcPr>
            <w:tcW w:w="236" w:type="dxa"/>
            <w:vAlign w:val="center"/>
            <w:hideMark/>
          </w:tcPr>
          <w:p w14:paraId="5E0A115E" w14:textId="77777777" w:rsidR="000369F7" w:rsidRDefault="000369F7">
            <w:pPr>
              <w:rPr>
                <w:color w:val="000000"/>
                <w:lang w:eastAsia="en-US"/>
              </w:rPr>
            </w:pPr>
          </w:p>
        </w:tc>
        <w:tc>
          <w:tcPr>
            <w:tcW w:w="1348" w:type="dxa"/>
            <w:noWrap/>
            <w:vAlign w:val="bottom"/>
            <w:hideMark/>
          </w:tcPr>
          <w:p w14:paraId="434923F5" w14:textId="638A90AA" w:rsidR="000369F7" w:rsidRDefault="00321F53">
            <w:pPr>
              <w:spacing w:line="360" w:lineRule="auto"/>
              <w:jc w:val="both"/>
              <w:rPr>
                <w:color w:val="000000"/>
                <w:lang w:eastAsia="en-US"/>
              </w:rPr>
            </w:pPr>
            <w:r>
              <w:rPr>
                <w:color w:val="000000"/>
                <w:lang w:eastAsia="en-US"/>
              </w:rPr>
              <w:t>2.67(.86</w:t>
            </w:r>
            <w:r w:rsidR="000369F7">
              <w:rPr>
                <w:color w:val="000000"/>
                <w:lang w:eastAsia="en-US"/>
              </w:rPr>
              <w:t>)</w:t>
            </w:r>
          </w:p>
        </w:tc>
        <w:tc>
          <w:tcPr>
            <w:tcW w:w="222" w:type="dxa"/>
            <w:noWrap/>
            <w:vAlign w:val="bottom"/>
            <w:hideMark/>
          </w:tcPr>
          <w:p w14:paraId="67F53B8D" w14:textId="77777777" w:rsidR="000369F7" w:rsidRDefault="000369F7">
            <w:pPr>
              <w:rPr>
                <w:color w:val="000000"/>
                <w:lang w:eastAsia="en-US"/>
              </w:rPr>
            </w:pPr>
          </w:p>
        </w:tc>
        <w:tc>
          <w:tcPr>
            <w:tcW w:w="1220" w:type="dxa"/>
            <w:noWrap/>
            <w:vAlign w:val="bottom"/>
            <w:hideMark/>
          </w:tcPr>
          <w:p w14:paraId="45FA905A" w14:textId="77777777" w:rsidR="000369F7" w:rsidRDefault="000369F7">
            <w:pPr>
              <w:spacing w:line="360" w:lineRule="auto"/>
              <w:jc w:val="both"/>
              <w:rPr>
                <w:color w:val="000000"/>
                <w:lang w:eastAsia="en-US"/>
              </w:rPr>
            </w:pPr>
            <w:r>
              <w:rPr>
                <w:color w:val="000000"/>
                <w:lang w:eastAsia="en-US"/>
              </w:rPr>
              <w:t>1-5.45</w:t>
            </w:r>
            <w:r>
              <w:rPr>
                <w:color w:val="000000"/>
                <w:vertAlign w:val="superscript"/>
                <w:lang w:eastAsia="en-US"/>
              </w:rPr>
              <w:t>b</w:t>
            </w:r>
          </w:p>
        </w:tc>
        <w:tc>
          <w:tcPr>
            <w:tcW w:w="222" w:type="dxa"/>
            <w:noWrap/>
            <w:vAlign w:val="bottom"/>
            <w:hideMark/>
          </w:tcPr>
          <w:p w14:paraId="38809766" w14:textId="77777777" w:rsidR="000369F7" w:rsidRDefault="000369F7">
            <w:pPr>
              <w:rPr>
                <w:color w:val="000000"/>
                <w:lang w:eastAsia="en-US"/>
              </w:rPr>
            </w:pPr>
          </w:p>
        </w:tc>
        <w:tc>
          <w:tcPr>
            <w:tcW w:w="222" w:type="dxa"/>
            <w:noWrap/>
            <w:vAlign w:val="bottom"/>
            <w:hideMark/>
          </w:tcPr>
          <w:p w14:paraId="383D0191" w14:textId="77777777" w:rsidR="000369F7" w:rsidRDefault="000369F7">
            <w:pPr>
              <w:spacing w:line="256" w:lineRule="auto"/>
              <w:rPr>
                <w:rFonts w:asciiTheme="minorHAnsi" w:eastAsiaTheme="minorHAnsi" w:hAnsiTheme="minorHAnsi" w:cstheme="minorBidi"/>
                <w:sz w:val="20"/>
                <w:szCs w:val="20"/>
              </w:rPr>
            </w:pPr>
          </w:p>
        </w:tc>
        <w:tc>
          <w:tcPr>
            <w:tcW w:w="4060" w:type="dxa"/>
            <w:gridSpan w:val="5"/>
            <w:noWrap/>
            <w:vAlign w:val="bottom"/>
            <w:hideMark/>
          </w:tcPr>
          <w:p w14:paraId="1771E587" w14:textId="77777777" w:rsidR="000369F7" w:rsidRDefault="000369F7">
            <w:pPr>
              <w:spacing w:line="256" w:lineRule="auto"/>
              <w:rPr>
                <w:rFonts w:asciiTheme="minorHAnsi" w:eastAsiaTheme="minorHAnsi" w:hAnsiTheme="minorHAnsi" w:cstheme="minorBidi"/>
                <w:sz w:val="20"/>
                <w:szCs w:val="20"/>
              </w:rPr>
            </w:pPr>
          </w:p>
        </w:tc>
      </w:tr>
      <w:tr w:rsidR="000369F7" w14:paraId="5D8C6BB6" w14:textId="77777777" w:rsidTr="00886B56">
        <w:trPr>
          <w:gridAfter w:val="1"/>
          <w:wAfter w:w="2002" w:type="dxa"/>
          <w:trHeight w:val="370"/>
        </w:trPr>
        <w:tc>
          <w:tcPr>
            <w:tcW w:w="2437" w:type="dxa"/>
            <w:vAlign w:val="center"/>
            <w:hideMark/>
          </w:tcPr>
          <w:p w14:paraId="37137302" w14:textId="5CB44A32" w:rsidR="000369F7" w:rsidRDefault="00DF41FB">
            <w:pPr>
              <w:spacing w:line="360" w:lineRule="auto"/>
              <w:jc w:val="both"/>
              <w:rPr>
                <w:color w:val="000000"/>
                <w:lang w:eastAsia="en-US"/>
              </w:rPr>
            </w:pPr>
            <w:r>
              <w:rPr>
                <w:color w:val="000000"/>
                <w:lang w:eastAsia="en-US"/>
              </w:rPr>
              <w:t xml:space="preserve"> </w:t>
            </w:r>
            <w:r w:rsidR="000369F7">
              <w:rPr>
                <w:color w:val="000000"/>
                <w:lang w:eastAsia="en-US"/>
              </w:rPr>
              <w:t>ASI Benevolent</w:t>
            </w:r>
          </w:p>
        </w:tc>
        <w:tc>
          <w:tcPr>
            <w:tcW w:w="236" w:type="dxa"/>
            <w:vAlign w:val="center"/>
            <w:hideMark/>
          </w:tcPr>
          <w:p w14:paraId="002FF2BD" w14:textId="77777777" w:rsidR="000369F7" w:rsidRDefault="000369F7">
            <w:pPr>
              <w:rPr>
                <w:color w:val="000000"/>
                <w:lang w:eastAsia="en-US"/>
              </w:rPr>
            </w:pPr>
          </w:p>
        </w:tc>
        <w:tc>
          <w:tcPr>
            <w:tcW w:w="1348" w:type="dxa"/>
            <w:noWrap/>
            <w:vAlign w:val="center"/>
            <w:hideMark/>
          </w:tcPr>
          <w:p w14:paraId="4A7FFC6C" w14:textId="77777777" w:rsidR="000369F7" w:rsidRDefault="000369F7">
            <w:pPr>
              <w:spacing w:line="360" w:lineRule="auto"/>
              <w:jc w:val="both"/>
              <w:rPr>
                <w:color w:val="000000"/>
                <w:lang w:eastAsia="en-US"/>
              </w:rPr>
            </w:pPr>
            <w:r>
              <w:rPr>
                <w:color w:val="000000"/>
                <w:lang w:eastAsia="en-US"/>
              </w:rPr>
              <w:t>2.96(.73)</w:t>
            </w:r>
          </w:p>
        </w:tc>
        <w:tc>
          <w:tcPr>
            <w:tcW w:w="222" w:type="dxa"/>
            <w:noWrap/>
            <w:vAlign w:val="bottom"/>
            <w:hideMark/>
          </w:tcPr>
          <w:p w14:paraId="2B03AB2E" w14:textId="77777777" w:rsidR="000369F7" w:rsidRDefault="000369F7">
            <w:pPr>
              <w:rPr>
                <w:color w:val="000000"/>
                <w:lang w:eastAsia="en-US"/>
              </w:rPr>
            </w:pPr>
          </w:p>
        </w:tc>
        <w:tc>
          <w:tcPr>
            <w:tcW w:w="1220" w:type="dxa"/>
            <w:noWrap/>
            <w:vAlign w:val="center"/>
            <w:hideMark/>
          </w:tcPr>
          <w:p w14:paraId="46CAD3CF" w14:textId="77777777" w:rsidR="000369F7" w:rsidRDefault="000369F7">
            <w:pPr>
              <w:spacing w:line="360" w:lineRule="auto"/>
              <w:jc w:val="both"/>
              <w:rPr>
                <w:color w:val="000000"/>
                <w:lang w:eastAsia="en-US"/>
              </w:rPr>
            </w:pPr>
            <w:r>
              <w:rPr>
                <w:color w:val="000000"/>
                <w:lang w:eastAsia="en-US"/>
              </w:rPr>
              <w:t>1.09-4.91</w:t>
            </w:r>
            <w:r>
              <w:rPr>
                <w:color w:val="000000"/>
                <w:vertAlign w:val="superscript"/>
                <w:lang w:eastAsia="en-US"/>
              </w:rPr>
              <w:t>b</w:t>
            </w:r>
          </w:p>
        </w:tc>
        <w:tc>
          <w:tcPr>
            <w:tcW w:w="222" w:type="dxa"/>
            <w:noWrap/>
            <w:vAlign w:val="center"/>
            <w:hideMark/>
          </w:tcPr>
          <w:p w14:paraId="6E2C8CB4" w14:textId="77777777" w:rsidR="000369F7" w:rsidRDefault="000369F7">
            <w:pPr>
              <w:rPr>
                <w:color w:val="000000"/>
                <w:lang w:eastAsia="en-US"/>
              </w:rPr>
            </w:pPr>
          </w:p>
        </w:tc>
        <w:tc>
          <w:tcPr>
            <w:tcW w:w="222" w:type="dxa"/>
            <w:noWrap/>
            <w:vAlign w:val="center"/>
            <w:hideMark/>
          </w:tcPr>
          <w:p w14:paraId="3E1ED3CC" w14:textId="77777777" w:rsidR="000369F7" w:rsidRDefault="000369F7">
            <w:pPr>
              <w:spacing w:line="256" w:lineRule="auto"/>
              <w:rPr>
                <w:rFonts w:asciiTheme="minorHAnsi" w:eastAsiaTheme="minorHAnsi" w:hAnsiTheme="minorHAnsi" w:cstheme="minorBidi"/>
                <w:sz w:val="20"/>
                <w:szCs w:val="20"/>
              </w:rPr>
            </w:pPr>
          </w:p>
        </w:tc>
        <w:tc>
          <w:tcPr>
            <w:tcW w:w="4060" w:type="dxa"/>
            <w:gridSpan w:val="5"/>
            <w:noWrap/>
            <w:vAlign w:val="bottom"/>
            <w:hideMark/>
          </w:tcPr>
          <w:p w14:paraId="3FAFFD12" w14:textId="77777777" w:rsidR="000369F7" w:rsidRDefault="000369F7">
            <w:pPr>
              <w:spacing w:line="256" w:lineRule="auto"/>
              <w:rPr>
                <w:rFonts w:asciiTheme="minorHAnsi" w:eastAsiaTheme="minorHAnsi" w:hAnsiTheme="minorHAnsi" w:cstheme="minorBidi"/>
                <w:sz w:val="20"/>
                <w:szCs w:val="20"/>
              </w:rPr>
            </w:pPr>
          </w:p>
        </w:tc>
      </w:tr>
      <w:tr w:rsidR="000369F7" w14:paraId="5C8E33B6" w14:textId="77777777" w:rsidTr="00886B56">
        <w:trPr>
          <w:gridAfter w:val="1"/>
          <w:wAfter w:w="2002" w:type="dxa"/>
          <w:trHeight w:val="392"/>
        </w:trPr>
        <w:tc>
          <w:tcPr>
            <w:tcW w:w="2437" w:type="dxa"/>
            <w:vAlign w:val="center"/>
            <w:hideMark/>
          </w:tcPr>
          <w:p w14:paraId="6F0D0C97" w14:textId="113DE3B4" w:rsidR="000369F7" w:rsidRDefault="00DF41FB">
            <w:pPr>
              <w:spacing w:line="360" w:lineRule="auto"/>
              <w:jc w:val="both"/>
              <w:rPr>
                <w:color w:val="000000"/>
                <w:lang w:eastAsia="en-US"/>
              </w:rPr>
            </w:pPr>
            <w:r>
              <w:rPr>
                <w:color w:val="000000"/>
                <w:lang w:eastAsia="en-US"/>
              </w:rPr>
              <w:t xml:space="preserve"> </w:t>
            </w:r>
            <w:r w:rsidR="000369F7">
              <w:rPr>
                <w:color w:val="000000"/>
                <w:lang w:eastAsia="en-US"/>
              </w:rPr>
              <w:t>EPSM</w:t>
            </w:r>
          </w:p>
        </w:tc>
        <w:tc>
          <w:tcPr>
            <w:tcW w:w="236" w:type="dxa"/>
            <w:vAlign w:val="center"/>
            <w:hideMark/>
          </w:tcPr>
          <w:p w14:paraId="62A8F723" w14:textId="77777777" w:rsidR="000369F7" w:rsidRDefault="000369F7">
            <w:pPr>
              <w:rPr>
                <w:color w:val="000000"/>
                <w:lang w:eastAsia="en-US"/>
              </w:rPr>
            </w:pPr>
          </w:p>
        </w:tc>
        <w:tc>
          <w:tcPr>
            <w:tcW w:w="1348" w:type="dxa"/>
            <w:noWrap/>
            <w:vAlign w:val="center"/>
            <w:hideMark/>
          </w:tcPr>
          <w:p w14:paraId="071DE457" w14:textId="41523E3C" w:rsidR="000369F7" w:rsidRDefault="00321F53">
            <w:pPr>
              <w:spacing w:line="360" w:lineRule="auto"/>
              <w:jc w:val="both"/>
              <w:rPr>
                <w:color w:val="000000"/>
                <w:lang w:eastAsia="en-US"/>
              </w:rPr>
            </w:pPr>
            <w:r>
              <w:rPr>
                <w:color w:val="000000"/>
                <w:lang w:eastAsia="en-US"/>
              </w:rPr>
              <w:t>1.33(</w:t>
            </w:r>
            <w:r w:rsidR="000369F7">
              <w:rPr>
                <w:color w:val="000000"/>
                <w:lang w:eastAsia="en-US"/>
              </w:rPr>
              <w:t>.</w:t>
            </w:r>
            <w:r>
              <w:rPr>
                <w:color w:val="000000"/>
                <w:lang w:eastAsia="en-US"/>
              </w:rPr>
              <w:t>46</w:t>
            </w:r>
            <w:r w:rsidR="000369F7">
              <w:rPr>
                <w:color w:val="000000"/>
                <w:lang w:eastAsia="en-US"/>
              </w:rPr>
              <w:t>)</w:t>
            </w:r>
          </w:p>
        </w:tc>
        <w:tc>
          <w:tcPr>
            <w:tcW w:w="222" w:type="dxa"/>
            <w:noWrap/>
            <w:vAlign w:val="bottom"/>
            <w:hideMark/>
          </w:tcPr>
          <w:p w14:paraId="20CDA34A" w14:textId="77777777" w:rsidR="000369F7" w:rsidRDefault="000369F7">
            <w:pPr>
              <w:rPr>
                <w:color w:val="000000"/>
                <w:lang w:eastAsia="en-US"/>
              </w:rPr>
            </w:pPr>
          </w:p>
        </w:tc>
        <w:tc>
          <w:tcPr>
            <w:tcW w:w="1220" w:type="dxa"/>
            <w:noWrap/>
            <w:vAlign w:val="center"/>
            <w:hideMark/>
          </w:tcPr>
          <w:p w14:paraId="0BFE24E1" w14:textId="77777777" w:rsidR="000369F7" w:rsidRDefault="000369F7">
            <w:pPr>
              <w:spacing w:line="360" w:lineRule="auto"/>
              <w:jc w:val="both"/>
              <w:rPr>
                <w:color w:val="000000"/>
                <w:lang w:eastAsia="en-US"/>
              </w:rPr>
            </w:pPr>
            <w:r>
              <w:rPr>
                <w:color w:val="000000"/>
                <w:lang w:eastAsia="en-US"/>
              </w:rPr>
              <w:t>1-3.36</w:t>
            </w:r>
            <w:r>
              <w:rPr>
                <w:color w:val="000000"/>
                <w:vertAlign w:val="superscript"/>
                <w:lang w:eastAsia="en-US"/>
              </w:rPr>
              <w:t>a</w:t>
            </w:r>
          </w:p>
        </w:tc>
        <w:tc>
          <w:tcPr>
            <w:tcW w:w="222" w:type="dxa"/>
            <w:noWrap/>
            <w:vAlign w:val="center"/>
            <w:hideMark/>
          </w:tcPr>
          <w:p w14:paraId="2FD97ACB" w14:textId="77777777" w:rsidR="000369F7" w:rsidRDefault="000369F7">
            <w:pPr>
              <w:rPr>
                <w:color w:val="000000"/>
                <w:lang w:eastAsia="en-US"/>
              </w:rPr>
            </w:pPr>
          </w:p>
        </w:tc>
        <w:tc>
          <w:tcPr>
            <w:tcW w:w="222" w:type="dxa"/>
            <w:noWrap/>
            <w:vAlign w:val="center"/>
            <w:hideMark/>
          </w:tcPr>
          <w:p w14:paraId="45489A48" w14:textId="77777777" w:rsidR="000369F7" w:rsidRDefault="000369F7">
            <w:pPr>
              <w:spacing w:line="256" w:lineRule="auto"/>
              <w:rPr>
                <w:rFonts w:asciiTheme="minorHAnsi" w:eastAsiaTheme="minorHAnsi" w:hAnsiTheme="minorHAnsi" w:cstheme="minorBidi"/>
                <w:sz w:val="20"/>
                <w:szCs w:val="20"/>
              </w:rPr>
            </w:pPr>
          </w:p>
        </w:tc>
        <w:tc>
          <w:tcPr>
            <w:tcW w:w="4060" w:type="dxa"/>
            <w:gridSpan w:val="5"/>
            <w:noWrap/>
            <w:vAlign w:val="bottom"/>
            <w:hideMark/>
          </w:tcPr>
          <w:p w14:paraId="0D53A283" w14:textId="77777777" w:rsidR="000369F7" w:rsidRDefault="000369F7">
            <w:pPr>
              <w:spacing w:line="256" w:lineRule="auto"/>
              <w:rPr>
                <w:rFonts w:asciiTheme="minorHAnsi" w:eastAsiaTheme="minorHAnsi" w:hAnsiTheme="minorHAnsi" w:cstheme="minorBidi"/>
                <w:sz w:val="20"/>
                <w:szCs w:val="20"/>
              </w:rPr>
            </w:pPr>
          </w:p>
        </w:tc>
      </w:tr>
      <w:tr w:rsidR="000369F7" w14:paraId="54A4E9E2" w14:textId="77777777" w:rsidTr="00886B56">
        <w:trPr>
          <w:gridAfter w:val="1"/>
          <w:wAfter w:w="2002" w:type="dxa"/>
          <w:trHeight w:val="392"/>
        </w:trPr>
        <w:tc>
          <w:tcPr>
            <w:tcW w:w="2437" w:type="dxa"/>
            <w:noWrap/>
            <w:vAlign w:val="bottom"/>
            <w:hideMark/>
          </w:tcPr>
          <w:p w14:paraId="5662A8D4" w14:textId="77777777" w:rsidR="000369F7" w:rsidRDefault="000369F7">
            <w:pPr>
              <w:rPr>
                <w:lang w:eastAsia="en-US"/>
              </w:rPr>
            </w:pPr>
          </w:p>
        </w:tc>
        <w:tc>
          <w:tcPr>
            <w:tcW w:w="236" w:type="dxa"/>
            <w:noWrap/>
            <w:vAlign w:val="bottom"/>
            <w:hideMark/>
          </w:tcPr>
          <w:p w14:paraId="21F3B372" w14:textId="77777777" w:rsidR="000369F7" w:rsidRDefault="000369F7">
            <w:pPr>
              <w:spacing w:line="256" w:lineRule="auto"/>
              <w:rPr>
                <w:rFonts w:asciiTheme="minorHAnsi" w:eastAsiaTheme="minorHAnsi" w:hAnsiTheme="minorHAnsi" w:cstheme="minorBidi"/>
                <w:sz w:val="20"/>
                <w:szCs w:val="20"/>
              </w:rPr>
            </w:pPr>
          </w:p>
        </w:tc>
        <w:tc>
          <w:tcPr>
            <w:tcW w:w="1348" w:type="dxa"/>
            <w:noWrap/>
            <w:vAlign w:val="bottom"/>
            <w:hideMark/>
          </w:tcPr>
          <w:p w14:paraId="1D37DB82" w14:textId="77777777" w:rsidR="000369F7" w:rsidRDefault="000369F7">
            <w:pPr>
              <w:spacing w:line="256" w:lineRule="auto"/>
              <w:rPr>
                <w:rFonts w:asciiTheme="minorHAnsi" w:eastAsiaTheme="minorHAnsi" w:hAnsiTheme="minorHAnsi" w:cstheme="minorBidi"/>
                <w:sz w:val="20"/>
                <w:szCs w:val="20"/>
              </w:rPr>
            </w:pPr>
          </w:p>
        </w:tc>
        <w:tc>
          <w:tcPr>
            <w:tcW w:w="222" w:type="dxa"/>
            <w:noWrap/>
            <w:vAlign w:val="bottom"/>
            <w:hideMark/>
          </w:tcPr>
          <w:p w14:paraId="02ECBB75" w14:textId="77777777" w:rsidR="000369F7" w:rsidRDefault="000369F7">
            <w:pPr>
              <w:spacing w:line="256" w:lineRule="auto"/>
              <w:rPr>
                <w:rFonts w:asciiTheme="minorHAnsi" w:eastAsiaTheme="minorHAnsi" w:hAnsiTheme="minorHAnsi" w:cstheme="minorBidi"/>
                <w:sz w:val="20"/>
                <w:szCs w:val="20"/>
              </w:rPr>
            </w:pPr>
          </w:p>
        </w:tc>
        <w:tc>
          <w:tcPr>
            <w:tcW w:w="1220" w:type="dxa"/>
            <w:noWrap/>
            <w:vAlign w:val="bottom"/>
            <w:hideMark/>
          </w:tcPr>
          <w:p w14:paraId="4EE037F1" w14:textId="77777777" w:rsidR="000369F7" w:rsidRDefault="000369F7">
            <w:pPr>
              <w:spacing w:line="256" w:lineRule="auto"/>
              <w:rPr>
                <w:rFonts w:asciiTheme="minorHAnsi" w:eastAsiaTheme="minorHAnsi" w:hAnsiTheme="minorHAnsi" w:cstheme="minorBidi"/>
                <w:sz w:val="20"/>
                <w:szCs w:val="20"/>
              </w:rPr>
            </w:pPr>
          </w:p>
        </w:tc>
        <w:tc>
          <w:tcPr>
            <w:tcW w:w="222" w:type="dxa"/>
            <w:noWrap/>
            <w:vAlign w:val="bottom"/>
            <w:hideMark/>
          </w:tcPr>
          <w:p w14:paraId="0ACEFA7D" w14:textId="77777777" w:rsidR="000369F7" w:rsidRDefault="000369F7">
            <w:pPr>
              <w:spacing w:line="256" w:lineRule="auto"/>
              <w:rPr>
                <w:rFonts w:asciiTheme="minorHAnsi" w:eastAsiaTheme="minorHAnsi" w:hAnsiTheme="minorHAnsi" w:cstheme="minorBidi"/>
                <w:sz w:val="20"/>
                <w:szCs w:val="20"/>
              </w:rPr>
            </w:pPr>
          </w:p>
        </w:tc>
        <w:tc>
          <w:tcPr>
            <w:tcW w:w="222" w:type="dxa"/>
            <w:noWrap/>
            <w:vAlign w:val="bottom"/>
            <w:hideMark/>
          </w:tcPr>
          <w:p w14:paraId="416C4109" w14:textId="77777777" w:rsidR="000369F7" w:rsidRDefault="000369F7">
            <w:pPr>
              <w:spacing w:line="256" w:lineRule="auto"/>
              <w:rPr>
                <w:rFonts w:asciiTheme="minorHAnsi" w:eastAsiaTheme="minorHAnsi" w:hAnsiTheme="minorHAnsi" w:cstheme="minorBidi"/>
                <w:sz w:val="20"/>
                <w:szCs w:val="20"/>
              </w:rPr>
            </w:pPr>
          </w:p>
        </w:tc>
        <w:tc>
          <w:tcPr>
            <w:tcW w:w="4060" w:type="dxa"/>
            <w:gridSpan w:val="5"/>
            <w:noWrap/>
            <w:vAlign w:val="bottom"/>
            <w:hideMark/>
          </w:tcPr>
          <w:p w14:paraId="7107D5E0" w14:textId="77777777" w:rsidR="000369F7" w:rsidRDefault="000369F7">
            <w:pPr>
              <w:spacing w:line="256" w:lineRule="auto"/>
              <w:rPr>
                <w:rFonts w:asciiTheme="minorHAnsi" w:eastAsiaTheme="minorHAnsi" w:hAnsiTheme="minorHAnsi" w:cstheme="minorBidi"/>
                <w:sz w:val="20"/>
                <w:szCs w:val="20"/>
              </w:rPr>
            </w:pPr>
          </w:p>
        </w:tc>
      </w:tr>
      <w:tr w:rsidR="000369F7" w14:paraId="6337287F" w14:textId="77777777" w:rsidTr="00886B56">
        <w:trPr>
          <w:gridAfter w:val="1"/>
          <w:wAfter w:w="2002" w:type="dxa"/>
          <w:trHeight w:val="588"/>
        </w:trPr>
        <w:tc>
          <w:tcPr>
            <w:tcW w:w="2437" w:type="dxa"/>
            <w:vAlign w:val="center"/>
            <w:hideMark/>
          </w:tcPr>
          <w:p w14:paraId="55AD7883" w14:textId="77777777" w:rsidR="000369F7" w:rsidRDefault="000369F7">
            <w:pPr>
              <w:spacing w:line="360" w:lineRule="auto"/>
              <w:jc w:val="both"/>
              <w:rPr>
                <w:color w:val="000000"/>
                <w:lang w:eastAsia="en-US"/>
              </w:rPr>
            </w:pPr>
            <w:r>
              <w:rPr>
                <w:color w:val="000000"/>
                <w:lang w:eastAsia="en-US"/>
              </w:rPr>
              <w:t>Covariates</w:t>
            </w:r>
          </w:p>
        </w:tc>
        <w:tc>
          <w:tcPr>
            <w:tcW w:w="236" w:type="dxa"/>
            <w:vAlign w:val="center"/>
            <w:hideMark/>
          </w:tcPr>
          <w:p w14:paraId="7AF52BA1" w14:textId="77777777" w:rsidR="000369F7" w:rsidRDefault="000369F7">
            <w:pPr>
              <w:rPr>
                <w:color w:val="000000"/>
                <w:lang w:eastAsia="en-US"/>
              </w:rPr>
            </w:pPr>
          </w:p>
        </w:tc>
        <w:tc>
          <w:tcPr>
            <w:tcW w:w="1348" w:type="dxa"/>
            <w:noWrap/>
            <w:vAlign w:val="bottom"/>
            <w:hideMark/>
          </w:tcPr>
          <w:p w14:paraId="2A97AADD" w14:textId="77777777" w:rsidR="000369F7" w:rsidRDefault="000369F7">
            <w:pPr>
              <w:spacing w:line="256" w:lineRule="auto"/>
              <w:rPr>
                <w:rFonts w:asciiTheme="minorHAnsi" w:eastAsiaTheme="minorHAnsi" w:hAnsiTheme="minorHAnsi" w:cstheme="minorBidi"/>
                <w:sz w:val="20"/>
                <w:szCs w:val="20"/>
              </w:rPr>
            </w:pPr>
          </w:p>
        </w:tc>
        <w:tc>
          <w:tcPr>
            <w:tcW w:w="222" w:type="dxa"/>
            <w:noWrap/>
            <w:vAlign w:val="bottom"/>
            <w:hideMark/>
          </w:tcPr>
          <w:p w14:paraId="17829F01" w14:textId="77777777" w:rsidR="000369F7" w:rsidRDefault="000369F7">
            <w:pPr>
              <w:spacing w:line="256" w:lineRule="auto"/>
              <w:rPr>
                <w:rFonts w:asciiTheme="minorHAnsi" w:eastAsiaTheme="minorHAnsi" w:hAnsiTheme="minorHAnsi" w:cstheme="minorBidi"/>
                <w:sz w:val="20"/>
                <w:szCs w:val="20"/>
              </w:rPr>
            </w:pPr>
          </w:p>
        </w:tc>
        <w:tc>
          <w:tcPr>
            <w:tcW w:w="1220" w:type="dxa"/>
            <w:noWrap/>
            <w:vAlign w:val="bottom"/>
            <w:hideMark/>
          </w:tcPr>
          <w:p w14:paraId="091A9E1E" w14:textId="77777777" w:rsidR="000369F7" w:rsidRDefault="000369F7">
            <w:pPr>
              <w:spacing w:line="256" w:lineRule="auto"/>
              <w:rPr>
                <w:rFonts w:asciiTheme="minorHAnsi" w:eastAsiaTheme="minorHAnsi" w:hAnsiTheme="minorHAnsi" w:cstheme="minorBidi"/>
                <w:sz w:val="20"/>
                <w:szCs w:val="20"/>
              </w:rPr>
            </w:pPr>
          </w:p>
        </w:tc>
        <w:tc>
          <w:tcPr>
            <w:tcW w:w="222" w:type="dxa"/>
            <w:noWrap/>
            <w:vAlign w:val="bottom"/>
            <w:hideMark/>
          </w:tcPr>
          <w:p w14:paraId="5D309394" w14:textId="77777777" w:rsidR="000369F7" w:rsidRDefault="000369F7">
            <w:pPr>
              <w:spacing w:line="256" w:lineRule="auto"/>
              <w:rPr>
                <w:rFonts w:asciiTheme="minorHAnsi" w:eastAsiaTheme="minorHAnsi" w:hAnsiTheme="minorHAnsi" w:cstheme="minorBidi"/>
                <w:sz w:val="20"/>
                <w:szCs w:val="20"/>
              </w:rPr>
            </w:pPr>
          </w:p>
        </w:tc>
        <w:tc>
          <w:tcPr>
            <w:tcW w:w="222" w:type="dxa"/>
            <w:noWrap/>
            <w:vAlign w:val="bottom"/>
            <w:hideMark/>
          </w:tcPr>
          <w:p w14:paraId="2B9A74D3" w14:textId="77777777" w:rsidR="000369F7" w:rsidRDefault="000369F7">
            <w:pPr>
              <w:spacing w:line="256" w:lineRule="auto"/>
              <w:rPr>
                <w:rFonts w:asciiTheme="minorHAnsi" w:eastAsiaTheme="minorHAnsi" w:hAnsiTheme="minorHAnsi" w:cstheme="minorBidi"/>
                <w:sz w:val="20"/>
                <w:szCs w:val="20"/>
              </w:rPr>
            </w:pPr>
          </w:p>
        </w:tc>
        <w:tc>
          <w:tcPr>
            <w:tcW w:w="4060" w:type="dxa"/>
            <w:gridSpan w:val="5"/>
            <w:noWrap/>
            <w:vAlign w:val="bottom"/>
            <w:hideMark/>
          </w:tcPr>
          <w:p w14:paraId="5F80973F" w14:textId="77777777" w:rsidR="000369F7" w:rsidRDefault="000369F7">
            <w:pPr>
              <w:spacing w:line="256" w:lineRule="auto"/>
              <w:rPr>
                <w:rFonts w:asciiTheme="minorHAnsi" w:eastAsiaTheme="minorHAnsi" w:hAnsiTheme="minorHAnsi" w:cstheme="minorBidi"/>
                <w:sz w:val="20"/>
                <w:szCs w:val="20"/>
              </w:rPr>
            </w:pPr>
          </w:p>
        </w:tc>
      </w:tr>
      <w:tr w:rsidR="000369F7" w14:paraId="61B4BE16" w14:textId="77777777" w:rsidTr="00886B56">
        <w:trPr>
          <w:gridAfter w:val="1"/>
          <w:wAfter w:w="2002" w:type="dxa"/>
          <w:trHeight w:val="320"/>
        </w:trPr>
        <w:tc>
          <w:tcPr>
            <w:tcW w:w="2437" w:type="dxa"/>
            <w:vAlign w:val="center"/>
            <w:hideMark/>
          </w:tcPr>
          <w:p w14:paraId="56197D75" w14:textId="71B87F8D" w:rsidR="000369F7" w:rsidRDefault="00DF41FB">
            <w:pPr>
              <w:spacing w:line="360" w:lineRule="auto"/>
              <w:jc w:val="both"/>
              <w:rPr>
                <w:color w:val="000000"/>
                <w:lang w:eastAsia="en-US"/>
              </w:rPr>
            </w:pPr>
            <w:r>
              <w:rPr>
                <w:color w:val="000000"/>
                <w:lang w:eastAsia="en-US"/>
              </w:rPr>
              <w:t xml:space="preserve"> </w:t>
            </w:r>
            <w:r w:rsidR="000369F7">
              <w:rPr>
                <w:color w:val="000000"/>
                <w:lang w:eastAsia="en-US"/>
              </w:rPr>
              <w:t>Age</w:t>
            </w:r>
          </w:p>
        </w:tc>
        <w:tc>
          <w:tcPr>
            <w:tcW w:w="236" w:type="dxa"/>
            <w:vAlign w:val="center"/>
          </w:tcPr>
          <w:p w14:paraId="2AEECBDE" w14:textId="77777777" w:rsidR="000369F7" w:rsidRDefault="000369F7">
            <w:pPr>
              <w:spacing w:line="360" w:lineRule="auto"/>
              <w:jc w:val="both"/>
              <w:rPr>
                <w:color w:val="000000"/>
                <w:lang w:eastAsia="en-US"/>
              </w:rPr>
            </w:pPr>
          </w:p>
        </w:tc>
        <w:tc>
          <w:tcPr>
            <w:tcW w:w="1348" w:type="dxa"/>
            <w:noWrap/>
            <w:vAlign w:val="bottom"/>
            <w:hideMark/>
          </w:tcPr>
          <w:p w14:paraId="260FDFBD" w14:textId="77777777" w:rsidR="000369F7" w:rsidRDefault="000369F7">
            <w:pPr>
              <w:spacing w:line="360" w:lineRule="auto"/>
              <w:jc w:val="both"/>
              <w:rPr>
                <w:color w:val="000000"/>
                <w:lang w:eastAsia="en-US"/>
              </w:rPr>
            </w:pPr>
            <w:r>
              <w:rPr>
                <w:lang w:eastAsia="en-US"/>
              </w:rPr>
              <w:t>37.79(9.42)</w:t>
            </w:r>
          </w:p>
        </w:tc>
        <w:tc>
          <w:tcPr>
            <w:tcW w:w="222" w:type="dxa"/>
            <w:noWrap/>
            <w:vAlign w:val="bottom"/>
          </w:tcPr>
          <w:p w14:paraId="4A071234" w14:textId="77777777" w:rsidR="000369F7" w:rsidRDefault="000369F7">
            <w:pPr>
              <w:spacing w:line="360" w:lineRule="auto"/>
              <w:jc w:val="both"/>
              <w:rPr>
                <w:color w:val="000000"/>
                <w:lang w:eastAsia="en-US"/>
              </w:rPr>
            </w:pPr>
          </w:p>
        </w:tc>
        <w:tc>
          <w:tcPr>
            <w:tcW w:w="1220" w:type="dxa"/>
            <w:noWrap/>
            <w:vAlign w:val="bottom"/>
            <w:hideMark/>
          </w:tcPr>
          <w:p w14:paraId="0C5225BE" w14:textId="77777777" w:rsidR="000369F7" w:rsidRDefault="000369F7">
            <w:pPr>
              <w:spacing w:line="360" w:lineRule="auto"/>
              <w:jc w:val="both"/>
              <w:rPr>
                <w:color w:val="000000"/>
                <w:lang w:eastAsia="en-US"/>
              </w:rPr>
            </w:pPr>
            <w:r>
              <w:rPr>
                <w:color w:val="000000"/>
                <w:lang w:eastAsia="en-US"/>
              </w:rPr>
              <w:t>19-63</w:t>
            </w:r>
          </w:p>
        </w:tc>
        <w:tc>
          <w:tcPr>
            <w:tcW w:w="222" w:type="dxa"/>
            <w:noWrap/>
            <w:vAlign w:val="bottom"/>
          </w:tcPr>
          <w:p w14:paraId="467E9D20" w14:textId="77777777" w:rsidR="000369F7" w:rsidRDefault="000369F7">
            <w:pPr>
              <w:spacing w:line="360" w:lineRule="auto"/>
              <w:jc w:val="both"/>
              <w:rPr>
                <w:color w:val="000000"/>
                <w:lang w:eastAsia="en-US"/>
              </w:rPr>
            </w:pPr>
          </w:p>
        </w:tc>
        <w:tc>
          <w:tcPr>
            <w:tcW w:w="222" w:type="dxa"/>
            <w:noWrap/>
            <w:vAlign w:val="bottom"/>
          </w:tcPr>
          <w:p w14:paraId="025EA9D3" w14:textId="77777777" w:rsidR="000369F7" w:rsidRDefault="000369F7">
            <w:pPr>
              <w:spacing w:line="360" w:lineRule="auto"/>
              <w:jc w:val="both"/>
              <w:rPr>
                <w:color w:val="000000"/>
                <w:lang w:eastAsia="en-US"/>
              </w:rPr>
            </w:pPr>
          </w:p>
        </w:tc>
        <w:tc>
          <w:tcPr>
            <w:tcW w:w="4060" w:type="dxa"/>
            <w:gridSpan w:val="5"/>
            <w:noWrap/>
            <w:vAlign w:val="bottom"/>
          </w:tcPr>
          <w:p w14:paraId="04A5A4ED" w14:textId="77777777" w:rsidR="000369F7" w:rsidRDefault="000369F7">
            <w:pPr>
              <w:jc w:val="both"/>
              <w:rPr>
                <w:lang w:eastAsia="en-US"/>
              </w:rPr>
            </w:pPr>
          </w:p>
        </w:tc>
      </w:tr>
      <w:tr w:rsidR="000369F7" w14:paraId="5B875087" w14:textId="77777777" w:rsidTr="00886B56">
        <w:trPr>
          <w:gridAfter w:val="1"/>
          <w:wAfter w:w="2002" w:type="dxa"/>
          <w:trHeight w:val="320"/>
        </w:trPr>
        <w:tc>
          <w:tcPr>
            <w:tcW w:w="2437" w:type="dxa"/>
            <w:vAlign w:val="center"/>
            <w:hideMark/>
          </w:tcPr>
          <w:p w14:paraId="6DED4658" w14:textId="48CE3259" w:rsidR="000369F7" w:rsidRDefault="00DF41FB">
            <w:pPr>
              <w:spacing w:line="360" w:lineRule="auto"/>
              <w:jc w:val="both"/>
              <w:rPr>
                <w:color w:val="000000"/>
                <w:lang w:eastAsia="en-US"/>
              </w:rPr>
            </w:pPr>
            <w:r>
              <w:rPr>
                <w:color w:val="000000"/>
                <w:lang w:eastAsia="en-US"/>
              </w:rPr>
              <w:t xml:space="preserve"> </w:t>
            </w:r>
            <w:r w:rsidR="000369F7">
              <w:rPr>
                <w:color w:val="000000"/>
                <w:lang w:eastAsia="en-US"/>
              </w:rPr>
              <w:t>Years of Service</w:t>
            </w:r>
          </w:p>
        </w:tc>
        <w:tc>
          <w:tcPr>
            <w:tcW w:w="236" w:type="dxa"/>
            <w:vAlign w:val="center"/>
            <w:hideMark/>
          </w:tcPr>
          <w:p w14:paraId="42B09242" w14:textId="77777777" w:rsidR="000369F7" w:rsidRDefault="000369F7">
            <w:pPr>
              <w:rPr>
                <w:color w:val="000000"/>
                <w:lang w:eastAsia="en-US"/>
              </w:rPr>
            </w:pPr>
          </w:p>
        </w:tc>
        <w:tc>
          <w:tcPr>
            <w:tcW w:w="1348" w:type="dxa"/>
            <w:noWrap/>
            <w:vAlign w:val="bottom"/>
            <w:hideMark/>
          </w:tcPr>
          <w:p w14:paraId="0AE7C439" w14:textId="77777777" w:rsidR="000369F7" w:rsidRDefault="000369F7">
            <w:pPr>
              <w:spacing w:line="360" w:lineRule="auto"/>
              <w:jc w:val="both"/>
              <w:rPr>
                <w:color w:val="000000"/>
                <w:lang w:eastAsia="en-US"/>
              </w:rPr>
            </w:pPr>
            <w:r>
              <w:rPr>
                <w:color w:val="000000"/>
                <w:lang w:eastAsia="en-US"/>
              </w:rPr>
              <w:t>11.44(8.27)</w:t>
            </w:r>
          </w:p>
        </w:tc>
        <w:tc>
          <w:tcPr>
            <w:tcW w:w="222" w:type="dxa"/>
            <w:noWrap/>
            <w:vAlign w:val="bottom"/>
            <w:hideMark/>
          </w:tcPr>
          <w:p w14:paraId="785F74CD" w14:textId="77777777" w:rsidR="000369F7" w:rsidRDefault="000369F7">
            <w:pPr>
              <w:rPr>
                <w:color w:val="000000"/>
                <w:lang w:eastAsia="en-US"/>
              </w:rPr>
            </w:pPr>
          </w:p>
        </w:tc>
        <w:tc>
          <w:tcPr>
            <w:tcW w:w="1220" w:type="dxa"/>
            <w:noWrap/>
            <w:vAlign w:val="bottom"/>
            <w:hideMark/>
          </w:tcPr>
          <w:p w14:paraId="0110E239" w14:textId="77777777" w:rsidR="000369F7" w:rsidRDefault="000369F7">
            <w:pPr>
              <w:spacing w:line="360" w:lineRule="auto"/>
              <w:jc w:val="both"/>
              <w:rPr>
                <w:color w:val="000000"/>
                <w:lang w:eastAsia="en-US"/>
              </w:rPr>
            </w:pPr>
            <w:r>
              <w:rPr>
                <w:color w:val="000000"/>
                <w:lang w:eastAsia="en-US"/>
              </w:rPr>
              <w:t>0-39</w:t>
            </w:r>
          </w:p>
        </w:tc>
        <w:tc>
          <w:tcPr>
            <w:tcW w:w="222" w:type="dxa"/>
            <w:noWrap/>
            <w:vAlign w:val="bottom"/>
            <w:hideMark/>
          </w:tcPr>
          <w:p w14:paraId="7FC36105" w14:textId="77777777" w:rsidR="000369F7" w:rsidRDefault="000369F7">
            <w:pPr>
              <w:rPr>
                <w:color w:val="000000"/>
                <w:lang w:eastAsia="en-US"/>
              </w:rPr>
            </w:pPr>
          </w:p>
        </w:tc>
        <w:tc>
          <w:tcPr>
            <w:tcW w:w="222" w:type="dxa"/>
            <w:noWrap/>
            <w:vAlign w:val="bottom"/>
            <w:hideMark/>
          </w:tcPr>
          <w:p w14:paraId="056E057E" w14:textId="77777777" w:rsidR="000369F7" w:rsidRDefault="000369F7">
            <w:pPr>
              <w:spacing w:line="256" w:lineRule="auto"/>
              <w:rPr>
                <w:rFonts w:asciiTheme="minorHAnsi" w:eastAsiaTheme="minorHAnsi" w:hAnsiTheme="minorHAnsi" w:cstheme="minorBidi"/>
                <w:sz w:val="20"/>
                <w:szCs w:val="20"/>
              </w:rPr>
            </w:pPr>
          </w:p>
        </w:tc>
        <w:tc>
          <w:tcPr>
            <w:tcW w:w="4060" w:type="dxa"/>
            <w:gridSpan w:val="5"/>
            <w:noWrap/>
            <w:vAlign w:val="bottom"/>
            <w:hideMark/>
          </w:tcPr>
          <w:p w14:paraId="68D55769" w14:textId="77777777" w:rsidR="000369F7" w:rsidRDefault="000369F7">
            <w:pPr>
              <w:spacing w:line="256" w:lineRule="auto"/>
              <w:rPr>
                <w:rFonts w:asciiTheme="minorHAnsi" w:eastAsiaTheme="minorHAnsi" w:hAnsiTheme="minorHAnsi" w:cstheme="minorBidi"/>
                <w:sz w:val="20"/>
                <w:szCs w:val="20"/>
              </w:rPr>
            </w:pPr>
          </w:p>
        </w:tc>
      </w:tr>
      <w:tr w:rsidR="000369F7" w14:paraId="53F432B4" w14:textId="77777777" w:rsidTr="00886B56">
        <w:trPr>
          <w:trHeight w:val="320"/>
        </w:trPr>
        <w:tc>
          <w:tcPr>
            <w:tcW w:w="11969" w:type="dxa"/>
            <w:gridSpan w:val="13"/>
            <w:tcBorders>
              <w:top w:val="single" w:sz="4" w:space="0" w:color="auto"/>
              <w:left w:val="nil"/>
              <w:bottom w:val="nil"/>
              <w:right w:val="nil"/>
            </w:tcBorders>
            <w:noWrap/>
            <w:vAlign w:val="bottom"/>
            <w:hideMark/>
          </w:tcPr>
          <w:p w14:paraId="71292EC5" w14:textId="77777777" w:rsidR="000369F7" w:rsidRDefault="000369F7" w:rsidP="001F6921">
            <w:pPr>
              <w:pStyle w:val="Figurecaption"/>
              <w:rPr>
                <w:i/>
                <w:iCs/>
                <w:lang w:eastAsia="en-US"/>
              </w:rPr>
            </w:pPr>
            <w:r>
              <w:rPr>
                <w:i/>
                <w:iCs/>
                <w:lang w:eastAsia="en-US"/>
              </w:rPr>
              <w:t xml:space="preserve">Note: </w:t>
            </w:r>
            <w:r>
              <w:rPr>
                <w:lang w:eastAsia="en-US"/>
              </w:rPr>
              <w:t xml:space="preserve">Gender and Past Experience are binary and thus excluded from these descriptive statistics. </w:t>
            </w:r>
          </w:p>
        </w:tc>
      </w:tr>
      <w:tr w:rsidR="000369F7" w14:paraId="62709E85" w14:textId="77777777" w:rsidTr="00886B56">
        <w:trPr>
          <w:trHeight w:val="300"/>
        </w:trPr>
        <w:tc>
          <w:tcPr>
            <w:tcW w:w="11969" w:type="dxa"/>
            <w:gridSpan w:val="13"/>
            <w:noWrap/>
            <w:vAlign w:val="center"/>
            <w:hideMark/>
          </w:tcPr>
          <w:p w14:paraId="5A49F609" w14:textId="071657B9" w:rsidR="000369F7" w:rsidRDefault="00DF41FB" w:rsidP="001F6921">
            <w:pPr>
              <w:pStyle w:val="Figurecaption"/>
              <w:rPr>
                <w:lang w:eastAsia="en-US"/>
              </w:rPr>
            </w:pPr>
            <w:r>
              <w:rPr>
                <w:lang w:eastAsia="en-US"/>
              </w:rPr>
              <w:t xml:space="preserve"> </w:t>
            </w:r>
            <w:r w:rsidR="000369F7">
              <w:rPr>
                <w:lang w:eastAsia="en-US"/>
              </w:rPr>
              <w:t xml:space="preserve"> An "a" superscript denotes a possible range of 1-7, a "b" superscript denotes a possible range of 1-6</w:t>
            </w:r>
          </w:p>
        </w:tc>
      </w:tr>
    </w:tbl>
    <w:p w14:paraId="7031C155" w14:textId="77777777" w:rsidR="00165C37" w:rsidRDefault="00183187">
      <w:pPr>
        <w:spacing w:line="240" w:lineRule="auto"/>
      </w:pPr>
      <w:r>
        <w:br w:type="page"/>
      </w:r>
    </w:p>
    <w:tbl>
      <w:tblPr>
        <w:tblW w:w="12214" w:type="dxa"/>
        <w:tblLook w:val="04A0" w:firstRow="1" w:lastRow="0" w:firstColumn="1" w:lastColumn="0" w:noHBand="0" w:noVBand="1"/>
      </w:tblPr>
      <w:tblGrid>
        <w:gridCol w:w="10785"/>
        <w:gridCol w:w="1100"/>
        <w:gridCol w:w="1170"/>
        <w:gridCol w:w="1241"/>
      </w:tblGrid>
      <w:tr w:rsidR="00D3297E" w:rsidRPr="001660F9" w14:paraId="4C05F676" w14:textId="77777777" w:rsidTr="001F6921">
        <w:trPr>
          <w:trHeight w:val="77"/>
        </w:trPr>
        <w:tc>
          <w:tcPr>
            <w:tcW w:w="9214" w:type="dxa"/>
            <w:tcBorders>
              <w:top w:val="nil"/>
              <w:left w:val="nil"/>
              <w:bottom w:val="nil"/>
              <w:right w:val="nil"/>
            </w:tcBorders>
            <w:shd w:val="clear" w:color="auto" w:fill="auto"/>
            <w:noWrap/>
            <w:vAlign w:val="bottom"/>
            <w:hideMark/>
          </w:tcPr>
          <w:p w14:paraId="641A1160" w14:textId="45593DE0" w:rsidR="00D3297E" w:rsidRPr="001660F9" w:rsidRDefault="00D3297E" w:rsidP="00586123">
            <w:pPr>
              <w:spacing w:line="240" w:lineRule="auto"/>
              <w:rPr>
                <w:color w:val="000000"/>
              </w:rPr>
            </w:pPr>
          </w:p>
        </w:tc>
        <w:tc>
          <w:tcPr>
            <w:tcW w:w="940" w:type="dxa"/>
            <w:tcBorders>
              <w:top w:val="nil"/>
              <w:left w:val="nil"/>
              <w:bottom w:val="nil"/>
              <w:right w:val="nil"/>
            </w:tcBorders>
            <w:shd w:val="clear" w:color="auto" w:fill="auto"/>
            <w:noWrap/>
            <w:vAlign w:val="bottom"/>
            <w:hideMark/>
          </w:tcPr>
          <w:p w14:paraId="57197C4C" w14:textId="77777777" w:rsidR="00D3297E" w:rsidRPr="001660F9" w:rsidRDefault="00D3297E" w:rsidP="00586123">
            <w:pPr>
              <w:spacing w:line="240" w:lineRule="auto"/>
              <w:rPr>
                <w:color w:val="000000"/>
              </w:rPr>
            </w:pPr>
          </w:p>
        </w:tc>
        <w:tc>
          <w:tcPr>
            <w:tcW w:w="1000" w:type="dxa"/>
            <w:tcBorders>
              <w:top w:val="nil"/>
              <w:left w:val="nil"/>
              <w:bottom w:val="nil"/>
              <w:right w:val="nil"/>
            </w:tcBorders>
            <w:shd w:val="clear" w:color="auto" w:fill="auto"/>
            <w:noWrap/>
            <w:vAlign w:val="bottom"/>
            <w:hideMark/>
          </w:tcPr>
          <w:p w14:paraId="07C24315" w14:textId="77777777" w:rsidR="00D3297E" w:rsidRPr="001660F9" w:rsidRDefault="00D3297E" w:rsidP="00586123">
            <w:pPr>
              <w:spacing w:line="240" w:lineRule="auto"/>
              <w:rPr>
                <w:sz w:val="20"/>
                <w:szCs w:val="20"/>
              </w:rPr>
            </w:pPr>
          </w:p>
        </w:tc>
        <w:tc>
          <w:tcPr>
            <w:tcW w:w="1060" w:type="dxa"/>
            <w:tcBorders>
              <w:top w:val="nil"/>
              <w:left w:val="nil"/>
              <w:bottom w:val="nil"/>
              <w:right w:val="nil"/>
            </w:tcBorders>
            <w:shd w:val="clear" w:color="auto" w:fill="auto"/>
            <w:noWrap/>
            <w:vAlign w:val="bottom"/>
            <w:hideMark/>
          </w:tcPr>
          <w:p w14:paraId="42943D71" w14:textId="77777777" w:rsidR="00D3297E" w:rsidRPr="001660F9" w:rsidRDefault="00D3297E" w:rsidP="00586123">
            <w:pPr>
              <w:spacing w:line="240" w:lineRule="auto"/>
              <w:rPr>
                <w:sz w:val="20"/>
                <w:szCs w:val="20"/>
              </w:rPr>
            </w:pPr>
          </w:p>
        </w:tc>
      </w:tr>
      <w:tr w:rsidR="00D3297E" w:rsidRPr="001660F9" w14:paraId="29D64661" w14:textId="77777777" w:rsidTr="00586123">
        <w:trPr>
          <w:trHeight w:val="360"/>
        </w:trPr>
        <w:tc>
          <w:tcPr>
            <w:tcW w:w="9214" w:type="dxa"/>
            <w:tcBorders>
              <w:top w:val="nil"/>
              <w:left w:val="nil"/>
              <w:bottom w:val="single" w:sz="4" w:space="0" w:color="auto"/>
              <w:right w:val="nil"/>
            </w:tcBorders>
            <w:shd w:val="clear" w:color="auto" w:fill="auto"/>
            <w:noWrap/>
            <w:vAlign w:val="bottom"/>
            <w:hideMark/>
          </w:tcPr>
          <w:p w14:paraId="1BCCE19D" w14:textId="6B586A31" w:rsidR="00D3297E" w:rsidRPr="001660F9" w:rsidRDefault="00904EB2" w:rsidP="00392106">
            <w:pPr>
              <w:pStyle w:val="Tabletitle"/>
            </w:pPr>
            <w:r>
              <w:t xml:space="preserve">Table. 2 </w:t>
            </w:r>
            <w:r w:rsidR="00D3297E" w:rsidRPr="001660F9">
              <w:t>Item-by-Item Mean Scores</w:t>
            </w:r>
            <w:r w:rsidR="00D3297E">
              <w:t xml:space="preserve"> for the outcome variable</w:t>
            </w:r>
          </w:p>
        </w:tc>
        <w:tc>
          <w:tcPr>
            <w:tcW w:w="940" w:type="dxa"/>
            <w:tcBorders>
              <w:top w:val="nil"/>
              <w:left w:val="nil"/>
              <w:bottom w:val="single" w:sz="4" w:space="0" w:color="auto"/>
              <w:right w:val="nil"/>
            </w:tcBorders>
            <w:shd w:val="clear" w:color="auto" w:fill="auto"/>
            <w:noWrap/>
            <w:vAlign w:val="bottom"/>
            <w:hideMark/>
          </w:tcPr>
          <w:p w14:paraId="1DF80839" w14:textId="77777777" w:rsidR="00D3297E" w:rsidRPr="001660F9" w:rsidRDefault="00D3297E" w:rsidP="00392106">
            <w:pPr>
              <w:pStyle w:val="Tabletitle"/>
            </w:pPr>
            <w:r w:rsidRPr="001660F9">
              <w:t> </w:t>
            </w:r>
          </w:p>
        </w:tc>
        <w:tc>
          <w:tcPr>
            <w:tcW w:w="1000" w:type="dxa"/>
            <w:tcBorders>
              <w:top w:val="nil"/>
              <w:left w:val="nil"/>
              <w:bottom w:val="single" w:sz="4" w:space="0" w:color="auto"/>
              <w:right w:val="nil"/>
            </w:tcBorders>
            <w:shd w:val="clear" w:color="auto" w:fill="auto"/>
            <w:noWrap/>
            <w:vAlign w:val="bottom"/>
            <w:hideMark/>
          </w:tcPr>
          <w:p w14:paraId="4F60316C" w14:textId="77777777" w:rsidR="00D3297E" w:rsidRPr="001660F9" w:rsidRDefault="00D3297E" w:rsidP="00392106">
            <w:pPr>
              <w:pStyle w:val="Tabletitle"/>
            </w:pPr>
            <w:r w:rsidRPr="001660F9">
              <w:t> </w:t>
            </w:r>
          </w:p>
        </w:tc>
        <w:tc>
          <w:tcPr>
            <w:tcW w:w="1060" w:type="dxa"/>
            <w:tcBorders>
              <w:top w:val="nil"/>
              <w:left w:val="nil"/>
              <w:bottom w:val="single" w:sz="4" w:space="0" w:color="auto"/>
              <w:right w:val="nil"/>
            </w:tcBorders>
            <w:shd w:val="clear" w:color="auto" w:fill="auto"/>
            <w:noWrap/>
            <w:vAlign w:val="bottom"/>
            <w:hideMark/>
          </w:tcPr>
          <w:p w14:paraId="3854D759" w14:textId="77777777" w:rsidR="00D3297E" w:rsidRPr="001660F9" w:rsidRDefault="00D3297E" w:rsidP="00392106">
            <w:pPr>
              <w:pStyle w:val="Tabletitle"/>
            </w:pPr>
            <w:r w:rsidRPr="001660F9">
              <w:t> </w:t>
            </w:r>
          </w:p>
        </w:tc>
      </w:tr>
      <w:tr w:rsidR="00D3297E" w:rsidRPr="001660F9" w14:paraId="224B22BB" w14:textId="77777777" w:rsidTr="00586123">
        <w:trPr>
          <w:trHeight w:val="525"/>
        </w:trPr>
        <w:tc>
          <w:tcPr>
            <w:tcW w:w="9214" w:type="dxa"/>
            <w:tcBorders>
              <w:top w:val="nil"/>
              <w:left w:val="nil"/>
              <w:bottom w:val="single" w:sz="4" w:space="0" w:color="auto"/>
              <w:right w:val="nil"/>
            </w:tcBorders>
            <w:shd w:val="clear" w:color="auto" w:fill="auto"/>
            <w:noWrap/>
            <w:vAlign w:val="bottom"/>
            <w:hideMark/>
          </w:tcPr>
          <w:p w14:paraId="1C56B0F0" w14:textId="77777777" w:rsidR="00D3297E" w:rsidRPr="001660F9" w:rsidRDefault="00D3297E" w:rsidP="00586123">
            <w:pPr>
              <w:spacing w:line="240" w:lineRule="auto"/>
              <w:rPr>
                <w:color w:val="000000"/>
              </w:rPr>
            </w:pPr>
            <w:r w:rsidRPr="001660F9">
              <w:rPr>
                <w:color w:val="000000"/>
              </w:rPr>
              <w:t>Question</w:t>
            </w:r>
          </w:p>
        </w:tc>
        <w:tc>
          <w:tcPr>
            <w:tcW w:w="940" w:type="dxa"/>
            <w:tcBorders>
              <w:top w:val="nil"/>
              <w:left w:val="nil"/>
              <w:bottom w:val="single" w:sz="4" w:space="0" w:color="auto"/>
              <w:right w:val="nil"/>
            </w:tcBorders>
            <w:shd w:val="clear" w:color="auto" w:fill="auto"/>
            <w:noWrap/>
            <w:vAlign w:val="bottom"/>
            <w:hideMark/>
          </w:tcPr>
          <w:p w14:paraId="44CE956B" w14:textId="77777777" w:rsidR="00D3297E" w:rsidRPr="001660F9" w:rsidRDefault="00D3297E" w:rsidP="00586123">
            <w:pPr>
              <w:spacing w:line="240" w:lineRule="auto"/>
              <w:ind w:left="-108" w:firstLine="108"/>
              <w:jc w:val="center"/>
              <w:rPr>
                <w:color w:val="000000"/>
              </w:rPr>
            </w:pPr>
            <w:r w:rsidRPr="001660F9">
              <w:rPr>
                <w:color w:val="000000"/>
              </w:rPr>
              <w:t>Mean</w:t>
            </w:r>
          </w:p>
        </w:tc>
        <w:tc>
          <w:tcPr>
            <w:tcW w:w="1000" w:type="dxa"/>
            <w:tcBorders>
              <w:top w:val="nil"/>
              <w:left w:val="nil"/>
              <w:bottom w:val="single" w:sz="4" w:space="0" w:color="auto"/>
              <w:right w:val="nil"/>
            </w:tcBorders>
            <w:shd w:val="clear" w:color="auto" w:fill="auto"/>
            <w:noWrap/>
            <w:vAlign w:val="bottom"/>
            <w:hideMark/>
          </w:tcPr>
          <w:p w14:paraId="4447067C" w14:textId="77777777" w:rsidR="00D3297E" w:rsidRPr="001660F9" w:rsidRDefault="00D3297E" w:rsidP="00586123">
            <w:pPr>
              <w:spacing w:line="240" w:lineRule="auto"/>
              <w:jc w:val="center"/>
              <w:rPr>
                <w:color w:val="000000"/>
              </w:rPr>
            </w:pPr>
            <w:r w:rsidRPr="001660F9">
              <w:rPr>
                <w:color w:val="000000"/>
              </w:rPr>
              <w:t>Median</w:t>
            </w:r>
          </w:p>
        </w:tc>
        <w:tc>
          <w:tcPr>
            <w:tcW w:w="1060" w:type="dxa"/>
            <w:tcBorders>
              <w:top w:val="nil"/>
              <w:left w:val="nil"/>
              <w:bottom w:val="single" w:sz="4" w:space="0" w:color="auto"/>
              <w:right w:val="nil"/>
            </w:tcBorders>
            <w:shd w:val="clear" w:color="auto" w:fill="auto"/>
            <w:noWrap/>
            <w:vAlign w:val="bottom"/>
            <w:hideMark/>
          </w:tcPr>
          <w:p w14:paraId="73D08A00" w14:textId="77777777" w:rsidR="00D3297E" w:rsidRPr="001660F9" w:rsidRDefault="00D3297E" w:rsidP="00586123">
            <w:pPr>
              <w:spacing w:line="240" w:lineRule="auto"/>
              <w:jc w:val="center"/>
              <w:rPr>
                <w:color w:val="000000"/>
              </w:rPr>
            </w:pPr>
            <w:r w:rsidRPr="001660F9">
              <w:rPr>
                <w:color w:val="000000"/>
              </w:rPr>
              <w:t>Range</w:t>
            </w:r>
          </w:p>
        </w:tc>
      </w:tr>
      <w:tr w:rsidR="00D3297E" w:rsidRPr="001660F9" w14:paraId="456E523A" w14:textId="77777777" w:rsidTr="00586123">
        <w:trPr>
          <w:trHeight w:val="340"/>
        </w:trPr>
        <w:tc>
          <w:tcPr>
            <w:tcW w:w="9214" w:type="dxa"/>
            <w:tcBorders>
              <w:top w:val="nil"/>
              <w:left w:val="nil"/>
              <w:bottom w:val="nil"/>
              <w:right w:val="nil"/>
            </w:tcBorders>
            <w:shd w:val="clear" w:color="auto" w:fill="auto"/>
            <w:noWrap/>
            <w:vAlign w:val="bottom"/>
            <w:hideMark/>
          </w:tcPr>
          <w:p w14:paraId="378015CF" w14:textId="59F9E8FC" w:rsidR="00D3297E" w:rsidRPr="001660F9" w:rsidRDefault="00DF41FB" w:rsidP="00586123">
            <w:pPr>
              <w:spacing w:line="240" w:lineRule="auto"/>
              <w:ind w:left="601" w:hanging="601"/>
              <w:rPr>
                <w:color w:val="000000"/>
              </w:rPr>
            </w:pPr>
            <w:r>
              <w:rPr>
                <w:color w:val="000000"/>
              </w:rPr>
              <w:t xml:space="preserve">  </w:t>
            </w:r>
            <w:r w:rsidR="00D3297E" w:rsidRPr="001660F9">
              <w:rPr>
                <w:color w:val="000000"/>
              </w:rPr>
              <w:t xml:space="preserve"> 1. When it comes to sexual contacts, women expect men to take the lead</w:t>
            </w:r>
          </w:p>
        </w:tc>
        <w:tc>
          <w:tcPr>
            <w:tcW w:w="940" w:type="dxa"/>
            <w:tcBorders>
              <w:top w:val="nil"/>
              <w:left w:val="nil"/>
              <w:bottom w:val="nil"/>
              <w:right w:val="nil"/>
            </w:tcBorders>
            <w:shd w:val="clear" w:color="auto" w:fill="auto"/>
            <w:noWrap/>
            <w:vAlign w:val="bottom"/>
            <w:hideMark/>
          </w:tcPr>
          <w:p w14:paraId="47D170AE" w14:textId="2E9809C7" w:rsidR="00D3297E" w:rsidRPr="001660F9" w:rsidRDefault="00D3297E" w:rsidP="00586123">
            <w:pPr>
              <w:spacing w:line="240" w:lineRule="auto"/>
              <w:jc w:val="center"/>
              <w:rPr>
                <w:color w:val="000000"/>
              </w:rPr>
            </w:pPr>
            <w:r w:rsidRPr="001660F9">
              <w:rPr>
                <w:color w:val="000000"/>
              </w:rPr>
              <w:t>3.2</w:t>
            </w:r>
            <w:r w:rsidR="002314E5">
              <w:rPr>
                <w:color w:val="000000"/>
              </w:rPr>
              <w:t>0</w:t>
            </w:r>
            <w:r w:rsidRPr="001660F9">
              <w:rPr>
                <w:color w:val="000000"/>
                <w:vertAlign w:val="subscript"/>
              </w:rPr>
              <w:t>b</w:t>
            </w:r>
          </w:p>
        </w:tc>
        <w:tc>
          <w:tcPr>
            <w:tcW w:w="1000" w:type="dxa"/>
            <w:tcBorders>
              <w:top w:val="nil"/>
              <w:left w:val="nil"/>
              <w:bottom w:val="nil"/>
              <w:right w:val="nil"/>
            </w:tcBorders>
            <w:shd w:val="clear" w:color="auto" w:fill="auto"/>
            <w:noWrap/>
            <w:vAlign w:val="bottom"/>
            <w:hideMark/>
          </w:tcPr>
          <w:p w14:paraId="48DC8BD1" w14:textId="77777777" w:rsidR="00D3297E" w:rsidRPr="001660F9" w:rsidRDefault="00D3297E" w:rsidP="00586123">
            <w:pPr>
              <w:spacing w:line="240" w:lineRule="auto"/>
              <w:jc w:val="center"/>
              <w:rPr>
                <w:color w:val="000000"/>
              </w:rPr>
            </w:pPr>
            <w:r w:rsidRPr="001660F9">
              <w:rPr>
                <w:color w:val="000000"/>
              </w:rPr>
              <w:t>3</w:t>
            </w:r>
          </w:p>
        </w:tc>
        <w:tc>
          <w:tcPr>
            <w:tcW w:w="1060" w:type="dxa"/>
            <w:tcBorders>
              <w:top w:val="nil"/>
              <w:left w:val="nil"/>
              <w:bottom w:val="nil"/>
              <w:right w:val="nil"/>
            </w:tcBorders>
            <w:shd w:val="clear" w:color="auto" w:fill="auto"/>
            <w:noWrap/>
            <w:vAlign w:val="bottom"/>
            <w:hideMark/>
          </w:tcPr>
          <w:p w14:paraId="4FECAB24" w14:textId="77777777" w:rsidR="00D3297E" w:rsidRPr="001660F9" w:rsidRDefault="00D3297E" w:rsidP="00586123">
            <w:pPr>
              <w:spacing w:line="240" w:lineRule="auto"/>
              <w:jc w:val="center"/>
              <w:rPr>
                <w:color w:val="000000"/>
              </w:rPr>
            </w:pPr>
            <w:r w:rsidRPr="001660F9">
              <w:rPr>
                <w:color w:val="000000"/>
              </w:rPr>
              <w:t>1-7</w:t>
            </w:r>
          </w:p>
        </w:tc>
      </w:tr>
      <w:tr w:rsidR="00D3297E" w:rsidRPr="001660F9" w14:paraId="13EAB629" w14:textId="77777777" w:rsidTr="00586123">
        <w:trPr>
          <w:trHeight w:val="340"/>
        </w:trPr>
        <w:tc>
          <w:tcPr>
            <w:tcW w:w="9214" w:type="dxa"/>
            <w:tcBorders>
              <w:top w:val="nil"/>
              <w:left w:val="nil"/>
              <w:bottom w:val="nil"/>
              <w:right w:val="nil"/>
            </w:tcBorders>
            <w:shd w:val="clear" w:color="auto" w:fill="auto"/>
            <w:noWrap/>
            <w:vAlign w:val="bottom"/>
            <w:hideMark/>
          </w:tcPr>
          <w:p w14:paraId="34556638" w14:textId="25254346" w:rsidR="00D3297E" w:rsidRPr="001660F9" w:rsidRDefault="00DF41FB" w:rsidP="00586123">
            <w:pPr>
              <w:spacing w:line="240" w:lineRule="auto"/>
              <w:ind w:left="743" w:hanging="743"/>
              <w:rPr>
                <w:color w:val="000000"/>
              </w:rPr>
            </w:pPr>
            <w:r>
              <w:rPr>
                <w:color w:val="000000"/>
              </w:rPr>
              <w:t xml:space="preserve">  </w:t>
            </w:r>
            <w:r w:rsidR="00D3297E" w:rsidRPr="001660F9">
              <w:rPr>
                <w:color w:val="000000"/>
              </w:rPr>
              <w:t xml:space="preserve"> 2. Once a man and a woman have started "making out", a</w:t>
            </w:r>
            <w:r w:rsidR="00D3297E">
              <w:rPr>
                <w:color w:val="000000"/>
              </w:rPr>
              <w:t xml:space="preserve"> woman's misgivings against sex </w:t>
            </w:r>
            <w:r w:rsidR="00D3297E" w:rsidRPr="001660F9">
              <w:rPr>
                <w:color w:val="000000"/>
              </w:rPr>
              <w:t>will automatically disappear</w:t>
            </w:r>
          </w:p>
        </w:tc>
        <w:tc>
          <w:tcPr>
            <w:tcW w:w="940" w:type="dxa"/>
            <w:tcBorders>
              <w:top w:val="nil"/>
              <w:left w:val="nil"/>
              <w:bottom w:val="nil"/>
              <w:right w:val="nil"/>
            </w:tcBorders>
            <w:shd w:val="clear" w:color="auto" w:fill="auto"/>
            <w:noWrap/>
            <w:vAlign w:val="bottom"/>
            <w:hideMark/>
          </w:tcPr>
          <w:p w14:paraId="4B3F4271" w14:textId="19BBD4BD" w:rsidR="00D3297E" w:rsidRPr="001660F9" w:rsidRDefault="00D3297E" w:rsidP="00586123">
            <w:pPr>
              <w:spacing w:line="240" w:lineRule="auto"/>
              <w:jc w:val="center"/>
              <w:rPr>
                <w:color w:val="000000"/>
              </w:rPr>
            </w:pPr>
            <w:r w:rsidRPr="001660F9">
              <w:rPr>
                <w:color w:val="000000"/>
              </w:rPr>
              <w:t>1.6</w:t>
            </w:r>
            <w:r w:rsidR="002314E5">
              <w:rPr>
                <w:color w:val="000000"/>
              </w:rPr>
              <w:t>0</w:t>
            </w:r>
            <w:r w:rsidRPr="001660F9">
              <w:rPr>
                <w:color w:val="000000"/>
                <w:vertAlign w:val="subscript"/>
              </w:rPr>
              <w:t>b</w:t>
            </w:r>
          </w:p>
        </w:tc>
        <w:tc>
          <w:tcPr>
            <w:tcW w:w="1000" w:type="dxa"/>
            <w:tcBorders>
              <w:top w:val="nil"/>
              <w:left w:val="nil"/>
              <w:bottom w:val="nil"/>
              <w:right w:val="nil"/>
            </w:tcBorders>
            <w:shd w:val="clear" w:color="auto" w:fill="auto"/>
            <w:noWrap/>
            <w:vAlign w:val="bottom"/>
            <w:hideMark/>
          </w:tcPr>
          <w:p w14:paraId="54E4C98F" w14:textId="77777777" w:rsidR="00D3297E" w:rsidRPr="001660F9" w:rsidRDefault="00D3297E" w:rsidP="00586123">
            <w:pPr>
              <w:spacing w:line="240" w:lineRule="auto"/>
              <w:jc w:val="center"/>
              <w:rPr>
                <w:color w:val="000000"/>
              </w:rPr>
            </w:pPr>
            <w:r w:rsidRPr="001660F9">
              <w:rPr>
                <w:color w:val="000000"/>
              </w:rPr>
              <w:t>1</w:t>
            </w:r>
          </w:p>
        </w:tc>
        <w:tc>
          <w:tcPr>
            <w:tcW w:w="1060" w:type="dxa"/>
            <w:tcBorders>
              <w:top w:val="nil"/>
              <w:left w:val="nil"/>
              <w:bottom w:val="nil"/>
              <w:right w:val="nil"/>
            </w:tcBorders>
            <w:shd w:val="clear" w:color="auto" w:fill="auto"/>
            <w:noWrap/>
            <w:vAlign w:val="bottom"/>
            <w:hideMark/>
          </w:tcPr>
          <w:p w14:paraId="68154AFD" w14:textId="77777777" w:rsidR="00D3297E" w:rsidRPr="001660F9" w:rsidRDefault="00D3297E" w:rsidP="00586123">
            <w:pPr>
              <w:spacing w:line="240" w:lineRule="auto"/>
              <w:jc w:val="center"/>
              <w:rPr>
                <w:color w:val="000000"/>
              </w:rPr>
            </w:pPr>
            <w:r w:rsidRPr="001660F9">
              <w:rPr>
                <w:color w:val="000000"/>
              </w:rPr>
              <w:t>1-6</w:t>
            </w:r>
            <w:r w:rsidRPr="001660F9">
              <w:rPr>
                <w:color w:val="000000"/>
                <w:vertAlign w:val="subscript"/>
              </w:rPr>
              <w:t>c</w:t>
            </w:r>
          </w:p>
        </w:tc>
      </w:tr>
      <w:tr w:rsidR="00D3297E" w:rsidRPr="001660F9" w14:paraId="774E8435" w14:textId="77777777" w:rsidTr="00586123">
        <w:trPr>
          <w:trHeight w:val="340"/>
        </w:trPr>
        <w:tc>
          <w:tcPr>
            <w:tcW w:w="9214" w:type="dxa"/>
            <w:tcBorders>
              <w:top w:val="nil"/>
              <w:left w:val="nil"/>
              <w:bottom w:val="nil"/>
              <w:right w:val="nil"/>
            </w:tcBorders>
            <w:shd w:val="clear" w:color="auto" w:fill="auto"/>
            <w:noWrap/>
            <w:vAlign w:val="bottom"/>
            <w:hideMark/>
          </w:tcPr>
          <w:p w14:paraId="2E5B0C1A" w14:textId="3FD58876" w:rsidR="00D3297E" w:rsidRPr="001660F9" w:rsidRDefault="00DF41FB" w:rsidP="00586123">
            <w:pPr>
              <w:spacing w:line="240" w:lineRule="auto"/>
              <w:ind w:left="743" w:hanging="743"/>
              <w:rPr>
                <w:color w:val="000000"/>
              </w:rPr>
            </w:pPr>
            <w:r>
              <w:rPr>
                <w:color w:val="000000"/>
              </w:rPr>
              <w:t xml:space="preserve">  </w:t>
            </w:r>
            <w:r w:rsidR="00D3297E" w:rsidRPr="001660F9">
              <w:rPr>
                <w:color w:val="000000"/>
              </w:rPr>
              <w:t xml:space="preserve"> 3. A lot of women strongly complain about sexual infringements for no real reason, just to appear emancipated</w:t>
            </w:r>
          </w:p>
        </w:tc>
        <w:tc>
          <w:tcPr>
            <w:tcW w:w="940" w:type="dxa"/>
            <w:tcBorders>
              <w:top w:val="nil"/>
              <w:left w:val="nil"/>
              <w:bottom w:val="nil"/>
              <w:right w:val="nil"/>
            </w:tcBorders>
            <w:shd w:val="clear" w:color="auto" w:fill="auto"/>
            <w:noWrap/>
            <w:vAlign w:val="bottom"/>
            <w:hideMark/>
          </w:tcPr>
          <w:p w14:paraId="75EC06AD" w14:textId="77777777" w:rsidR="00D3297E" w:rsidRPr="001660F9" w:rsidRDefault="00D3297E" w:rsidP="00586123">
            <w:pPr>
              <w:spacing w:line="240" w:lineRule="auto"/>
              <w:jc w:val="center"/>
              <w:rPr>
                <w:color w:val="000000"/>
              </w:rPr>
            </w:pPr>
            <w:r w:rsidRPr="001660F9">
              <w:rPr>
                <w:color w:val="000000"/>
              </w:rPr>
              <w:t>2.31</w:t>
            </w:r>
          </w:p>
        </w:tc>
        <w:tc>
          <w:tcPr>
            <w:tcW w:w="1000" w:type="dxa"/>
            <w:tcBorders>
              <w:top w:val="nil"/>
              <w:left w:val="nil"/>
              <w:bottom w:val="nil"/>
              <w:right w:val="nil"/>
            </w:tcBorders>
            <w:shd w:val="clear" w:color="auto" w:fill="auto"/>
            <w:noWrap/>
            <w:vAlign w:val="bottom"/>
            <w:hideMark/>
          </w:tcPr>
          <w:p w14:paraId="7AC914C1" w14:textId="77777777" w:rsidR="00D3297E" w:rsidRPr="001660F9" w:rsidRDefault="00D3297E" w:rsidP="00586123">
            <w:pPr>
              <w:spacing w:line="240" w:lineRule="auto"/>
              <w:jc w:val="center"/>
              <w:rPr>
                <w:color w:val="000000"/>
              </w:rPr>
            </w:pPr>
            <w:r w:rsidRPr="001660F9">
              <w:rPr>
                <w:color w:val="000000"/>
              </w:rPr>
              <w:t>2</w:t>
            </w:r>
          </w:p>
        </w:tc>
        <w:tc>
          <w:tcPr>
            <w:tcW w:w="1060" w:type="dxa"/>
            <w:tcBorders>
              <w:top w:val="nil"/>
              <w:left w:val="nil"/>
              <w:bottom w:val="nil"/>
              <w:right w:val="nil"/>
            </w:tcBorders>
            <w:shd w:val="clear" w:color="auto" w:fill="auto"/>
            <w:noWrap/>
            <w:vAlign w:val="bottom"/>
            <w:hideMark/>
          </w:tcPr>
          <w:p w14:paraId="0F2E1E56" w14:textId="77777777" w:rsidR="00D3297E" w:rsidRPr="001660F9" w:rsidRDefault="00D3297E" w:rsidP="00586123">
            <w:pPr>
              <w:spacing w:line="240" w:lineRule="auto"/>
              <w:jc w:val="center"/>
              <w:rPr>
                <w:color w:val="000000"/>
              </w:rPr>
            </w:pPr>
            <w:r w:rsidRPr="001660F9">
              <w:rPr>
                <w:color w:val="000000"/>
              </w:rPr>
              <w:t>1-7</w:t>
            </w:r>
          </w:p>
        </w:tc>
      </w:tr>
      <w:tr w:rsidR="00D3297E" w:rsidRPr="001660F9" w14:paraId="40374E66" w14:textId="77777777" w:rsidTr="00586123">
        <w:trPr>
          <w:trHeight w:val="340"/>
        </w:trPr>
        <w:tc>
          <w:tcPr>
            <w:tcW w:w="9214" w:type="dxa"/>
            <w:tcBorders>
              <w:top w:val="nil"/>
              <w:left w:val="nil"/>
              <w:bottom w:val="nil"/>
              <w:right w:val="nil"/>
            </w:tcBorders>
            <w:shd w:val="clear" w:color="auto" w:fill="auto"/>
            <w:noWrap/>
            <w:vAlign w:val="bottom"/>
            <w:hideMark/>
          </w:tcPr>
          <w:p w14:paraId="1A32E396" w14:textId="0C037216" w:rsidR="00D3297E" w:rsidRPr="001660F9" w:rsidRDefault="00DF41FB" w:rsidP="00586123">
            <w:pPr>
              <w:spacing w:line="240" w:lineRule="auto"/>
              <w:ind w:left="743" w:hanging="743"/>
              <w:rPr>
                <w:color w:val="000000"/>
              </w:rPr>
            </w:pPr>
            <w:r>
              <w:rPr>
                <w:color w:val="000000"/>
              </w:rPr>
              <w:t xml:space="preserve">  </w:t>
            </w:r>
            <w:r w:rsidR="00D3297E" w:rsidRPr="001660F9">
              <w:rPr>
                <w:color w:val="000000"/>
              </w:rPr>
              <w:t xml:space="preserve"> 4. To get custody for their children, women often falsely accuse their ex-husband of a tendency towards sexual violence</w:t>
            </w:r>
          </w:p>
        </w:tc>
        <w:tc>
          <w:tcPr>
            <w:tcW w:w="940" w:type="dxa"/>
            <w:tcBorders>
              <w:top w:val="nil"/>
              <w:left w:val="nil"/>
              <w:bottom w:val="nil"/>
              <w:right w:val="nil"/>
            </w:tcBorders>
            <w:shd w:val="clear" w:color="auto" w:fill="auto"/>
            <w:noWrap/>
            <w:vAlign w:val="bottom"/>
            <w:hideMark/>
          </w:tcPr>
          <w:p w14:paraId="2D51AE8F" w14:textId="77777777" w:rsidR="00D3297E" w:rsidRPr="001660F9" w:rsidRDefault="00D3297E" w:rsidP="00586123">
            <w:pPr>
              <w:spacing w:line="240" w:lineRule="auto"/>
              <w:jc w:val="center"/>
              <w:rPr>
                <w:color w:val="000000"/>
              </w:rPr>
            </w:pPr>
            <w:r w:rsidRPr="001660F9">
              <w:rPr>
                <w:color w:val="000000"/>
              </w:rPr>
              <w:t>2.99</w:t>
            </w:r>
          </w:p>
        </w:tc>
        <w:tc>
          <w:tcPr>
            <w:tcW w:w="1000" w:type="dxa"/>
            <w:tcBorders>
              <w:top w:val="nil"/>
              <w:left w:val="nil"/>
              <w:bottom w:val="nil"/>
              <w:right w:val="nil"/>
            </w:tcBorders>
            <w:shd w:val="clear" w:color="auto" w:fill="auto"/>
            <w:noWrap/>
            <w:vAlign w:val="bottom"/>
            <w:hideMark/>
          </w:tcPr>
          <w:p w14:paraId="31A27F37" w14:textId="77777777" w:rsidR="00D3297E" w:rsidRPr="001660F9" w:rsidRDefault="00D3297E" w:rsidP="00586123">
            <w:pPr>
              <w:spacing w:line="240" w:lineRule="auto"/>
              <w:jc w:val="center"/>
              <w:rPr>
                <w:color w:val="000000"/>
              </w:rPr>
            </w:pPr>
            <w:r w:rsidRPr="001660F9">
              <w:rPr>
                <w:color w:val="000000"/>
              </w:rPr>
              <w:t>3</w:t>
            </w:r>
          </w:p>
        </w:tc>
        <w:tc>
          <w:tcPr>
            <w:tcW w:w="1060" w:type="dxa"/>
            <w:tcBorders>
              <w:top w:val="nil"/>
              <w:left w:val="nil"/>
              <w:bottom w:val="nil"/>
              <w:right w:val="nil"/>
            </w:tcBorders>
            <w:shd w:val="clear" w:color="auto" w:fill="auto"/>
            <w:noWrap/>
            <w:vAlign w:val="bottom"/>
            <w:hideMark/>
          </w:tcPr>
          <w:p w14:paraId="41F71D99" w14:textId="77777777" w:rsidR="00D3297E" w:rsidRPr="001660F9" w:rsidRDefault="00D3297E" w:rsidP="00586123">
            <w:pPr>
              <w:spacing w:line="240" w:lineRule="auto"/>
              <w:jc w:val="center"/>
              <w:rPr>
                <w:color w:val="000000"/>
              </w:rPr>
            </w:pPr>
            <w:r w:rsidRPr="001660F9">
              <w:rPr>
                <w:color w:val="000000"/>
              </w:rPr>
              <w:t>1-7</w:t>
            </w:r>
          </w:p>
        </w:tc>
      </w:tr>
      <w:tr w:rsidR="00D3297E" w:rsidRPr="001660F9" w14:paraId="623FAA83" w14:textId="77777777" w:rsidTr="00586123">
        <w:trPr>
          <w:trHeight w:val="340"/>
        </w:trPr>
        <w:tc>
          <w:tcPr>
            <w:tcW w:w="9214" w:type="dxa"/>
            <w:tcBorders>
              <w:top w:val="nil"/>
              <w:left w:val="nil"/>
              <w:bottom w:val="nil"/>
              <w:right w:val="nil"/>
            </w:tcBorders>
            <w:shd w:val="clear" w:color="auto" w:fill="auto"/>
            <w:noWrap/>
            <w:vAlign w:val="bottom"/>
            <w:hideMark/>
          </w:tcPr>
          <w:p w14:paraId="24C77466" w14:textId="309C7CF9" w:rsidR="00D3297E" w:rsidRPr="001660F9" w:rsidRDefault="00DF41FB" w:rsidP="00586123">
            <w:pPr>
              <w:spacing w:line="240" w:lineRule="auto"/>
              <w:ind w:left="743" w:hanging="743"/>
              <w:rPr>
                <w:color w:val="000000"/>
              </w:rPr>
            </w:pPr>
            <w:r>
              <w:rPr>
                <w:color w:val="000000"/>
              </w:rPr>
              <w:t xml:space="preserve">  </w:t>
            </w:r>
            <w:r w:rsidR="00D3297E" w:rsidRPr="001660F9">
              <w:rPr>
                <w:color w:val="000000"/>
              </w:rPr>
              <w:t xml:space="preserve"> 5. Interpreting harmless gestures as "sexual harassment" is a popular weapon in the battle of the sexes</w:t>
            </w:r>
          </w:p>
        </w:tc>
        <w:tc>
          <w:tcPr>
            <w:tcW w:w="940" w:type="dxa"/>
            <w:tcBorders>
              <w:top w:val="nil"/>
              <w:left w:val="nil"/>
              <w:bottom w:val="nil"/>
              <w:right w:val="nil"/>
            </w:tcBorders>
            <w:shd w:val="clear" w:color="auto" w:fill="auto"/>
            <w:noWrap/>
            <w:vAlign w:val="bottom"/>
            <w:hideMark/>
          </w:tcPr>
          <w:p w14:paraId="12C942A0" w14:textId="77777777" w:rsidR="00D3297E" w:rsidRPr="001660F9" w:rsidRDefault="00D3297E" w:rsidP="00586123">
            <w:pPr>
              <w:spacing w:line="240" w:lineRule="auto"/>
              <w:jc w:val="center"/>
              <w:rPr>
                <w:color w:val="000000"/>
              </w:rPr>
            </w:pPr>
            <w:r w:rsidRPr="001660F9">
              <w:rPr>
                <w:color w:val="000000"/>
              </w:rPr>
              <w:t>2.98</w:t>
            </w:r>
          </w:p>
        </w:tc>
        <w:tc>
          <w:tcPr>
            <w:tcW w:w="1000" w:type="dxa"/>
            <w:tcBorders>
              <w:top w:val="nil"/>
              <w:left w:val="nil"/>
              <w:bottom w:val="nil"/>
              <w:right w:val="nil"/>
            </w:tcBorders>
            <w:shd w:val="clear" w:color="auto" w:fill="auto"/>
            <w:noWrap/>
            <w:vAlign w:val="bottom"/>
            <w:hideMark/>
          </w:tcPr>
          <w:p w14:paraId="4E0DB83C" w14:textId="77777777" w:rsidR="00D3297E" w:rsidRPr="001660F9" w:rsidRDefault="00D3297E" w:rsidP="00586123">
            <w:pPr>
              <w:spacing w:line="240" w:lineRule="auto"/>
              <w:jc w:val="center"/>
              <w:rPr>
                <w:color w:val="000000"/>
              </w:rPr>
            </w:pPr>
            <w:r w:rsidRPr="001660F9">
              <w:rPr>
                <w:color w:val="000000"/>
              </w:rPr>
              <w:t>3</w:t>
            </w:r>
          </w:p>
        </w:tc>
        <w:tc>
          <w:tcPr>
            <w:tcW w:w="1060" w:type="dxa"/>
            <w:tcBorders>
              <w:top w:val="nil"/>
              <w:left w:val="nil"/>
              <w:bottom w:val="nil"/>
              <w:right w:val="nil"/>
            </w:tcBorders>
            <w:shd w:val="clear" w:color="auto" w:fill="auto"/>
            <w:noWrap/>
            <w:vAlign w:val="bottom"/>
            <w:hideMark/>
          </w:tcPr>
          <w:p w14:paraId="7F61B3E7" w14:textId="77777777" w:rsidR="00D3297E" w:rsidRPr="001660F9" w:rsidRDefault="00D3297E" w:rsidP="00586123">
            <w:pPr>
              <w:spacing w:line="240" w:lineRule="auto"/>
              <w:jc w:val="center"/>
              <w:rPr>
                <w:color w:val="000000"/>
              </w:rPr>
            </w:pPr>
            <w:r w:rsidRPr="001660F9">
              <w:rPr>
                <w:color w:val="000000"/>
              </w:rPr>
              <w:t>1-7</w:t>
            </w:r>
          </w:p>
        </w:tc>
      </w:tr>
      <w:tr w:rsidR="00D3297E" w:rsidRPr="001660F9" w14:paraId="0D003F57" w14:textId="77777777" w:rsidTr="00586123">
        <w:trPr>
          <w:trHeight w:val="340"/>
        </w:trPr>
        <w:tc>
          <w:tcPr>
            <w:tcW w:w="9214" w:type="dxa"/>
            <w:tcBorders>
              <w:top w:val="nil"/>
              <w:left w:val="nil"/>
              <w:bottom w:val="nil"/>
              <w:right w:val="nil"/>
            </w:tcBorders>
            <w:shd w:val="clear" w:color="auto" w:fill="auto"/>
            <w:noWrap/>
            <w:vAlign w:val="bottom"/>
            <w:hideMark/>
          </w:tcPr>
          <w:p w14:paraId="3F7D5EB3" w14:textId="566CE6FE" w:rsidR="00D3297E" w:rsidRPr="001660F9" w:rsidRDefault="00DF41FB" w:rsidP="00586123">
            <w:pPr>
              <w:spacing w:line="240" w:lineRule="auto"/>
              <w:ind w:left="743" w:hanging="743"/>
              <w:rPr>
                <w:color w:val="000000"/>
              </w:rPr>
            </w:pPr>
            <w:r>
              <w:rPr>
                <w:color w:val="000000"/>
              </w:rPr>
              <w:t xml:space="preserve">  </w:t>
            </w:r>
            <w:r w:rsidR="00D3297E" w:rsidRPr="001660F9">
              <w:rPr>
                <w:color w:val="000000"/>
              </w:rPr>
              <w:t xml:space="preserve"> 6. It is a biological necessity for men to release sexual pressure from time to time</w:t>
            </w:r>
          </w:p>
        </w:tc>
        <w:tc>
          <w:tcPr>
            <w:tcW w:w="940" w:type="dxa"/>
            <w:tcBorders>
              <w:top w:val="nil"/>
              <w:left w:val="nil"/>
              <w:bottom w:val="nil"/>
              <w:right w:val="nil"/>
            </w:tcBorders>
            <w:shd w:val="clear" w:color="auto" w:fill="auto"/>
            <w:noWrap/>
            <w:vAlign w:val="bottom"/>
            <w:hideMark/>
          </w:tcPr>
          <w:p w14:paraId="47A6BD36" w14:textId="77777777" w:rsidR="00D3297E" w:rsidRPr="001660F9" w:rsidRDefault="00D3297E" w:rsidP="00586123">
            <w:pPr>
              <w:spacing w:line="240" w:lineRule="auto"/>
              <w:jc w:val="center"/>
              <w:rPr>
                <w:color w:val="000000"/>
              </w:rPr>
            </w:pPr>
            <w:r w:rsidRPr="001660F9">
              <w:rPr>
                <w:color w:val="000000"/>
              </w:rPr>
              <w:t>3.02</w:t>
            </w:r>
            <w:r w:rsidRPr="001660F9">
              <w:rPr>
                <w:color w:val="000000"/>
                <w:vertAlign w:val="subscript"/>
              </w:rPr>
              <w:t>b</w:t>
            </w:r>
          </w:p>
        </w:tc>
        <w:tc>
          <w:tcPr>
            <w:tcW w:w="1000" w:type="dxa"/>
            <w:tcBorders>
              <w:top w:val="nil"/>
              <w:left w:val="nil"/>
              <w:bottom w:val="nil"/>
              <w:right w:val="nil"/>
            </w:tcBorders>
            <w:shd w:val="clear" w:color="auto" w:fill="auto"/>
            <w:noWrap/>
            <w:vAlign w:val="bottom"/>
            <w:hideMark/>
          </w:tcPr>
          <w:p w14:paraId="62B5A5B2" w14:textId="77777777" w:rsidR="00D3297E" w:rsidRPr="001660F9" w:rsidRDefault="00D3297E" w:rsidP="00586123">
            <w:pPr>
              <w:spacing w:line="240" w:lineRule="auto"/>
              <w:jc w:val="center"/>
              <w:rPr>
                <w:color w:val="000000"/>
              </w:rPr>
            </w:pPr>
            <w:r w:rsidRPr="001660F9">
              <w:rPr>
                <w:color w:val="000000"/>
              </w:rPr>
              <w:t>2</w:t>
            </w:r>
          </w:p>
        </w:tc>
        <w:tc>
          <w:tcPr>
            <w:tcW w:w="1060" w:type="dxa"/>
            <w:tcBorders>
              <w:top w:val="nil"/>
              <w:left w:val="nil"/>
              <w:bottom w:val="nil"/>
              <w:right w:val="nil"/>
            </w:tcBorders>
            <w:shd w:val="clear" w:color="auto" w:fill="auto"/>
            <w:noWrap/>
            <w:vAlign w:val="bottom"/>
            <w:hideMark/>
          </w:tcPr>
          <w:p w14:paraId="6DA278C6" w14:textId="77777777" w:rsidR="00D3297E" w:rsidRPr="001660F9" w:rsidRDefault="00D3297E" w:rsidP="00586123">
            <w:pPr>
              <w:spacing w:line="240" w:lineRule="auto"/>
              <w:jc w:val="center"/>
              <w:rPr>
                <w:color w:val="000000"/>
              </w:rPr>
            </w:pPr>
            <w:r w:rsidRPr="001660F9">
              <w:rPr>
                <w:color w:val="000000"/>
              </w:rPr>
              <w:t>1-7</w:t>
            </w:r>
          </w:p>
        </w:tc>
      </w:tr>
      <w:tr w:rsidR="00D3297E" w:rsidRPr="001660F9" w14:paraId="76D01DD6" w14:textId="77777777" w:rsidTr="00586123">
        <w:trPr>
          <w:trHeight w:val="340"/>
        </w:trPr>
        <w:tc>
          <w:tcPr>
            <w:tcW w:w="9214" w:type="dxa"/>
            <w:tcBorders>
              <w:top w:val="nil"/>
              <w:left w:val="nil"/>
              <w:bottom w:val="nil"/>
              <w:right w:val="nil"/>
            </w:tcBorders>
            <w:shd w:val="clear" w:color="auto" w:fill="auto"/>
            <w:noWrap/>
            <w:vAlign w:val="bottom"/>
            <w:hideMark/>
          </w:tcPr>
          <w:p w14:paraId="5D8AA660" w14:textId="6ED779BB" w:rsidR="00D3297E" w:rsidRPr="001660F9" w:rsidRDefault="00DF41FB" w:rsidP="00586123">
            <w:pPr>
              <w:spacing w:line="240" w:lineRule="auto"/>
              <w:ind w:left="743" w:hanging="743"/>
              <w:rPr>
                <w:color w:val="000000"/>
              </w:rPr>
            </w:pPr>
            <w:r>
              <w:rPr>
                <w:color w:val="000000"/>
              </w:rPr>
              <w:t xml:space="preserve">  </w:t>
            </w:r>
            <w:r w:rsidR="00D3297E" w:rsidRPr="001660F9">
              <w:rPr>
                <w:color w:val="000000"/>
              </w:rPr>
              <w:t xml:space="preserve"> 7. After a rape, women nowadays receive ample support</w:t>
            </w:r>
          </w:p>
        </w:tc>
        <w:tc>
          <w:tcPr>
            <w:tcW w:w="940" w:type="dxa"/>
            <w:tcBorders>
              <w:top w:val="nil"/>
              <w:left w:val="nil"/>
              <w:bottom w:val="nil"/>
              <w:right w:val="nil"/>
            </w:tcBorders>
            <w:shd w:val="clear" w:color="auto" w:fill="auto"/>
            <w:noWrap/>
            <w:vAlign w:val="bottom"/>
            <w:hideMark/>
          </w:tcPr>
          <w:p w14:paraId="2B1D8C70" w14:textId="77777777" w:rsidR="00D3297E" w:rsidRPr="001660F9" w:rsidRDefault="00D3297E" w:rsidP="00586123">
            <w:pPr>
              <w:spacing w:line="240" w:lineRule="auto"/>
              <w:jc w:val="center"/>
              <w:rPr>
                <w:color w:val="000000"/>
              </w:rPr>
            </w:pPr>
            <w:r w:rsidRPr="001660F9">
              <w:rPr>
                <w:color w:val="000000"/>
              </w:rPr>
              <w:t>3.72</w:t>
            </w:r>
            <w:r w:rsidRPr="001660F9">
              <w:rPr>
                <w:color w:val="000000"/>
                <w:vertAlign w:val="subscript"/>
              </w:rPr>
              <w:t>a</w:t>
            </w:r>
          </w:p>
        </w:tc>
        <w:tc>
          <w:tcPr>
            <w:tcW w:w="1000" w:type="dxa"/>
            <w:tcBorders>
              <w:top w:val="nil"/>
              <w:left w:val="nil"/>
              <w:bottom w:val="nil"/>
              <w:right w:val="nil"/>
            </w:tcBorders>
            <w:shd w:val="clear" w:color="auto" w:fill="auto"/>
            <w:noWrap/>
            <w:vAlign w:val="bottom"/>
            <w:hideMark/>
          </w:tcPr>
          <w:p w14:paraId="27A17D2E" w14:textId="77777777" w:rsidR="00D3297E" w:rsidRPr="001660F9" w:rsidRDefault="00D3297E" w:rsidP="00586123">
            <w:pPr>
              <w:spacing w:line="240" w:lineRule="auto"/>
              <w:jc w:val="center"/>
              <w:rPr>
                <w:color w:val="000000"/>
              </w:rPr>
            </w:pPr>
            <w:r w:rsidRPr="001660F9">
              <w:rPr>
                <w:color w:val="000000"/>
              </w:rPr>
              <w:t>4</w:t>
            </w:r>
          </w:p>
        </w:tc>
        <w:tc>
          <w:tcPr>
            <w:tcW w:w="1060" w:type="dxa"/>
            <w:tcBorders>
              <w:top w:val="nil"/>
              <w:left w:val="nil"/>
              <w:bottom w:val="nil"/>
              <w:right w:val="nil"/>
            </w:tcBorders>
            <w:shd w:val="clear" w:color="auto" w:fill="auto"/>
            <w:noWrap/>
            <w:vAlign w:val="bottom"/>
            <w:hideMark/>
          </w:tcPr>
          <w:p w14:paraId="794C150A" w14:textId="77777777" w:rsidR="00D3297E" w:rsidRPr="001660F9" w:rsidRDefault="00D3297E" w:rsidP="00586123">
            <w:pPr>
              <w:spacing w:line="240" w:lineRule="auto"/>
              <w:jc w:val="center"/>
              <w:rPr>
                <w:color w:val="000000"/>
              </w:rPr>
            </w:pPr>
            <w:r w:rsidRPr="001660F9">
              <w:rPr>
                <w:color w:val="000000"/>
              </w:rPr>
              <w:t>1-7</w:t>
            </w:r>
          </w:p>
        </w:tc>
      </w:tr>
      <w:tr w:rsidR="00D3297E" w:rsidRPr="001660F9" w14:paraId="158E3670" w14:textId="77777777" w:rsidTr="00586123">
        <w:trPr>
          <w:trHeight w:val="340"/>
        </w:trPr>
        <w:tc>
          <w:tcPr>
            <w:tcW w:w="9214" w:type="dxa"/>
            <w:tcBorders>
              <w:top w:val="nil"/>
              <w:left w:val="nil"/>
              <w:bottom w:val="nil"/>
              <w:right w:val="nil"/>
            </w:tcBorders>
            <w:shd w:val="clear" w:color="auto" w:fill="auto"/>
            <w:noWrap/>
            <w:vAlign w:val="bottom"/>
            <w:hideMark/>
          </w:tcPr>
          <w:p w14:paraId="291588AA" w14:textId="1AF349C0" w:rsidR="00D3297E" w:rsidRPr="001660F9" w:rsidRDefault="00DF41FB" w:rsidP="00586123">
            <w:pPr>
              <w:spacing w:line="240" w:lineRule="auto"/>
              <w:ind w:left="743" w:hanging="743"/>
              <w:rPr>
                <w:color w:val="000000"/>
              </w:rPr>
            </w:pPr>
            <w:r>
              <w:rPr>
                <w:color w:val="000000"/>
              </w:rPr>
              <w:t xml:space="preserve">  </w:t>
            </w:r>
            <w:r w:rsidR="00D3297E" w:rsidRPr="001660F9">
              <w:rPr>
                <w:color w:val="000000"/>
              </w:rPr>
              <w:t xml:space="preserve"> 8. Nowadays, a large proportion of rapes is partly caused by the depiction of sexuality in the media as this raises the sex drive of potential perpetrators</w:t>
            </w:r>
          </w:p>
        </w:tc>
        <w:tc>
          <w:tcPr>
            <w:tcW w:w="940" w:type="dxa"/>
            <w:tcBorders>
              <w:top w:val="nil"/>
              <w:left w:val="nil"/>
              <w:bottom w:val="nil"/>
              <w:right w:val="nil"/>
            </w:tcBorders>
            <w:shd w:val="clear" w:color="auto" w:fill="auto"/>
            <w:noWrap/>
            <w:vAlign w:val="bottom"/>
            <w:hideMark/>
          </w:tcPr>
          <w:p w14:paraId="3A28A738" w14:textId="77777777" w:rsidR="00D3297E" w:rsidRPr="001660F9" w:rsidRDefault="00D3297E" w:rsidP="00586123">
            <w:pPr>
              <w:spacing w:line="240" w:lineRule="auto"/>
              <w:jc w:val="center"/>
              <w:rPr>
                <w:color w:val="000000"/>
              </w:rPr>
            </w:pPr>
            <w:r w:rsidRPr="001660F9">
              <w:rPr>
                <w:color w:val="000000"/>
              </w:rPr>
              <w:t>2.63</w:t>
            </w:r>
          </w:p>
        </w:tc>
        <w:tc>
          <w:tcPr>
            <w:tcW w:w="1000" w:type="dxa"/>
            <w:tcBorders>
              <w:top w:val="nil"/>
              <w:left w:val="nil"/>
              <w:bottom w:val="nil"/>
              <w:right w:val="nil"/>
            </w:tcBorders>
            <w:shd w:val="clear" w:color="auto" w:fill="auto"/>
            <w:noWrap/>
            <w:vAlign w:val="bottom"/>
            <w:hideMark/>
          </w:tcPr>
          <w:p w14:paraId="44A3D16E" w14:textId="77777777" w:rsidR="00D3297E" w:rsidRPr="001660F9" w:rsidRDefault="00D3297E" w:rsidP="00586123">
            <w:pPr>
              <w:spacing w:line="240" w:lineRule="auto"/>
              <w:jc w:val="center"/>
              <w:rPr>
                <w:color w:val="000000"/>
              </w:rPr>
            </w:pPr>
            <w:r w:rsidRPr="001660F9">
              <w:rPr>
                <w:color w:val="000000"/>
              </w:rPr>
              <w:t>2</w:t>
            </w:r>
          </w:p>
        </w:tc>
        <w:tc>
          <w:tcPr>
            <w:tcW w:w="1060" w:type="dxa"/>
            <w:tcBorders>
              <w:top w:val="nil"/>
              <w:left w:val="nil"/>
              <w:bottom w:val="nil"/>
              <w:right w:val="nil"/>
            </w:tcBorders>
            <w:shd w:val="clear" w:color="auto" w:fill="auto"/>
            <w:noWrap/>
            <w:vAlign w:val="bottom"/>
            <w:hideMark/>
          </w:tcPr>
          <w:p w14:paraId="5BA64ABE" w14:textId="77777777" w:rsidR="00D3297E" w:rsidRPr="001660F9" w:rsidRDefault="00D3297E" w:rsidP="00586123">
            <w:pPr>
              <w:spacing w:line="240" w:lineRule="auto"/>
              <w:jc w:val="center"/>
              <w:rPr>
                <w:color w:val="000000"/>
              </w:rPr>
            </w:pPr>
            <w:r w:rsidRPr="001660F9">
              <w:rPr>
                <w:color w:val="000000"/>
              </w:rPr>
              <w:t>1-7</w:t>
            </w:r>
          </w:p>
        </w:tc>
      </w:tr>
      <w:tr w:rsidR="00D3297E" w:rsidRPr="001660F9" w14:paraId="3C6EAEA3" w14:textId="77777777" w:rsidTr="00586123">
        <w:trPr>
          <w:trHeight w:val="340"/>
        </w:trPr>
        <w:tc>
          <w:tcPr>
            <w:tcW w:w="9214" w:type="dxa"/>
            <w:tcBorders>
              <w:top w:val="nil"/>
              <w:left w:val="nil"/>
              <w:bottom w:val="nil"/>
              <w:right w:val="nil"/>
            </w:tcBorders>
            <w:shd w:val="clear" w:color="auto" w:fill="auto"/>
            <w:noWrap/>
            <w:vAlign w:val="bottom"/>
            <w:hideMark/>
          </w:tcPr>
          <w:p w14:paraId="0BCB313F" w14:textId="26503CA2" w:rsidR="00D3297E" w:rsidRPr="001660F9" w:rsidRDefault="00DF41FB" w:rsidP="00586123">
            <w:pPr>
              <w:spacing w:line="240" w:lineRule="auto"/>
              <w:ind w:left="743" w:hanging="743"/>
              <w:rPr>
                <w:color w:val="000000"/>
              </w:rPr>
            </w:pPr>
            <w:r>
              <w:rPr>
                <w:color w:val="000000"/>
              </w:rPr>
              <w:t xml:space="preserve">  </w:t>
            </w:r>
            <w:r w:rsidR="00D3297E" w:rsidRPr="001660F9">
              <w:rPr>
                <w:color w:val="000000"/>
              </w:rPr>
              <w:t xml:space="preserve"> 9. If a woman invites a man to her home for a cup of coffee after a night out this means that she wants to have sex</w:t>
            </w:r>
          </w:p>
        </w:tc>
        <w:tc>
          <w:tcPr>
            <w:tcW w:w="940" w:type="dxa"/>
            <w:tcBorders>
              <w:top w:val="nil"/>
              <w:left w:val="nil"/>
              <w:bottom w:val="nil"/>
              <w:right w:val="nil"/>
            </w:tcBorders>
            <w:shd w:val="clear" w:color="auto" w:fill="auto"/>
            <w:noWrap/>
            <w:vAlign w:val="bottom"/>
            <w:hideMark/>
          </w:tcPr>
          <w:p w14:paraId="0D2CE71A" w14:textId="77777777" w:rsidR="00D3297E" w:rsidRPr="001660F9" w:rsidRDefault="00D3297E" w:rsidP="00586123">
            <w:pPr>
              <w:spacing w:line="240" w:lineRule="auto"/>
              <w:jc w:val="center"/>
              <w:rPr>
                <w:color w:val="000000"/>
              </w:rPr>
            </w:pPr>
            <w:r w:rsidRPr="001660F9">
              <w:rPr>
                <w:color w:val="000000"/>
              </w:rPr>
              <w:t>1.95</w:t>
            </w:r>
            <w:r w:rsidRPr="001660F9">
              <w:rPr>
                <w:color w:val="000000"/>
                <w:vertAlign w:val="subscript"/>
              </w:rPr>
              <w:t>b</w:t>
            </w:r>
          </w:p>
        </w:tc>
        <w:tc>
          <w:tcPr>
            <w:tcW w:w="1000" w:type="dxa"/>
            <w:tcBorders>
              <w:top w:val="nil"/>
              <w:left w:val="nil"/>
              <w:bottom w:val="nil"/>
              <w:right w:val="nil"/>
            </w:tcBorders>
            <w:shd w:val="clear" w:color="auto" w:fill="auto"/>
            <w:noWrap/>
            <w:vAlign w:val="bottom"/>
            <w:hideMark/>
          </w:tcPr>
          <w:p w14:paraId="0EAA802E" w14:textId="77777777" w:rsidR="00D3297E" w:rsidRPr="001660F9" w:rsidRDefault="00D3297E" w:rsidP="00586123">
            <w:pPr>
              <w:spacing w:line="240" w:lineRule="auto"/>
              <w:jc w:val="center"/>
              <w:rPr>
                <w:color w:val="000000"/>
              </w:rPr>
            </w:pPr>
            <w:r w:rsidRPr="001660F9">
              <w:rPr>
                <w:color w:val="000000"/>
              </w:rPr>
              <w:t>1</w:t>
            </w:r>
          </w:p>
        </w:tc>
        <w:tc>
          <w:tcPr>
            <w:tcW w:w="1060" w:type="dxa"/>
            <w:tcBorders>
              <w:top w:val="nil"/>
              <w:left w:val="nil"/>
              <w:bottom w:val="nil"/>
              <w:right w:val="nil"/>
            </w:tcBorders>
            <w:shd w:val="clear" w:color="auto" w:fill="auto"/>
            <w:noWrap/>
            <w:vAlign w:val="bottom"/>
            <w:hideMark/>
          </w:tcPr>
          <w:p w14:paraId="3E040CDF" w14:textId="77777777" w:rsidR="00D3297E" w:rsidRPr="001660F9" w:rsidRDefault="00D3297E" w:rsidP="00586123">
            <w:pPr>
              <w:spacing w:line="240" w:lineRule="auto"/>
              <w:jc w:val="center"/>
              <w:rPr>
                <w:color w:val="000000"/>
              </w:rPr>
            </w:pPr>
            <w:r w:rsidRPr="001660F9">
              <w:rPr>
                <w:color w:val="000000"/>
              </w:rPr>
              <w:t>1-7</w:t>
            </w:r>
          </w:p>
        </w:tc>
      </w:tr>
      <w:tr w:rsidR="00D3297E" w:rsidRPr="001660F9" w14:paraId="33DC575F" w14:textId="77777777" w:rsidTr="00586123">
        <w:trPr>
          <w:trHeight w:val="340"/>
        </w:trPr>
        <w:tc>
          <w:tcPr>
            <w:tcW w:w="9214" w:type="dxa"/>
            <w:tcBorders>
              <w:top w:val="nil"/>
              <w:left w:val="nil"/>
              <w:bottom w:val="nil"/>
              <w:right w:val="nil"/>
            </w:tcBorders>
            <w:shd w:val="clear" w:color="auto" w:fill="auto"/>
            <w:noWrap/>
            <w:vAlign w:val="bottom"/>
            <w:hideMark/>
          </w:tcPr>
          <w:p w14:paraId="7D2E8511" w14:textId="6C99C024" w:rsidR="00D3297E" w:rsidRPr="001660F9" w:rsidRDefault="00DF41FB" w:rsidP="00586123">
            <w:pPr>
              <w:spacing w:line="240" w:lineRule="auto"/>
              <w:ind w:left="743" w:hanging="743"/>
              <w:rPr>
                <w:color w:val="000000"/>
              </w:rPr>
            </w:pPr>
            <w:r>
              <w:rPr>
                <w:color w:val="000000"/>
              </w:rPr>
              <w:t xml:space="preserve">  </w:t>
            </w:r>
            <w:r w:rsidR="00D3297E" w:rsidRPr="001660F9">
              <w:rPr>
                <w:color w:val="000000"/>
              </w:rPr>
              <w:t xml:space="preserve"> 10. As long as they don't go too far, suggestive remarks and allusions simply tell a woman that she is attractive</w:t>
            </w:r>
          </w:p>
        </w:tc>
        <w:tc>
          <w:tcPr>
            <w:tcW w:w="940" w:type="dxa"/>
            <w:tcBorders>
              <w:top w:val="nil"/>
              <w:left w:val="nil"/>
              <w:bottom w:val="nil"/>
              <w:right w:val="nil"/>
            </w:tcBorders>
            <w:shd w:val="clear" w:color="auto" w:fill="auto"/>
            <w:noWrap/>
            <w:vAlign w:val="bottom"/>
            <w:hideMark/>
          </w:tcPr>
          <w:p w14:paraId="7CB3E5EB" w14:textId="77777777" w:rsidR="00D3297E" w:rsidRPr="001660F9" w:rsidRDefault="00D3297E" w:rsidP="00586123">
            <w:pPr>
              <w:spacing w:line="240" w:lineRule="auto"/>
              <w:jc w:val="center"/>
              <w:rPr>
                <w:color w:val="000000"/>
              </w:rPr>
            </w:pPr>
            <w:r w:rsidRPr="001660F9">
              <w:rPr>
                <w:color w:val="000000"/>
              </w:rPr>
              <w:t>3.11</w:t>
            </w:r>
            <w:r w:rsidRPr="001660F9">
              <w:rPr>
                <w:color w:val="000000"/>
                <w:vertAlign w:val="subscript"/>
              </w:rPr>
              <w:t>b</w:t>
            </w:r>
          </w:p>
        </w:tc>
        <w:tc>
          <w:tcPr>
            <w:tcW w:w="1000" w:type="dxa"/>
            <w:tcBorders>
              <w:top w:val="nil"/>
              <w:left w:val="nil"/>
              <w:bottom w:val="nil"/>
              <w:right w:val="nil"/>
            </w:tcBorders>
            <w:shd w:val="clear" w:color="auto" w:fill="auto"/>
            <w:noWrap/>
            <w:vAlign w:val="bottom"/>
            <w:hideMark/>
          </w:tcPr>
          <w:p w14:paraId="1C88553F" w14:textId="77777777" w:rsidR="00D3297E" w:rsidRPr="001660F9" w:rsidRDefault="00D3297E" w:rsidP="00586123">
            <w:pPr>
              <w:spacing w:line="240" w:lineRule="auto"/>
              <w:jc w:val="center"/>
              <w:rPr>
                <w:color w:val="000000"/>
              </w:rPr>
            </w:pPr>
            <w:r w:rsidRPr="001660F9">
              <w:rPr>
                <w:color w:val="000000"/>
              </w:rPr>
              <w:t>3</w:t>
            </w:r>
          </w:p>
        </w:tc>
        <w:tc>
          <w:tcPr>
            <w:tcW w:w="1060" w:type="dxa"/>
            <w:tcBorders>
              <w:top w:val="nil"/>
              <w:left w:val="nil"/>
              <w:bottom w:val="nil"/>
              <w:right w:val="nil"/>
            </w:tcBorders>
            <w:shd w:val="clear" w:color="auto" w:fill="auto"/>
            <w:noWrap/>
            <w:vAlign w:val="bottom"/>
            <w:hideMark/>
          </w:tcPr>
          <w:p w14:paraId="353B0284" w14:textId="77777777" w:rsidR="00D3297E" w:rsidRPr="001660F9" w:rsidRDefault="00D3297E" w:rsidP="00586123">
            <w:pPr>
              <w:spacing w:line="240" w:lineRule="auto"/>
              <w:jc w:val="center"/>
              <w:rPr>
                <w:color w:val="000000"/>
              </w:rPr>
            </w:pPr>
            <w:r w:rsidRPr="001660F9">
              <w:rPr>
                <w:color w:val="000000"/>
              </w:rPr>
              <w:t>1-7</w:t>
            </w:r>
          </w:p>
        </w:tc>
      </w:tr>
      <w:tr w:rsidR="00D3297E" w:rsidRPr="001660F9" w14:paraId="732E9875" w14:textId="77777777" w:rsidTr="00586123">
        <w:trPr>
          <w:trHeight w:val="340"/>
        </w:trPr>
        <w:tc>
          <w:tcPr>
            <w:tcW w:w="9214" w:type="dxa"/>
            <w:tcBorders>
              <w:top w:val="nil"/>
              <w:left w:val="nil"/>
              <w:bottom w:val="nil"/>
              <w:right w:val="nil"/>
            </w:tcBorders>
            <w:shd w:val="clear" w:color="auto" w:fill="auto"/>
            <w:noWrap/>
            <w:vAlign w:val="bottom"/>
            <w:hideMark/>
          </w:tcPr>
          <w:p w14:paraId="2710B40D" w14:textId="0DB9B832" w:rsidR="00D3297E" w:rsidRPr="001660F9" w:rsidRDefault="00DF41FB" w:rsidP="00586123">
            <w:pPr>
              <w:spacing w:line="240" w:lineRule="auto"/>
              <w:ind w:left="743" w:hanging="743"/>
              <w:rPr>
                <w:color w:val="000000"/>
              </w:rPr>
            </w:pPr>
            <w:r>
              <w:rPr>
                <w:color w:val="000000"/>
              </w:rPr>
              <w:t xml:space="preserve">  </w:t>
            </w:r>
            <w:r w:rsidR="00D3297E" w:rsidRPr="001660F9">
              <w:rPr>
                <w:color w:val="000000"/>
              </w:rPr>
              <w:t xml:space="preserve"> 11. Any woman who is careless enough to walk through "dark alleys" at night is partly to be blamed if she is raped</w:t>
            </w:r>
          </w:p>
        </w:tc>
        <w:tc>
          <w:tcPr>
            <w:tcW w:w="940" w:type="dxa"/>
            <w:tcBorders>
              <w:top w:val="nil"/>
              <w:left w:val="nil"/>
              <w:bottom w:val="nil"/>
              <w:right w:val="nil"/>
            </w:tcBorders>
            <w:shd w:val="clear" w:color="auto" w:fill="auto"/>
            <w:noWrap/>
            <w:vAlign w:val="bottom"/>
            <w:hideMark/>
          </w:tcPr>
          <w:p w14:paraId="46D816B6" w14:textId="77777777" w:rsidR="00D3297E" w:rsidRPr="001660F9" w:rsidRDefault="00D3297E" w:rsidP="00586123">
            <w:pPr>
              <w:spacing w:line="240" w:lineRule="auto"/>
              <w:jc w:val="center"/>
              <w:rPr>
                <w:color w:val="000000"/>
              </w:rPr>
            </w:pPr>
            <w:r w:rsidRPr="001660F9">
              <w:rPr>
                <w:color w:val="000000"/>
              </w:rPr>
              <w:t>1.43</w:t>
            </w:r>
            <w:r w:rsidRPr="001660F9">
              <w:rPr>
                <w:color w:val="000000"/>
                <w:vertAlign w:val="subscript"/>
              </w:rPr>
              <w:t>b</w:t>
            </w:r>
          </w:p>
        </w:tc>
        <w:tc>
          <w:tcPr>
            <w:tcW w:w="1000" w:type="dxa"/>
            <w:tcBorders>
              <w:top w:val="nil"/>
              <w:left w:val="nil"/>
              <w:bottom w:val="nil"/>
              <w:right w:val="nil"/>
            </w:tcBorders>
            <w:shd w:val="clear" w:color="auto" w:fill="auto"/>
            <w:noWrap/>
            <w:vAlign w:val="bottom"/>
            <w:hideMark/>
          </w:tcPr>
          <w:p w14:paraId="6AEC2299" w14:textId="77777777" w:rsidR="00D3297E" w:rsidRPr="001660F9" w:rsidRDefault="00D3297E" w:rsidP="00586123">
            <w:pPr>
              <w:spacing w:line="240" w:lineRule="auto"/>
              <w:jc w:val="center"/>
              <w:rPr>
                <w:color w:val="000000"/>
              </w:rPr>
            </w:pPr>
            <w:r w:rsidRPr="001660F9">
              <w:rPr>
                <w:color w:val="000000"/>
              </w:rPr>
              <w:t>1</w:t>
            </w:r>
          </w:p>
        </w:tc>
        <w:tc>
          <w:tcPr>
            <w:tcW w:w="1060" w:type="dxa"/>
            <w:tcBorders>
              <w:top w:val="nil"/>
              <w:left w:val="nil"/>
              <w:bottom w:val="nil"/>
              <w:right w:val="nil"/>
            </w:tcBorders>
            <w:shd w:val="clear" w:color="auto" w:fill="auto"/>
            <w:noWrap/>
            <w:vAlign w:val="bottom"/>
            <w:hideMark/>
          </w:tcPr>
          <w:p w14:paraId="7FF849A7" w14:textId="77777777" w:rsidR="00D3297E" w:rsidRPr="001660F9" w:rsidRDefault="00D3297E" w:rsidP="00586123">
            <w:pPr>
              <w:spacing w:line="240" w:lineRule="auto"/>
              <w:jc w:val="center"/>
              <w:rPr>
                <w:color w:val="000000"/>
              </w:rPr>
            </w:pPr>
            <w:r w:rsidRPr="001660F9">
              <w:rPr>
                <w:color w:val="000000"/>
              </w:rPr>
              <w:t>1-7</w:t>
            </w:r>
          </w:p>
        </w:tc>
      </w:tr>
      <w:tr w:rsidR="00D3297E" w:rsidRPr="001660F9" w14:paraId="6BC6464E" w14:textId="77777777" w:rsidTr="00586123">
        <w:trPr>
          <w:trHeight w:val="340"/>
        </w:trPr>
        <w:tc>
          <w:tcPr>
            <w:tcW w:w="9214" w:type="dxa"/>
            <w:tcBorders>
              <w:top w:val="nil"/>
              <w:left w:val="nil"/>
              <w:bottom w:val="nil"/>
              <w:right w:val="nil"/>
            </w:tcBorders>
            <w:shd w:val="clear" w:color="auto" w:fill="auto"/>
            <w:noWrap/>
            <w:vAlign w:val="bottom"/>
            <w:hideMark/>
          </w:tcPr>
          <w:p w14:paraId="5D9BA608" w14:textId="09268964" w:rsidR="00D3297E" w:rsidRPr="001660F9" w:rsidRDefault="00DF41FB" w:rsidP="00586123">
            <w:pPr>
              <w:spacing w:line="240" w:lineRule="auto"/>
              <w:ind w:left="743" w:hanging="743"/>
              <w:rPr>
                <w:color w:val="000000"/>
              </w:rPr>
            </w:pPr>
            <w:r>
              <w:rPr>
                <w:color w:val="000000"/>
              </w:rPr>
              <w:t xml:space="preserve">  </w:t>
            </w:r>
            <w:r w:rsidR="00D3297E" w:rsidRPr="001660F9">
              <w:rPr>
                <w:color w:val="000000"/>
              </w:rPr>
              <w:t xml:space="preserve"> 12. When a woman starts a relationship with a man, she must be aware that the man will assert his right to have sex</w:t>
            </w:r>
          </w:p>
        </w:tc>
        <w:tc>
          <w:tcPr>
            <w:tcW w:w="940" w:type="dxa"/>
            <w:tcBorders>
              <w:top w:val="nil"/>
              <w:left w:val="nil"/>
              <w:bottom w:val="nil"/>
              <w:right w:val="nil"/>
            </w:tcBorders>
            <w:shd w:val="clear" w:color="auto" w:fill="auto"/>
            <w:noWrap/>
            <w:vAlign w:val="bottom"/>
            <w:hideMark/>
          </w:tcPr>
          <w:p w14:paraId="373D5F8B" w14:textId="77777777" w:rsidR="00D3297E" w:rsidRPr="001660F9" w:rsidRDefault="00D3297E" w:rsidP="00586123">
            <w:pPr>
              <w:spacing w:line="240" w:lineRule="auto"/>
              <w:jc w:val="center"/>
              <w:rPr>
                <w:color w:val="000000"/>
              </w:rPr>
            </w:pPr>
            <w:r w:rsidRPr="001660F9">
              <w:rPr>
                <w:color w:val="000000"/>
              </w:rPr>
              <w:t>1.61</w:t>
            </w:r>
            <w:r w:rsidRPr="001660F9">
              <w:rPr>
                <w:color w:val="000000"/>
                <w:vertAlign w:val="subscript"/>
              </w:rPr>
              <w:t>b</w:t>
            </w:r>
          </w:p>
        </w:tc>
        <w:tc>
          <w:tcPr>
            <w:tcW w:w="1000" w:type="dxa"/>
            <w:tcBorders>
              <w:top w:val="nil"/>
              <w:left w:val="nil"/>
              <w:bottom w:val="nil"/>
              <w:right w:val="nil"/>
            </w:tcBorders>
            <w:shd w:val="clear" w:color="auto" w:fill="auto"/>
            <w:noWrap/>
            <w:vAlign w:val="bottom"/>
            <w:hideMark/>
          </w:tcPr>
          <w:p w14:paraId="48871AC8" w14:textId="77777777" w:rsidR="00D3297E" w:rsidRPr="001660F9" w:rsidRDefault="00D3297E" w:rsidP="00586123">
            <w:pPr>
              <w:spacing w:line="240" w:lineRule="auto"/>
              <w:jc w:val="center"/>
              <w:rPr>
                <w:color w:val="000000"/>
              </w:rPr>
            </w:pPr>
            <w:r w:rsidRPr="001660F9">
              <w:rPr>
                <w:color w:val="000000"/>
              </w:rPr>
              <w:t>1</w:t>
            </w:r>
          </w:p>
        </w:tc>
        <w:tc>
          <w:tcPr>
            <w:tcW w:w="1060" w:type="dxa"/>
            <w:tcBorders>
              <w:top w:val="nil"/>
              <w:left w:val="nil"/>
              <w:bottom w:val="nil"/>
              <w:right w:val="nil"/>
            </w:tcBorders>
            <w:shd w:val="clear" w:color="auto" w:fill="auto"/>
            <w:noWrap/>
            <w:vAlign w:val="bottom"/>
            <w:hideMark/>
          </w:tcPr>
          <w:p w14:paraId="021B48D8" w14:textId="77777777" w:rsidR="00D3297E" w:rsidRPr="001660F9" w:rsidRDefault="00D3297E" w:rsidP="00586123">
            <w:pPr>
              <w:spacing w:line="240" w:lineRule="auto"/>
              <w:jc w:val="center"/>
              <w:rPr>
                <w:color w:val="000000"/>
              </w:rPr>
            </w:pPr>
            <w:r w:rsidRPr="001660F9">
              <w:rPr>
                <w:color w:val="000000"/>
              </w:rPr>
              <w:t>1-7</w:t>
            </w:r>
          </w:p>
        </w:tc>
      </w:tr>
      <w:tr w:rsidR="00D3297E" w:rsidRPr="001660F9" w14:paraId="29569FDB" w14:textId="77777777" w:rsidTr="00586123">
        <w:trPr>
          <w:trHeight w:val="340"/>
        </w:trPr>
        <w:tc>
          <w:tcPr>
            <w:tcW w:w="9214" w:type="dxa"/>
            <w:tcBorders>
              <w:top w:val="nil"/>
              <w:left w:val="nil"/>
              <w:bottom w:val="nil"/>
              <w:right w:val="nil"/>
            </w:tcBorders>
            <w:shd w:val="clear" w:color="auto" w:fill="auto"/>
            <w:noWrap/>
            <w:vAlign w:val="bottom"/>
            <w:hideMark/>
          </w:tcPr>
          <w:p w14:paraId="30841540" w14:textId="5610D5B5" w:rsidR="00D3297E" w:rsidRPr="001660F9" w:rsidRDefault="00DF41FB" w:rsidP="00586123">
            <w:pPr>
              <w:spacing w:line="240" w:lineRule="auto"/>
              <w:ind w:left="743" w:hanging="743"/>
              <w:rPr>
                <w:color w:val="000000"/>
              </w:rPr>
            </w:pPr>
            <w:r>
              <w:rPr>
                <w:color w:val="000000"/>
              </w:rPr>
              <w:t xml:space="preserve">  </w:t>
            </w:r>
            <w:r w:rsidR="00D3297E" w:rsidRPr="001660F9">
              <w:rPr>
                <w:color w:val="000000"/>
              </w:rPr>
              <w:t xml:space="preserve"> 13. Most women prefer to be praised for their looks rather than their intelligence</w:t>
            </w:r>
          </w:p>
        </w:tc>
        <w:tc>
          <w:tcPr>
            <w:tcW w:w="940" w:type="dxa"/>
            <w:tcBorders>
              <w:top w:val="nil"/>
              <w:left w:val="nil"/>
              <w:bottom w:val="nil"/>
              <w:right w:val="nil"/>
            </w:tcBorders>
            <w:shd w:val="clear" w:color="auto" w:fill="auto"/>
            <w:noWrap/>
            <w:vAlign w:val="bottom"/>
            <w:hideMark/>
          </w:tcPr>
          <w:p w14:paraId="56300CD8" w14:textId="77777777" w:rsidR="00D3297E" w:rsidRPr="001660F9" w:rsidRDefault="00D3297E" w:rsidP="00586123">
            <w:pPr>
              <w:spacing w:line="240" w:lineRule="auto"/>
              <w:jc w:val="center"/>
              <w:rPr>
                <w:color w:val="000000"/>
              </w:rPr>
            </w:pPr>
            <w:r w:rsidRPr="001660F9">
              <w:rPr>
                <w:color w:val="000000"/>
              </w:rPr>
              <w:t>2.86</w:t>
            </w:r>
          </w:p>
        </w:tc>
        <w:tc>
          <w:tcPr>
            <w:tcW w:w="1000" w:type="dxa"/>
            <w:tcBorders>
              <w:top w:val="nil"/>
              <w:left w:val="nil"/>
              <w:bottom w:val="nil"/>
              <w:right w:val="nil"/>
            </w:tcBorders>
            <w:shd w:val="clear" w:color="auto" w:fill="auto"/>
            <w:noWrap/>
            <w:vAlign w:val="bottom"/>
            <w:hideMark/>
          </w:tcPr>
          <w:p w14:paraId="0C699715" w14:textId="77777777" w:rsidR="00D3297E" w:rsidRPr="001660F9" w:rsidRDefault="00D3297E" w:rsidP="00586123">
            <w:pPr>
              <w:spacing w:line="240" w:lineRule="auto"/>
              <w:jc w:val="center"/>
              <w:rPr>
                <w:color w:val="000000"/>
              </w:rPr>
            </w:pPr>
            <w:r w:rsidRPr="001660F9">
              <w:rPr>
                <w:color w:val="000000"/>
              </w:rPr>
              <w:t>3</w:t>
            </w:r>
          </w:p>
        </w:tc>
        <w:tc>
          <w:tcPr>
            <w:tcW w:w="1060" w:type="dxa"/>
            <w:tcBorders>
              <w:top w:val="nil"/>
              <w:left w:val="nil"/>
              <w:bottom w:val="nil"/>
              <w:right w:val="nil"/>
            </w:tcBorders>
            <w:shd w:val="clear" w:color="auto" w:fill="auto"/>
            <w:noWrap/>
            <w:vAlign w:val="bottom"/>
            <w:hideMark/>
          </w:tcPr>
          <w:p w14:paraId="49D5C796" w14:textId="77777777" w:rsidR="00D3297E" w:rsidRPr="001660F9" w:rsidRDefault="00D3297E" w:rsidP="00586123">
            <w:pPr>
              <w:spacing w:line="240" w:lineRule="auto"/>
              <w:jc w:val="center"/>
              <w:rPr>
                <w:color w:val="000000"/>
              </w:rPr>
            </w:pPr>
            <w:r w:rsidRPr="001660F9">
              <w:rPr>
                <w:color w:val="000000"/>
              </w:rPr>
              <w:t>1-7</w:t>
            </w:r>
          </w:p>
        </w:tc>
      </w:tr>
      <w:tr w:rsidR="00D3297E" w:rsidRPr="001660F9" w14:paraId="1B21B70B" w14:textId="77777777" w:rsidTr="00586123">
        <w:trPr>
          <w:trHeight w:val="340"/>
        </w:trPr>
        <w:tc>
          <w:tcPr>
            <w:tcW w:w="9214" w:type="dxa"/>
            <w:tcBorders>
              <w:top w:val="nil"/>
              <w:left w:val="nil"/>
              <w:bottom w:val="nil"/>
              <w:right w:val="nil"/>
            </w:tcBorders>
            <w:shd w:val="clear" w:color="auto" w:fill="auto"/>
            <w:noWrap/>
            <w:vAlign w:val="bottom"/>
            <w:hideMark/>
          </w:tcPr>
          <w:p w14:paraId="7B3F70A4" w14:textId="556A2C4F" w:rsidR="00D3297E" w:rsidRPr="001660F9" w:rsidRDefault="00DF41FB" w:rsidP="00586123">
            <w:pPr>
              <w:spacing w:line="240" w:lineRule="auto"/>
              <w:ind w:left="743" w:hanging="743"/>
              <w:rPr>
                <w:color w:val="000000"/>
              </w:rPr>
            </w:pPr>
            <w:r>
              <w:rPr>
                <w:color w:val="000000"/>
              </w:rPr>
              <w:t xml:space="preserve">  </w:t>
            </w:r>
            <w:r w:rsidR="00D3297E" w:rsidRPr="001660F9">
              <w:rPr>
                <w:color w:val="000000"/>
              </w:rPr>
              <w:t xml:space="preserve"> 14. Because the fascination caused by sex is disproportionately large, our society's sensitivity to crimes in this area is disproportionate as well</w:t>
            </w:r>
          </w:p>
        </w:tc>
        <w:tc>
          <w:tcPr>
            <w:tcW w:w="940" w:type="dxa"/>
            <w:tcBorders>
              <w:top w:val="nil"/>
              <w:left w:val="nil"/>
              <w:bottom w:val="nil"/>
              <w:right w:val="nil"/>
            </w:tcBorders>
            <w:shd w:val="clear" w:color="auto" w:fill="auto"/>
            <w:noWrap/>
            <w:vAlign w:val="bottom"/>
            <w:hideMark/>
          </w:tcPr>
          <w:p w14:paraId="4BD14CD9" w14:textId="77777777" w:rsidR="00D3297E" w:rsidRPr="001660F9" w:rsidRDefault="00D3297E" w:rsidP="00586123">
            <w:pPr>
              <w:spacing w:line="240" w:lineRule="auto"/>
              <w:jc w:val="center"/>
              <w:rPr>
                <w:color w:val="000000"/>
              </w:rPr>
            </w:pPr>
            <w:r w:rsidRPr="001660F9">
              <w:rPr>
                <w:color w:val="000000"/>
              </w:rPr>
              <w:t>2.98</w:t>
            </w:r>
          </w:p>
        </w:tc>
        <w:tc>
          <w:tcPr>
            <w:tcW w:w="1000" w:type="dxa"/>
            <w:tcBorders>
              <w:top w:val="nil"/>
              <w:left w:val="nil"/>
              <w:bottom w:val="nil"/>
              <w:right w:val="nil"/>
            </w:tcBorders>
            <w:shd w:val="clear" w:color="auto" w:fill="auto"/>
            <w:noWrap/>
            <w:vAlign w:val="bottom"/>
            <w:hideMark/>
          </w:tcPr>
          <w:p w14:paraId="377DF1AE" w14:textId="77777777" w:rsidR="00D3297E" w:rsidRPr="001660F9" w:rsidRDefault="00D3297E" w:rsidP="00586123">
            <w:pPr>
              <w:spacing w:line="240" w:lineRule="auto"/>
              <w:jc w:val="center"/>
              <w:rPr>
                <w:color w:val="000000"/>
              </w:rPr>
            </w:pPr>
            <w:r w:rsidRPr="001660F9">
              <w:rPr>
                <w:color w:val="000000"/>
              </w:rPr>
              <w:t>3</w:t>
            </w:r>
          </w:p>
        </w:tc>
        <w:tc>
          <w:tcPr>
            <w:tcW w:w="1060" w:type="dxa"/>
            <w:tcBorders>
              <w:top w:val="nil"/>
              <w:left w:val="nil"/>
              <w:bottom w:val="nil"/>
              <w:right w:val="nil"/>
            </w:tcBorders>
            <w:shd w:val="clear" w:color="auto" w:fill="auto"/>
            <w:noWrap/>
            <w:vAlign w:val="bottom"/>
            <w:hideMark/>
          </w:tcPr>
          <w:p w14:paraId="75AD79AC" w14:textId="77777777" w:rsidR="00D3297E" w:rsidRPr="001660F9" w:rsidRDefault="00D3297E" w:rsidP="00586123">
            <w:pPr>
              <w:spacing w:line="240" w:lineRule="auto"/>
              <w:jc w:val="center"/>
              <w:rPr>
                <w:color w:val="000000"/>
              </w:rPr>
            </w:pPr>
            <w:r w:rsidRPr="001660F9">
              <w:rPr>
                <w:color w:val="000000"/>
              </w:rPr>
              <w:t>1-7</w:t>
            </w:r>
          </w:p>
        </w:tc>
      </w:tr>
      <w:tr w:rsidR="00D3297E" w:rsidRPr="001660F9" w14:paraId="00E89A1E" w14:textId="77777777" w:rsidTr="00586123">
        <w:trPr>
          <w:trHeight w:val="340"/>
        </w:trPr>
        <w:tc>
          <w:tcPr>
            <w:tcW w:w="9214" w:type="dxa"/>
            <w:tcBorders>
              <w:top w:val="nil"/>
              <w:left w:val="nil"/>
              <w:bottom w:val="nil"/>
              <w:right w:val="nil"/>
            </w:tcBorders>
            <w:shd w:val="clear" w:color="auto" w:fill="auto"/>
            <w:noWrap/>
            <w:vAlign w:val="bottom"/>
            <w:hideMark/>
          </w:tcPr>
          <w:p w14:paraId="7777E8B3" w14:textId="4742547D" w:rsidR="00D3297E" w:rsidRPr="001660F9" w:rsidRDefault="00DF41FB" w:rsidP="00586123">
            <w:pPr>
              <w:spacing w:line="240" w:lineRule="auto"/>
              <w:ind w:left="743" w:hanging="743"/>
              <w:rPr>
                <w:color w:val="000000"/>
              </w:rPr>
            </w:pPr>
            <w:r>
              <w:rPr>
                <w:color w:val="000000"/>
              </w:rPr>
              <w:t xml:space="preserve">  </w:t>
            </w:r>
            <w:r w:rsidR="00D3297E" w:rsidRPr="001660F9">
              <w:rPr>
                <w:color w:val="000000"/>
              </w:rPr>
              <w:t xml:space="preserve"> 15. Women like to play coy. This does not mean that they do not want sex</w:t>
            </w:r>
          </w:p>
        </w:tc>
        <w:tc>
          <w:tcPr>
            <w:tcW w:w="940" w:type="dxa"/>
            <w:tcBorders>
              <w:top w:val="nil"/>
              <w:left w:val="nil"/>
              <w:bottom w:val="nil"/>
              <w:right w:val="nil"/>
            </w:tcBorders>
            <w:shd w:val="clear" w:color="auto" w:fill="auto"/>
            <w:noWrap/>
            <w:vAlign w:val="bottom"/>
            <w:hideMark/>
          </w:tcPr>
          <w:p w14:paraId="4E2714B6" w14:textId="77777777" w:rsidR="00D3297E" w:rsidRPr="001660F9" w:rsidRDefault="00D3297E" w:rsidP="00586123">
            <w:pPr>
              <w:spacing w:line="240" w:lineRule="auto"/>
              <w:jc w:val="center"/>
              <w:rPr>
                <w:color w:val="000000"/>
              </w:rPr>
            </w:pPr>
            <w:r w:rsidRPr="001660F9">
              <w:rPr>
                <w:color w:val="000000"/>
              </w:rPr>
              <w:t>2.88</w:t>
            </w:r>
          </w:p>
        </w:tc>
        <w:tc>
          <w:tcPr>
            <w:tcW w:w="1000" w:type="dxa"/>
            <w:tcBorders>
              <w:top w:val="nil"/>
              <w:left w:val="nil"/>
              <w:bottom w:val="nil"/>
              <w:right w:val="nil"/>
            </w:tcBorders>
            <w:shd w:val="clear" w:color="auto" w:fill="auto"/>
            <w:noWrap/>
            <w:vAlign w:val="bottom"/>
            <w:hideMark/>
          </w:tcPr>
          <w:p w14:paraId="4C52635B" w14:textId="77777777" w:rsidR="00D3297E" w:rsidRPr="001660F9" w:rsidRDefault="00D3297E" w:rsidP="00586123">
            <w:pPr>
              <w:spacing w:line="240" w:lineRule="auto"/>
              <w:jc w:val="center"/>
              <w:rPr>
                <w:color w:val="000000"/>
              </w:rPr>
            </w:pPr>
            <w:r w:rsidRPr="001660F9">
              <w:rPr>
                <w:color w:val="000000"/>
              </w:rPr>
              <w:t>3</w:t>
            </w:r>
          </w:p>
        </w:tc>
        <w:tc>
          <w:tcPr>
            <w:tcW w:w="1060" w:type="dxa"/>
            <w:tcBorders>
              <w:top w:val="nil"/>
              <w:left w:val="nil"/>
              <w:bottom w:val="nil"/>
              <w:right w:val="nil"/>
            </w:tcBorders>
            <w:shd w:val="clear" w:color="auto" w:fill="auto"/>
            <w:noWrap/>
            <w:vAlign w:val="bottom"/>
            <w:hideMark/>
          </w:tcPr>
          <w:p w14:paraId="0FBA80B7" w14:textId="77777777" w:rsidR="00D3297E" w:rsidRPr="001660F9" w:rsidRDefault="00D3297E" w:rsidP="00586123">
            <w:pPr>
              <w:spacing w:line="240" w:lineRule="auto"/>
              <w:jc w:val="center"/>
              <w:rPr>
                <w:color w:val="000000"/>
              </w:rPr>
            </w:pPr>
            <w:r w:rsidRPr="001660F9">
              <w:rPr>
                <w:color w:val="000000"/>
              </w:rPr>
              <w:t>1-7</w:t>
            </w:r>
          </w:p>
        </w:tc>
      </w:tr>
      <w:tr w:rsidR="00D3297E" w:rsidRPr="001660F9" w14:paraId="2D2FB12C" w14:textId="77777777" w:rsidTr="00586123">
        <w:trPr>
          <w:trHeight w:val="340"/>
        </w:trPr>
        <w:tc>
          <w:tcPr>
            <w:tcW w:w="9214" w:type="dxa"/>
            <w:tcBorders>
              <w:top w:val="nil"/>
              <w:left w:val="nil"/>
              <w:bottom w:val="nil"/>
              <w:right w:val="nil"/>
            </w:tcBorders>
            <w:shd w:val="clear" w:color="auto" w:fill="auto"/>
            <w:noWrap/>
            <w:vAlign w:val="bottom"/>
            <w:hideMark/>
          </w:tcPr>
          <w:p w14:paraId="766D15C3" w14:textId="4FE9C7A8" w:rsidR="00D3297E" w:rsidRPr="001660F9" w:rsidRDefault="00DF41FB" w:rsidP="00586123">
            <w:pPr>
              <w:spacing w:line="240" w:lineRule="auto"/>
              <w:ind w:left="743" w:hanging="743"/>
              <w:rPr>
                <w:color w:val="000000"/>
              </w:rPr>
            </w:pPr>
            <w:r>
              <w:rPr>
                <w:color w:val="000000"/>
              </w:rPr>
              <w:t xml:space="preserve">  </w:t>
            </w:r>
            <w:r w:rsidR="00D3297E" w:rsidRPr="001660F9">
              <w:rPr>
                <w:color w:val="000000"/>
              </w:rPr>
              <w:t xml:space="preserve"> 16. Many women tend to exaggerate the problem of male violence</w:t>
            </w:r>
          </w:p>
        </w:tc>
        <w:tc>
          <w:tcPr>
            <w:tcW w:w="940" w:type="dxa"/>
            <w:tcBorders>
              <w:top w:val="nil"/>
              <w:left w:val="nil"/>
              <w:bottom w:val="nil"/>
              <w:right w:val="nil"/>
            </w:tcBorders>
            <w:shd w:val="clear" w:color="auto" w:fill="auto"/>
            <w:noWrap/>
            <w:vAlign w:val="bottom"/>
            <w:hideMark/>
          </w:tcPr>
          <w:p w14:paraId="51E8C1C4" w14:textId="77777777" w:rsidR="00D3297E" w:rsidRPr="001660F9" w:rsidRDefault="00D3297E" w:rsidP="00586123">
            <w:pPr>
              <w:spacing w:line="240" w:lineRule="auto"/>
              <w:jc w:val="center"/>
              <w:rPr>
                <w:color w:val="000000"/>
              </w:rPr>
            </w:pPr>
            <w:r w:rsidRPr="001660F9">
              <w:rPr>
                <w:color w:val="000000"/>
              </w:rPr>
              <w:t>2.18</w:t>
            </w:r>
          </w:p>
        </w:tc>
        <w:tc>
          <w:tcPr>
            <w:tcW w:w="1000" w:type="dxa"/>
            <w:tcBorders>
              <w:top w:val="nil"/>
              <w:left w:val="nil"/>
              <w:bottom w:val="nil"/>
              <w:right w:val="nil"/>
            </w:tcBorders>
            <w:shd w:val="clear" w:color="auto" w:fill="auto"/>
            <w:noWrap/>
            <w:vAlign w:val="bottom"/>
            <w:hideMark/>
          </w:tcPr>
          <w:p w14:paraId="695E5F2E" w14:textId="77777777" w:rsidR="00D3297E" w:rsidRPr="001660F9" w:rsidRDefault="00D3297E" w:rsidP="00586123">
            <w:pPr>
              <w:spacing w:line="240" w:lineRule="auto"/>
              <w:jc w:val="center"/>
              <w:rPr>
                <w:color w:val="000000"/>
              </w:rPr>
            </w:pPr>
            <w:r w:rsidRPr="001660F9">
              <w:rPr>
                <w:color w:val="000000"/>
              </w:rPr>
              <w:t>2</w:t>
            </w:r>
          </w:p>
        </w:tc>
        <w:tc>
          <w:tcPr>
            <w:tcW w:w="1060" w:type="dxa"/>
            <w:tcBorders>
              <w:top w:val="nil"/>
              <w:left w:val="nil"/>
              <w:bottom w:val="nil"/>
              <w:right w:val="nil"/>
            </w:tcBorders>
            <w:shd w:val="clear" w:color="auto" w:fill="auto"/>
            <w:noWrap/>
            <w:vAlign w:val="bottom"/>
            <w:hideMark/>
          </w:tcPr>
          <w:p w14:paraId="647665E3" w14:textId="77777777" w:rsidR="00D3297E" w:rsidRPr="001660F9" w:rsidRDefault="00D3297E" w:rsidP="00586123">
            <w:pPr>
              <w:spacing w:line="240" w:lineRule="auto"/>
              <w:jc w:val="center"/>
              <w:rPr>
                <w:color w:val="000000"/>
              </w:rPr>
            </w:pPr>
            <w:r w:rsidRPr="001660F9">
              <w:rPr>
                <w:color w:val="000000"/>
              </w:rPr>
              <w:t>1-6</w:t>
            </w:r>
            <w:r w:rsidRPr="001660F9">
              <w:rPr>
                <w:color w:val="000000"/>
                <w:vertAlign w:val="subscript"/>
              </w:rPr>
              <w:t>c</w:t>
            </w:r>
          </w:p>
        </w:tc>
      </w:tr>
      <w:tr w:rsidR="00D3297E" w:rsidRPr="001660F9" w14:paraId="29330A01" w14:textId="77777777" w:rsidTr="00586123">
        <w:trPr>
          <w:trHeight w:val="340"/>
        </w:trPr>
        <w:tc>
          <w:tcPr>
            <w:tcW w:w="9214" w:type="dxa"/>
            <w:tcBorders>
              <w:top w:val="nil"/>
              <w:left w:val="nil"/>
              <w:bottom w:val="nil"/>
              <w:right w:val="nil"/>
            </w:tcBorders>
            <w:shd w:val="clear" w:color="auto" w:fill="auto"/>
            <w:noWrap/>
            <w:vAlign w:val="bottom"/>
            <w:hideMark/>
          </w:tcPr>
          <w:p w14:paraId="19ACBA8E" w14:textId="482D4B5A" w:rsidR="00D3297E" w:rsidRPr="001660F9" w:rsidRDefault="00DF41FB" w:rsidP="00586123">
            <w:pPr>
              <w:spacing w:line="240" w:lineRule="auto"/>
              <w:ind w:left="601" w:hanging="601"/>
              <w:rPr>
                <w:color w:val="000000"/>
              </w:rPr>
            </w:pPr>
            <w:r>
              <w:rPr>
                <w:color w:val="000000"/>
              </w:rPr>
              <w:t xml:space="preserve">  </w:t>
            </w:r>
            <w:r w:rsidR="00D3297E" w:rsidRPr="001660F9">
              <w:rPr>
                <w:color w:val="000000"/>
              </w:rPr>
              <w:t xml:space="preserve"> 17. When a man urges his female partner to have sex, this cannot be called rape</w:t>
            </w:r>
          </w:p>
        </w:tc>
        <w:tc>
          <w:tcPr>
            <w:tcW w:w="940" w:type="dxa"/>
            <w:tcBorders>
              <w:top w:val="nil"/>
              <w:left w:val="nil"/>
              <w:bottom w:val="nil"/>
              <w:right w:val="nil"/>
            </w:tcBorders>
            <w:shd w:val="clear" w:color="auto" w:fill="auto"/>
            <w:noWrap/>
            <w:vAlign w:val="bottom"/>
            <w:hideMark/>
          </w:tcPr>
          <w:p w14:paraId="127D9DB3" w14:textId="77777777" w:rsidR="00D3297E" w:rsidRPr="001660F9" w:rsidRDefault="00D3297E" w:rsidP="00586123">
            <w:pPr>
              <w:spacing w:line="240" w:lineRule="auto"/>
              <w:jc w:val="center"/>
              <w:rPr>
                <w:color w:val="000000"/>
              </w:rPr>
            </w:pPr>
            <w:r w:rsidRPr="001660F9">
              <w:rPr>
                <w:color w:val="000000"/>
              </w:rPr>
              <w:t>3.07</w:t>
            </w:r>
            <w:r w:rsidRPr="001660F9">
              <w:rPr>
                <w:color w:val="000000"/>
                <w:vertAlign w:val="subscript"/>
              </w:rPr>
              <w:t>b</w:t>
            </w:r>
          </w:p>
        </w:tc>
        <w:tc>
          <w:tcPr>
            <w:tcW w:w="1000" w:type="dxa"/>
            <w:tcBorders>
              <w:top w:val="nil"/>
              <w:left w:val="nil"/>
              <w:bottom w:val="nil"/>
              <w:right w:val="nil"/>
            </w:tcBorders>
            <w:shd w:val="clear" w:color="auto" w:fill="auto"/>
            <w:noWrap/>
            <w:vAlign w:val="bottom"/>
            <w:hideMark/>
          </w:tcPr>
          <w:p w14:paraId="781793C5" w14:textId="77777777" w:rsidR="00D3297E" w:rsidRPr="001660F9" w:rsidRDefault="00D3297E" w:rsidP="00586123">
            <w:pPr>
              <w:spacing w:line="240" w:lineRule="auto"/>
              <w:jc w:val="center"/>
              <w:rPr>
                <w:color w:val="000000"/>
              </w:rPr>
            </w:pPr>
            <w:r w:rsidRPr="001660F9">
              <w:rPr>
                <w:color w:val="000000"/>
              </w:rPr>
              <w:t>3</w:t>
            </w:r>
          </w:p>
        </w:tc>
        <w:tc>
          <w:tcPr>
            <w:tcW w:w="1060" w:type="dxa"/>
            <w:tcBorders>
              <w:top w:val="nil"/>
              <w:left w:val="nil"/>
              <w:bottom w:val="nil"/>
              <w:right w:val="nil"/>
            </w:tcBorders>
            <w:shd w:val="clear" w:color="auto" w:fill="auto"/>
            <w:noWrap/>
            <w:vAlign w:val="bottom"/>
            <w:hideMark/>
          </w:tcPr>
          <w:p w14:paraId="3B8CF22A" w14:textId="77777777" w:rsidR="00D3297E" w:rsidRPr="001660F9" w:rsidRDefault="00D3297E" w:rsidP="00586123">
            <w:pPr>
              <w:spacing w:line="240" w:lineRule="auto"/>
              <w:jc w:val="center"/>
              <w:rPr>
                <w:color w:val="000000"/>
              </w:rPr>
            </w:pPr>
            <w:r w:rsidRPr="001660F9">
              <w:rPr>
                <w:color w:val="000000"/>
              </w:rPr>
              <w:t>1-7</w:t>
            </w:r>
          </w:p>
        </w:tc>
      </w:tr>
      <w:tr w:rsidR="00D3297E" w:rsidRPr="001660F9" w14:paraId="618B8582" w14:textId="77777777" w:rsidTr="00586123">
        <w:trPr>
          <w:trHeight w:val="340"/>
        </w:trPr>
        <w:tc>
          <w:tcPr>
            <w:tcW w:w="9214" w:type="dxa"/>
            <w:tcBorders>
              <w:top w:val="nil"/>
              <w:left w:val="nil"/>
              <w:bottom w:val="nil"/>
              <w:right w:val="nil"/>
            </w:tcBorders>
            <w:shd w:val="clear" w:color="auto" w:fill="auto"/>
            <w:noWrap/>
            <w:vAlign w:val="bottom"/>
            <w:hideMark/>
          </w:tcPr>
          <w:p w14:paraId="26138C8D" w14:textId="3765A7C0" w:rsidR="00D3297E" w:rsidRPr="001660F9" w:rsidRDefault="00DF41FB" w:rsidP="00586123">
            <w:pPr>
              <w:spacing w:line="240" w:lineRule="auto"/>
              <w:ind w:left="743" w:hanging="743"/>
              <w:rPr>
                <w:color w:val="000000"/>
              </w:rPr>
            </w:pPr>
            <w:r>
              <w:rPr>
                <w:color w:val="000000"/>
              </w:rPr>
              <w:lastRenderedPageBreak/>
              <w:t xml:space="preserve">  </w:t>
            </w:r>
            <w:r w:rsidR="00D3297E" w:rsidRPr="001660F9">
              <w:rPr>
                <w:color w:val="000000"/>
              </w:rPr>
              <w:t xml:space="preserve"> 18. When a single woman invites a single man to her flat she signals that she is not averse to having sex</w:t>
            </w:r>
          </w:p>
        </w:tc>
        <w:tc>
          <w:tcPr>
            <w:tcW w:w="940" w:type="dxa"/>
            <w:tcBorders>
              <w:top w:val="nil"/>
              <w:left w:val="nil"/>
              <w:bottom w:val="nil"/>
              <w:right w:val="nil"/>
            </w:tcBorders>
            <w:shd w:val="clear" w:color="auto" w:fill="auto"/>
            <w:noWrap/>
            <w:vAlign w:val="bottom"/>
            <w:hideMark/>
          </w:tcPr>
          <w:p w14:paraId="5703BBF0" w14:textId="55DD0809" w:rsidR="00D3297E" w:rsidRPr="001660F9" w:rsidRDefault="00D3297E" w:rsidP="00586123">
            <w:pPr>
              <w:spacing w:line="240" w:lineRule="auto"/>
              <w:jc w:val="center"/>
              <w:rPr>
                <w:color w:val="000000"/>
              </w:rPr>
            </w:pPr>
            <w:r w:rsidRPr="001660F9">
              <w:rPr>
                <w:color w:val="000000"/>
              </w:rPr>
              <w:t>2.3</w:t>
            </w:r>
            <w:r w:rsidR="002314E5">
              <w:rPr>
                <w:color w:val="000000"/>
              </w:rPr>
              <w:t>0</w:t>
            </w:r>
          </w:p>
        </w:tc>
        <w:tc>
          <w:tcPr>
            <w:tcW w:w="1000" w:type="dxa"/>
            <w:tcBorders>
              <w:top w:val="nil"/>
              <w:left w:val="nil"/>
              <w:bottom w:val="nil"/>
              <w:right w:val="nil"/>
            </w:tcBorders>
            <w:shd w:val="clear" w:color="auto" w:fill="auto"/>
            <w:noWrap/>
            <w:vAlign w:val="bottom"/>
            <w:hideMark/>
          </w:tcPr>
          <w:p w14:paraId="454DC14D" w14:textId="77777777" w:rsidR="00D3297E" w:rsidRPr="001660F9" w:rsidRDefault="00D3297E" w:rsidP="00586123">
            <w:pPr>
              <w:spacing w:line="240" w:lineRule="auto"/>
              <w:jc w:val="center"/>
              <w:rPr>
                <w:color w:val="000000"/>
              </w:rPr>
            </w:pPr>
            <w:r w:rsidRPr="001660F9">
              <w:rPr>
                <w:color w:val="000000"/>
              </w:rPr>
              <w:t>2</w:t>
            </w:r>
          </w:p>
        </w:tc>
        <w:tc>
          <w:tcPr>
            <w:tcW w:w="1060" w:type="dxa"/>
            <w:tcBorders>
              <w:top w:val="nil"/>
              <w:left w:val="nil"/>
              <w:bottom w:val="nil"/>
              <w:right w:val="nil"/>
            </w:tcBorders>
            <w:shd w:val="clear" w:color="auto" w:fill="auto"/>
            <w:noWrap/>
            <w:vAlign w:val="bottom"/>
            <w:hideMark/>
          </w:tcPr>
          <w:p w14:paraId="52FD7C04" w14:textId="77777777" w:rsidR="00D3297E" w:rsidRPr="001660F9" w:rsidRDefault="00D3297E" w:rsidP="00586123">
            <w:pPr>
              <w:spacing w:line="240" w:lineRule="auto"/>
              <w:jc w:val="center"/>
              <w:rPr>
                <w:color w:val="000000"/>
              </w:rPr>
            </w:pPr>
            <w:r w:rsidRPr="001660F9">
              <w:rPr>
                <w:color w:val="000000"/>
              </w:rPr>
              <w:t>1-7</w:t>
            </w:r>
          </w:p>
        </w:tc>
      </w:tr>
      <w:tr w:rsidR="00D3297E" w:rsidRPr="001660F9" w14:paraId="261D92AD" w14:textId="77777777" w:rsidTr="00586123">
        <w:trPr>
          <w:trHeight w:val="340"/>
        </w:trPr>
        <w:tc>
          <w:tcPr>
            <w:tcW w:w="9214" w:type="dxa"/>
            <w:tcBorders>
              <w:top w:val="nil"/>
              <w:left w:val="nil"/>
              <w:bottom w:val="nil"/>
              <w:right w:val="nil"/>
            </w:tcBorders>
            <w:shd w:val="clear" w:color="auto" w:fill="auto"/>
            <w:noWrap/>
            <w:vAlign w:val="bottom"/>
            <w:hideMark/>
          </w:tcPr>
          <w:p w14:paraId="408DC72F" w14:textId="0531D9E6" w:rsidR="00D3297E" w:rsidRPr="001660F9" w:rsidRDefault="00DF41FB" w:rsidP="00586123">
            <w:pPr>
              <w:spacing w:line="240" w:lineRule="auto"/>
              <w:ind w:left="743" w:hanging="743"/>
              <w:rPr>
                <w:color w:val="000000"/>
              </w:rPr>
            </w:pPr>
            <w:r>
              <w:rPr>
                <w:color w:val="000000"/>
              </w:rPr>
              <w:t xml:space="preserve">  </w:t>
            </w:r>
            <w:r w:rsidR="00D3297E" w:rsidRPr="001660F9">
              <w:rPr>
                <w:color w:val="000000"/>
              </w:rPr>
              <w:t xml:space="preserve"> 19. When politicians deal with the topic of rape, they do so mainly because this topic is likely to attract the attention of the media</w:t>
            </w:r>
          </w:p>
        </w:tc>
        <w:tc>
          <w:tcPr>
            <w:tcW w:w="940" w:type="dxa"/>
            <w:tcBorders>
              <w:top w:val="nil"/>
              <w:left w:val="nil"/>
              <w:bottom w:val="nil"/>
              <w:right w:val="nil"/>
            </w:tcBorders>
            <w:shd w:val="clear" w:color="auto" w:fill="auto"/>
            <w:noWrap/>
            <w:vAlign w:val="bottom"/>
            <w:hideMark/>
          </w:tcPr>
          <w:p w14:paraId="1A1F32B0" w14:textId="77777777" w:rsidR="00D3297E" w:rsidRPr="001660F9" w:rsidRDefault="00D3297E" w:rsidP="00586123">
            <w:pPr>
              <w:spacing w:line="240" w:lineRule="auto"/>
              <w:jc w:val="center"/>
              <w:rPr>
                <w:color w:val="000000"/>
              </w:rPr>
            </w:pPr>
            <w:r w:rsidRPr="001660F9">
              <w:rPr>
                <w:color w:val="000000"/>
              </w:rPr>
              <w:t>4.36</w:t>
            </w:r>
            <w:r w:rsidRPr="001660F9">
              <w:rPr>
                <w:color w:val="000000"/>
                <w:vertAlign w:val="subscript"/>
              </w:rPr>
              <w:t>a</w:t>
            </w:r>
          </w:p>
        </w:tc>
        <w:tc>
          <w:tcPr>
            <w:tcW w:w="1000" w:type="dxa"/>
            <w:tcBorders>
              <w:top w:val="nil"/>
              <w:left w:val="nil"/>
              <w:bottom w:val="nil"/>
              <w:right w:val="nil"/>
            </w:tcBorders>
            <w:shd w:val="clear" w:color="auto" w:fill="auto"/>
            <w:noWrap/>
            <w:vAlign w:val="bottom"/>
            <w:hideMark/>
          </w:tcPr>
          <w:p w14:paraId="39E850E5" w14:textId="77777777" w:rsidR="00D3297E" w:rsidRPr="001660F9" w:rsidRDefault="00D3297E" w:rsidP="00586123">
            <w:pPr>
              <w:spacing w:line="240" w:lineRule="auto"/>
              <w:jc w:val="center"/>
              <w:rPr>
                <w:color w:val="000000"/>
              </w:rPr>
            </w:pPr>
            <w:r w:rsidRPr="001660F9">
              <w:rPr>
                <w:color w:val="000000"/>
              </w:rPr>
              <w:t>5</w:t>
            </w:r>
          </w:p>
        </w:tc>
        <w:tc>
          <w:tcPr>
            <w:tcW w:w="1060" w:type="dxa"/>
            <w:tcBorders>
              <w:top w:val="nil"/>
              <w:left w:val="nil"/>
              <w:bottom w:val="nil"/>
              <w:right w:val="nil"/>
            </w:tcBorders>
            <w:shd w:val="clear" w:color="auto" w:fill="auto"/>
            <w:noWrap/>
            <w:vAlign w:val="bottom"/>
            <w:hideMark/>
          </w:tcPr>
          <w:p w14:paraId="20743B8F" w14:textId="77777777" w:rsidR="00D3297E" w:rsidRPr="001660F9" w:rsidRDefault="00D3297E" w:rsidP="00586123">
            <w:pPr>
              <w:spacing w:line="240" w:lineRule="auto"/>
              <w:jc w:val="center"/>
              <w:rPr>
                <w:color w:val="000000"/>
              </w:rPr>
            </w:pPr>
            <w:r w:rsidRPr="001660F9">
              <w:rPr>
                <w:color w:val="000000"/>
              </w:rPr>
              <w:t>1-7</w:t>
            </w:r>
          </w:p>
        </w:tc>
      </w:tr>
      <w:tr w:rsidR="00D3297E" w:rsidRPr="001660F9" w14:paraId="2FDC8D1C" w14:textId="77777777" w:rsidTr="00586123">
        <w:trPr>
          <w:trHeight w:val="340"/>
        </w:trPr>
        <w:tc>
          <w:tcPr>
            <w:tcW w:w="9214" w:type="dxa"/>
            <w:tcBorders>
              <w:top w:val="nil"/>
              <w:left w:val="nil"/>
              <w:bottom w:val="nil"/>
              <w:right w:val="nil"/>
            </w:tcBorders>
            <w:shd w:val="clear" w:color="auto" w:fill="auto"/>
            <w:noWrap/>
            <w:vAlign w:val="bottom"/>
            <w:hideMark/>
          </w:tcPr>
          <w:p w14:paraId="5790B363" w14:textId="7B507BC1" w:rsidR="00D3297E" w:rsidRPr="001660F9" w:rsidRDefault="00DF41FB" w:rsidP="00586123">
            <w:pPr>
              <w:spacing w:line="240" w:lineRule="auto"/>
              <w:ind w:left="743" w:hanging="743"/>
              <w:rPr>
                <w:color w:val="000000"/>
              </w:rPr>
            </w:pPr>
            <w:r>
              <w:rPr>
                <w:color w:val="000000"/>
              </w:rPr>
              <w:t xml:space="preserve">  </w:t>
            </w:r>
            <w:r w:rsidR="00D3297E" w:rsidRPr="001660F9">
              <w:rPr>
                <w:color w:val="000000"/>
              </w:rPr>
              <w:t xml:space="preserve"> 20. When defining "marital rape", there is no clear-cut distinction between normal conjugal intercourse and rape</w:t>
            </w:r>
          </w:p>
        </w:tc>
        <w:tc>
          <w:tcPr>
            <w:tcW w:w="940" w:type="dxa"/>
            <w:tcBorders>
              <w:top w:val="nil"/>
              <w:left w:val="nil"/>
              <w:bottom w:val="nil"/>
              <w:right w:val="nil"/>
            </w:tcBorders>
            <w:shd w:val="clear" w:color="auto" w:fill="auto"/>
            <w:noWrap/>
            <w:vAlign w:val="bottom"/>
            <w:hideMark/>
          </w:tcPr>
          <w:p w14:paraId="653ED42C" w14:textId="77777777" w:rsidR="00D3297E" w:rsidRPr="001660F9" w:rsidRDefault="00D3297E" w:rsidP="00586123">
            <w:pPr>
              <w:spacing w:line="240" w:lineRule="auto"/>
              <w:jc w:val="center"/>
              <w:rPr>
                <w:color w:val="000000"/>
              </w:rPr>
            </w:pPr>
            <w:r w:rsidRPr="001660F9">
              <w:rPr>
                <w:color w:val="000000"/>
              </w:rPr>
              <w:t>1.87</w:t>
            </w:r>
            <w:r w:rsidRPr="001660F9">
              <w:rPr>
                <w:color w:val="000000"/>
                <w:vertAlign w:val="subscript"/>
              </w:rPr>
              <w:t>b</w:t>
            </w:r>
          </w:p>
        </w:tc>
        <w:tc>
          <w:tcPr>
            <w:tcW w:w="1000" w:type="dxa"/>
            <w:tcBorders>
              <w:top w:val="nil"/>
              <w:left w:val="nil"/>
              <w:bottom w:val="nil"/>
              <w:right w:val="nil"/>
            </w:tcBorders>
            <w:shd w:val="clear" w:color="auto" w:fill="auto"/>
            <w:noWrap/>
            <w:vAlign w:val="bottom"/>
            <w:hideMark/>
          </w:tcPr>
          <w:p w14:paraId="365E9BD0" w14:textId="77777777" w:rsidR="00D3297E" w:rsidRPr="001660F9" w:rsidRDefault="00D3297E" w:rsidP="00586123">
            <w:pPr>
              <w:spacing w:line="240" w:lineRule="auto"/>
              <w:jc w:val="center"/>
              <w:rPr>
                <w:color w:val="000000"/>
              </w:rPr>
            </w:pPr>
            <w:r w:rsidRPr="001660F9">
              <w:rPr>
                <w:color w:val="000000"/>
              </w:rPr>
              <w:t>1</w:t>
            </w:r>
          </w:p>
        </w:tc>
        <w:tc>
          <w:tcPr>
            <w:tcW w:w="1060" w:type="dxa"/>
            <w:tcBorders>
              <w:top w:val="nil"/>
              <w:left w:val="nil"/>
              <w:bottom w:val="nil"/>
              <w:right w:val="nil"/>
            </w:tcBorders>
            <w:shd w:val="clear" w:color="auto" w:fill="auto"/>
            <w:noWrap/>
            <w:vAlign w:val="bottom"/>
            <w:hideMark/>
          </w:tcPr>
          <w:p w14:paraId="668C4FC1" w14:textId="77777777" w:rsidR="00D3297E" w:rsidRPr="001660F9" w:rsidRDefault="00D3297E" w:rsidP="00586123">
            <w:pPr>
              <w:spacing w:line="240" w:lineRule="auto"/>
              <w:jc w:val="center"/>
              <w:rPr>
                <w:color w:val="000000"/>
              </w:rPr>
            </w:pPr>
            <w:r w:rsidRPr="001660F9">
              <w:rPr>
                <w:color w:val="000000"/>
              </w:rPr>
              <w:t>1-7</w:t>
            </w:r>
          </w:p>
        </w:tc>
      </w:tr>
      <w:tr w:rsidR="00D3297E" w:rsidRPr="001660F9" w14:paraId="52976CBA" w14:textId="77777777" w:rsidTr="00586123">
        <w:trPr>
          <w:trHeight w:val="340"/>
        </w:trPr>
        <w:tc>
          <w:tcPr>
            <w:tcW w:w="9214" w:type="dxa"/>
            <w:tcBorders>
              <w:top w:val="nil"/>
              <w:left w:val="nil"/>
              <w:bottom w:val="nil"/>
              <w:right w:val="nil"/>
            </w:tcBorders>
            <w:shd w:val="clear" w:color="auto" w:fill="auto"/>
            <w:noWrap/>
            <w:vAlign w:val="bottom"/>
            <w:hideMark/>
          </w:tcPr>
          <w:p w14:paraId="3B1E3786" w14:textId="21CE0FF4" w:rsidR="00D3297E" w:rsidRPr="001660F9" w:rsidRDefault="00DF41FB" w:rsidP="00586123">
            <w:pPr>
              <w:spacing w:line="240" w:lineRule="auto"/>
              <w:ind w:left="743" w:hanging="743"/>
              <w:rPr>
                <w:color w:val="000000"/>
              </w:rPr>
            </w:pPr>
            <w:r>
              <w:rPr>
                <w:color w:val="000000"/>
              </w:rPr>
              <w:t xml:space="preserve">  </w:t>
            </w:r>
            <w:r w:rsidR="00D3297E" w:rsidRPr="001660F9">
              <w:rPr>
                <w:color w:val="000000"/>
              </w:rPr>
              <w:t xml:space="preserve"> 21. A man's sexuality functions like a steam boiler - when the pressure gets too high, he has to "let of steam"</w:t>
            </w:r>
          </w:p>
        </w:tc>
        <w:tc>
          <w:tcPr>
            <w:tcW w:w="940" w:type="dxa"/>
            <w:tcBorders>
              <w:top w:val="nil"/>
              <w:left w:val="nil"/>
              <w:bottom w:val="nil"/>
              <w:right w:val="nil"/>
            </w:tcBorders>
            <w:shd w:val="clear" w:color="auto" w:fill="auto"/>
            <w:noWrap/>
            <w:vAlign w:val="bottom"/>
            <w:hideMark/>
          </w:tcPr>
          <w:p w14:paraId="1144ED0B" w14:textId="77777777" w:rsidR="00D3297E" w:rsidRPr="001660F9" w:rsidRDefault="00D3297E" w:rsidP="00586123">
            <w:pPr>
              <w:spacing w:line="240" w:lineRule="auto"/>
              <w:jc w:val="center"/>
              <w:rPr>
                <w:color w:val="000000"/>
              </w:rPr>
            </w:pPr>
            <w:r w:rsidRPr="001660F9">
              <w:rPr>
                <w:color w:val="000000"/>
              </w:rPr>
              <w:t>2.27</w:t>
            </w:r>
          </w:p>
        </w:tc>
        <w:tc>
          <w:tcPr>
            <w:tcW w:w="1000" w:type="dxa"/>
            <w:tcBorders>
              <w:top w:val="nil"/>
              <w:left w:val="nil"/>
              <w:bottom w:val="nil"/>
              <w:right w:val="nil"/>
            </w:tcBorders>
            <w:shd w:val="clear" w:color="auto" w:fill="auto"/>
            <w:noWrap/>
            <w:vAlign w:val="bottom"/>
            <w:hideMark/>
          </w:tcPr>
          <w:p w14:paraId="1C467EEA" w14:textId="77777777" w:rsidR="00D3297E" w:rsidRPr="001660F9" w:rsidRDefault="00D3297E" w:rsidP="00586123">
            <w:pPr>
              <w:spacing w:line="240" w:lineRule="auto"/>
              <w:jc w:val="center"/>
              <w:rPr>
                <w:color w:val="000000"/>
              </w:rPr>
            </w:pPr>
            <w:r w:rsidRPr="001660F9">
              <w:rPr>
                <w:color w:val="000000"/>
              </w:rPr>
              <w:t>2</w:t>
            </w:r>
          </w:p>
        </w:tc>
        <w:tc>
          <w:tcPr>
            <w:tcW w:w="1060" w:type="dxa"/>
            <w:tcBorders>
              <w:top w:val="nil"/>
              <w:left w:val="nil"/>
              <w:bottom w:val="nil"/>
              <w:right w:val="nil"/>
            </w:tcBorders>
            <w:shd w:val="clear" w:color="auto" w:fill="auto"/>
            <w:noWrap/>
            <w:vAlign w:val="bottom"/>
            <w:hideMark/>
          </w:tcPr>
          <w:p w14:paraId="577F8829" w14:textId="77777777" w:rsidR="00D3297E" w:rsidRPr="001660F9" w:rsidRDefault="00D3297E" w:rsidP="00586123">
            <w:pPr>
              <w:spacing w:line="240" w:lineRule="auto"/>
              <w:jc w:val="center"/>
              <w:rPr>
                <w:color w:val="000000"/>
              </w:rPr>
            </w:pPr>
            <w:r w:rsidRPr="001660F9">
              <w:rPr>
                <w:color w:val="000000"/>
              </w:rPr>
              <w:t>1-7</w:t>
            </w:r>
          </w:p>
        </w:tc>
      </w:tr>
      <w:tr w:rsidR="00D3297E" w:rsidRPr="001660F9" w14:paraId="32B50991" w14:textId="77777777" w:rsidTr="00586123">
        <w:trPr>
          <w:trHeight w:val="340"/>
        </w:trPr>
        <w:tc>
          <w:tcPr>
            <w:tcW w:w="9214" w:type="dxa"/>
            <w:tcBorders>
              <w:top w:val="nil"/>
              <w:left w:val="nil"/>
              <w:bottom w:val="nil"/>
              <w:right w:val="nil"/>
            </w:tcBorders>
            <w:shd w:val="clear" w:color="auto" w:fill="auto"/>
            <w:noWrap/>
            <w:vAlign w:val="bottom"/>
            <w:hideMark/>
          </w:tcPr>
          <w:p w14:paraId="163301A0" w14:textId="39C78C88" w:rsidR="00D3297E" w:rsidRPr="001660F9" w:rsidRDefault="00DF41FB" w:rsidP="00586123">
            <w:pPr>
              <w:spacing w:line="240" w:lineRule="auto"/>
              <w:ind w:left="743" w:hanging="743"/>
              <w:rPr>
                <w:color w:val="000000"/>
              </w:rPr>
            </w:pPr>
            <w:r>
              <w:rPr>
                <w:color w:val="000000"/>
              </w:rPr>
              <w:t xml:space="preserve">  </w:t>
            </w:r>
            <w:r w:rsidR="00D3297E" w:rsidRPr="001660F9">
              <w:rPr>
                <w:color w:val="000000"/>
              </w:rPr>
              <w:t xml:space="preserve"> 22. Women often accuse their husbands of marital rape just to reta</w:t>
            </w:r>
            <w:r w:rsidR="00D3297E">
              <w:rPr>
                <w:color w:val="000000"/>
              </w:rPr>
              <w:t>liate for a failed relationship</w:t>
            </w:r>
          </w:p>
        </w:tc>
        <w:tc>
          <w:tcPr>
            <w:tcW w:w="940" w:type="dxa"/>
            <w:tcBorders>
              <w:top w:val="nil"/>
              <w:left w:val="nil"/>
              <w:bottom w:val="nil"/>
              <w:right w:val="nil"/>
            </w:tcBorders>
            <w:shd w:val="clear" w:color="auto" w:fill="auto"/>
            <w:noWrap/>
            <w:vAlign w:val="bottom"/>
            <w:hideMark/>
          </w:tcPr>
          <w:p w14:paraId="3DD219BD" w14:textId="1B8A3603" w:rsidR="00D3297E" w:rsidRPr="001660F9" w:rsidRDefault="00D3297E" w:rsidP="00586123">
            <w:pPr>
              <w:spacing w:line="240" w:lineRule="auto"/>
              <w:jc w:val="center"/>
              <w:rPr>
                <w:color w:val="000000"/>
              </w:rPr>
            </w:pPr>
            <w:r w:rsidRPr="001660F9">
              <w:rPr>
                <w:color w:val="000000"/>
              </w:rPr>
              <w:t>2.4</w:t>
            </w:r>
            <w:r w:rsidR="002314E5">
              <w:rPr>
                <w:color w:val="000000"/>
              </w:rPr>
              <w:t>0</w:t>
            </w:r>
          </w:p>
        </w:tc>
        <w:tc>
          <w:tcPr>
            <w:tcW w:w="1000" w:type="dxa"/>
            <w:tcBorders>
              <w:top w:val="nil"/>
              <w:left w:val="nil"/>
              <w:bottom w:val="nil"/>
              <w:right w:val="nil"/>
            </w:tcBorders>
            <w:shd w:val="clear" w:color="auto" w:fill="auto"/>
            <w:noWrap/>
            <w:vAlign w:val="bottom"/>
            <w:hideMark/>
          </w:tcPr>
          <w:p w14:paraId="40322D7E" w14:textId="77777777" w:rsidR="00D3297E" w:rsidRPr="001660F9" w:rsidRDefault="00D3297E" w:rsidP="00586123">
            <w:pPr>
              <w:spacing w:line="240" w:lineRule="auto"/>
              <w:jc w:val="center"/>
              <w:rPr>
                <w:color w:val="000000"/>
              </w:rPr>
            </w:pPr>
            <w:r w:rsidRPr="001660F9">
              <w:rPr>
                <w:color w:val="000000"/>
              </w:rPr>
              <w:t>2</w:t>
            </w:r>
          </w:p>
        </w:tc>
        <w:tc>
          <w:tcPr>
            <w:tcW w:w="1060" w:type="dxa"/>
            <w:tcBorders>
              <w:top w:val="nil"/>
              <w:left w:val="nil"/>
              <w:bottom w:val="nil"/>
              <w:right w:val="nil"/>
            </w:tcBorders>
            <w:shd w:val="clear" w:color="auto" w:fill="auto"/>
            <w:noWrap/>
            <w:vAlign w:val="bottom"/>
            <w:hideMark/>
          </w:tcPr>
          <w:p w14:paraId="60081FB3" w14:textId="77777777" w:rsidR="00D3297E" w:rsidRPr="001660F9" w:rsidRDefault="00D3297E" w:rsidP="00586123">
            <w:pPr>
              <w:spacing w:line="240" w:lineRule="auto"/>
              <w:jc w:val="center"/>
              <w:rPr>
                <w:color w:val="000000"/>
              </w:rPr>
            </w:pPr>
            <w:r w:rsidRPr="001660F9">
              <w:rPr>
                <w:color w:val="000000"/>
              </w:rPr>
              <w:t>1-7</w:t>
            </w:r>
          </w:p>
        </w:tc>
      </w:tr>
      <w:tr w:rsidR="00D3297E" w:rsidRPr="001660F9" w14:paraId="16ECB271" w14:textId="77777777" w:rsidTr="00586123">
        <w:trPr>
          <w:trHeight w:val="340"/>
        </w:trPr>
        <w:tc>
          <w:tcPr>
            <w:tcW w:w="9214" w:type="dxa"/>
            <w:tcBorders>
              <w:top w:val="nil"/>
              <w:left w:val="nil"/>
              <w:bottom w:val="nil"/>
              <w:right w:val="nil"/>
            </w:tcBorders>
            <w:shd w:val="clear" w:color="auto" w:fill="auto"/>
            <w:noWrap/>
            <w:vAlign w:val="bottom"/>
            <w:hideMark/>
          </w:tcPr>
          <w:p w14:paraId="663CDCF6" w14:textId="6FE01D52" w:rsidR="00D3297E" w:rsidRPr="001660F9" w:rsidRDefault="00DF41FB" w:rsidP="00586123">
            <w:pPr>
              <w:spacing w:line="240" w:lineRule="auto"/>
              <w:ind w:left="743" w:hanging="743"/>
              <w:rPr>
                <w:color w:val="000000"/>
              </w:rPr>
            </w:pPr>
            <w:r>
              <w:rPr>
                <w:color w:val="000000"/>
              </w:rPr>
              <w:t xml:space="preserve">  </w:t>
            </w:r>
            <w:r w:rsidR="00D3297E" w:rsidRPr="001660F9">
              <w:rPr>
                <w:color w:val="000000"/>
              </w:rPr>
              <w:t xml:space="preserve"> 23. The discussion about sexual harassment on the job has mainly resulted in many a harmless behaviour being misinterpreted as </w:t>
            </w:r>
            <w:proofErr w:type="spellStart"/>
            <w:r w:rsidR="00D3297E" w:rsidRPr="001660F9">
              <w:rPr>
                <w:color w:val="000000"/>
              </w:rPr>
              <w:t>harrassment</w:t>
            </w:r>
            <w:proofErr w:type="spellEnd"/>
          </w:p>
        </w:tc>
        <w:tc>
          <w:tcPr>
            <w:tcW w:w="940" w:type="dxa"/>
            <w:tcBorders>
              <w:top w:val="nil"/>
              <w:left w:val="nil"/>
              <w:bottom w:val="nil"/>
              <w:right w:val="nil"/>
            </w:tcBorders>
            <w:shd w:val="clear" w:color="auto" w:fill="auto"/>
            <w:noWrap/>
            <w:vAlign w:val="bottom"/>
            <w:hideMark/>
          </w:tcPr>
          <w:p w14:paraId="47F5A8AD" w14:textId="77777777" w:rsidR="00D3297E" w:rsidRPr="001660F9" w:rsidRDefault="00D3297E" w:rsidP="00586123">
            <w:pPr>
              <w:spacing w:line="240" w:lineRule="auto"/>
              <w:jc w:val="center"/>
              <w:rPr>
                <w:color w:val="000000"/>
              </w:rPr>
            </w:pPr>
            <w:r w:rsidRPr="001660F9">
              <w:rPr>
                <w:color w:val="000000"/>
              </w:rPr>
              <w:t>3.18</w:t>
            </w:r>
            <w:r w:rsidRPr="001660F9">
              <w:rPr>
                <w:color w:val="000000"/>
                <w:vertAlign w:val="subscript"/>
              </w:rPr>
              <w:t>b</w:t>
            </w:r>
          </w:p>
        </w:tc>
        <w:tc>
          <w:tcPr>
            <w:tcW w:w="1000" w:type="dxa"/>
            <w:tcBorders>
              <w:top w:val="nil"/>
              <w:left w:val="nil"/>
              <w:bottom w:val="nil"/>
              <w:right w:val="nil"/>
            </w:tcBorders>
            <w:shd w:val="clear" w:color="auto" w:fill="auto"/>
            <w:noWrap/>
            <w:vAlign w:val="bottom"/>
            <w:hideMark/>
          </w:tcPr>
          <w:p w14:paraId="3654D07C" w14:textId="77777777" w:rsidR="00D3297E" w:rsidRPr="001660F9" w:rsidRDefault="00D3297E" w:rsidP="00586123">
            <w:pPr>
              <w:spacing w:line="240" w:lineRule="auto"/>
              <w:jc w:val="center"/>
              <w:rPr>
                <w:color w:val="000000"/>
              </w:rPr>
            </w:pPr>
            <w:r w:rsidRPr="001660F9">
              <w:rPr>
                <w:color w:val="000000"/>
              </w:rPr>
              <w:t>3</w:t>
            </w:r>
          </w:p>
        </w:tc>
        <w:tc>
          <w:tcPr>
            <w:tcW w:w="1060" w:type="dxa"/>
            <w:tcBorders>
              <w:top w:val="nil"/>
              <w:left w:val="nil"/>
              <w:bottom w:val="nil"/>
              <w:right w:val="nil"/>
            </w:tcBorders>
            <w:shd w:val="clear" w:color="auto" w:fill="auto"/>
            <w:noWrap/>
            <w:vAlign w:val="bottom"/>
            <w:hideMark/>
          </w:tcPr>
          <w:p w14:paraId="6ECF0481" w14:textId="77777777" w:rsidR="00D3297E" w:rsidRPr="001660F9" w:rsidRDefault="00D3297E" w:rsidP="00586123">
            <w:pPr>
              <w:spacing w:line="240" w:lineRule="auto"/>
              <w:jc w:val="center"/>
              <w:rPr>
                <w:color w:val="000000"/>
              </w:rPr>
            </w:pPr>
            <w:r w:rsidRPr="001660F9">
              <w:rPr>
                <w:color w:val="000000"/>
              </w:rPr>
              <w:t>1-7</w:t>
            </w:r>
          </w:p>
        </w:tc>
      </w:tr>
      <w:tr w:rsidR="00D3297E" w:rsidRPr="001660F9" w14:paraId="12C67F5F" w14:textId="77777777" w:rsidTr="00586123">
        <w:trPr>
          <w:trHeight w:val="340"/>
        </w:trPr>
        <w:tc>
          <w:tcPr>
            <w:tcW w:w="9214" w:type="dxa"/>
            <w:tcBorders>
              <w:top w:val="nil"/>
              <w:left w:val="nil"/>
              <w:bottom w:val="nil"/>
              <w:right w:val="nil"/>
            </w:tcBorders>
            <w:shd w:val="clear" w:color="auto" w:fill="auto"/>
            <w:noWrap/>
            <w:vAlign w:val="bottom"/>
            <w:hideMark/>
          </w:tcPr>
          <w:p w14:paraId="118649FB" w14:textId="6ED58A50" w:rsidR="00D3297E" w:rsidRPr="001660F9" w:rsidRDefault="00DF41FB" w:rsidP="00586123">
            <w:pPr>
              <w:spacing w:line="240" w:lineRule="auto"/>
              <w:ind w:left="743" w:hanging="743"/>
              <w:rPr>
                <w:color w:val="000000"/>
              </w:rPr>
            </w:pPr>
            <w:r>
              <w:rPr>
                <w:color w:val="000000"/>
              </w:rPr>
              <w:t xml:space="preserve">  </w:t>
            </w:r>
            <w:r w:rsidR="00D3297E" w:rsidRPr="001660F9">
              <w:rPr>
                <w:color w:val="000000"/>
              </w:rPr>
              <w:t xml:space="preserve"> 24. In dating situations the general expectation is that the woman "hits the brakes" and the man "pushes ahead"</w:t>
            </w:r>
          </w:p>
        </w:tc>
        <w:tc>
          <w:tcPr>
            <w:tcW w:w="940" w:type="dxa"/>
            <w:tcBorders>
              <w:top w:val="nil"/>
              <w:left w:val="nil"/>
              <w:bottom w:val="nil"/>
              <w:right w:val="nil"/>
            </w:tcBorders>
            <w:shd w:val="clear" w:color="auto" w:fill="auto"/>
            <w:noWrap/>
            <w:vAlign w:val="bottom"/>
            <w:hideMark/>
          </w:tcPr>
          <w:p w14:paraId="67D0ED1C" w14:textId="77777777" w:rsidR="00D3297E" w:rsidRPr="001660F9" w:rsidRDefault="00D3297E" w:rsidP="00586123">
            <w:pPr>
              <w:spacing w:line="240" w:lineRule="auto"/>
              <w:jc w:val="center"/>
              <w:rPr>
                <w:color w:val="000000"/>
              </w:rPr>
            </w:pPr>
            <w:r w:rsidRPr="001660F9">
              <w:rPr>
                <w:color w:val="000000"/>
              </w:rPr>
              <w:t>2.66</w:t>
            </w:r>
          </w:p>
        </w:tc>
        <w:tc>
          <w:tcPr>
            <w:tcW w:w="1000" w:type="dxa"/>
            <w:tcBorders>
              <w:top w:val="nil"/>
              <w:left w:val="nil"/>
              <w:bottom w:val="nil"/>
              <w:right w:val="nil"/>
            </w:tcBorders>
            <w:shd w:val="clear" w:color="auto" w:fill="auto"/>
            <w:noWrap/>
            <w:vAlign w:val="bottom"/>
            <w:hideMark/>
          </w:tcPr>
          <w:p w14:paraId="55253D96" w14:textId="77777777" w:rsidR="00D3297E" w:rsidRPr="001660F9" w:rsidRDefault="00D3297E" w:rsidP="00586123">
            <w:pPr>
              <w:spacing w:line="240" w:lineRule="auto"/>
              <w:jc w:val="center"/>
              <w:rPr>
                <w:color w:val="000000"/>
              </w:rPr>
            </w:pPr>
            <w:r w:rsidRPr="001660F9">
              <w:rPr>
                <w:color w:val="000000"/>
              </w:rPr>
              <w:t>2</w:t>
            </w:r>
          </w:p>
        </w:tc>
        <w:tc>
          <w:tcPr>
            <w:tcW w:w="1060" w:type="dxa"/>
            <w:tcBorders>
              <w:top w:val="nil"/>
              <w:left w:val="nil"/>
              <w:bottom w:val="nil"/>
              <w:right w:val="nil"/>
            </w:tcBorders>
            <w:shd w:val="clear" w:color="auto" w:fill="auto"/>
            <w:noWrap/>
            <w:vAlign w:val="bottom"/>
            <w:hideMark/>
          </w:tcPr>
          <w:p w14:paraId="10B88B59" w14:textId="77777777" w:rsidR="00D3297E" w:rsidRPr="001660F9" w:rsidRDefault="00D3297E" w:rsidP="00586123">
            <w:pPr>
              <w:spacing w:line="240" w:lineRule="auto"/>
              <w:jc w:val="center"/>
              <w:rPr>
                <w:color w:val="000000"/>
              </w:rPr>
            </w:pPr>
            <w:r w:rsidRPr="001660F9">
              <w:rPr>
                <w:color w:val="000000"/>
              </w:rPr>
              <w:t>1-7</w:t>
            </w:r>
          </w:p>
        </w:tc>
      </w:tr>
      <w:tr w:rsidR="00D3297E" w:rsidRPr="001660F9" w14:paraId="7503722B" w14:textId="77777777" w:rsidTr="00586123">
        <w:trPr>
          <w:trHeight w:val="340"/>
        </w:trPr>
        <w:tc>
          <w:tcPr>
            <w:tcW w:w="9214" w:type="dxa"/>
            <w:tcBorders>
              <w:top w:val="nil"/>
              <w:left w:val="nil"/>
              <w:bottom w:val="nil"/>
              <w:right w:val="nil"/>
            </w:tcBorders>
            <w:shd w:val="clear" w:color="auto" w:fill="auto"/>
            <w:noWrap/>
            <w:vAlign w:val="bottom"/>
            <w:hideMark/>
          </w:tcPr>
          <w:p w14:paraId="64110F2A" w14:textId="45D4AC06" w:rsidR="00D3297E" w:rsidRPr="001660F9" w:rsidRDefault="00DF41FB" w:rsidP="00586123">
            <w:pPr>
              <w:spacing w:line="240" w:lineRule="auto"/>
              <w:ind w:left="743" w:hanging="743"/>
              <w:rPr>
                <w:color w:val="000000"/>
              </w:rPr>
            </w:pPr>
            <w:r>
              <w:rPr>
                <w:color w:val="000000"/>
              </w:rPr>
              <w:t xml:space="preserve">  </w:t>
            </w:r>
            <w:r w:rsidR="00D3297E" w:rsidRPr="001660F9">
              <w:rPr>
                <w:color w:val="000000"/>
              </w:rPr>
              <w:t xml:space="preserve"> 25. Although the victims of armed robbery have to fear for their lives, they receive far less psychological support than rape victims</w:t>
            </w:r>
          </w:p>
        </w:tc>
        <w:tc>
          <w:tcPr>
            <w:tcW w:w="940" w:type="dxa"/>
            <w:tcBorders>
              <w:top w:val="nil"/>
              <w:left w:val="nil"/>
              <w:bottom w:val="nil"/>
              <w:right w:val="nil"/>
            </w:tcBorders>
            <w:shd w:val="clear" w:color="auto" w:fill="auto"/>
            <w:noWrap/>
            <w:vAlign w:val="bottom"/>
            <w:hideMark/>
          </w:tcPr>
          <w:p w14:paraId="7D7FAC2D" w14:textId="77777777" w:rsidR="00D3297E" w:rsidRPr="001660F9" w:rsidRDefault="00D3297E" w:rsidP="00586123">
            <w:pPr>
              <w:spacing w:line="240" w:lineRule="auto"/>
              <w:jc w:val="center"/>
              <w:rPr>
                <w:color w:val="000000"/>
              </w:rPr>
            </w:pPr>
            <w:r w:rsidRPr="001660F9">
              <w:rPr>
                <w:color w:val="000000"/>
              </w:rPr>
              <w:t>4.16</w:t>
            </w:r>
            <w:r w:rsidRPr="001660F9">
              <w:rPr>
                <w:color w:val="000000"/>
                <w:vertAlign w:val="subscript"/>
              </w:rPr>
              <w:t>b</w:t>
            </w:r>
          </w:p>
        </w:tc>
        <w:tc>
          <w:tcPr>
            <w:tcW w:w="1000" w:type="dxa"/>
            <w:tcBorders>
              <w:top w:val="nil"/>
              <w:left w:val="nil"/>
              <w:bottom w:val="nil"/>
              <w:right w:val="nil"/>
            </w:tcBorders>
            <w:shd w:val="clear" w:color="auto" w:fill="auto"/>
            <w:noWrap/>
            <w:vAlign w:val="bottom"/>
            <w:hideMark/>
          </w:tcPr>
          <w:p w14:paraId="25FD2619" w14:textId="77777777" w:rsidR="00D3297E" w:rsidRPr="001660F9" w:rsidRDefault="00D3297E" w:rsidP="00586123">
            <w:pPr>
              <w:spacing w:line="240" w:lineRule="auto"/>
              <w:jc w:val="center"/>
              <w:rPr>
                <w:color w:val="000000"/>
              </w:rPr>
            </w:pPr>
            <w:r w:rsidRPr="001660F9">
              <w:rPr>
                <w:color w:val="000000"/>
              </w:rPr>
              <w:t>4</w:t>
            </w:r>
          </w:p>
        </w:tc>
        <w:tc>
          <w:tcPr>
            <w:tcW w:w="1060" w:type="dxa"/>
            <w:tcBorders>
              <w:top w:val="nil"/>
              <w:left w:val="nil"/>
              <w:bottom w:val="nil"/>
              <w:right w:val="nil"/>
            </w:tcBorders>
            <w:shd w:val="clear" w:color="auto" w:fill="auto"/>
            <w:noWrap/>
            <w:vAlign w:val="bottom"/>
            <w:hideMark/>
          </w:tcPr>
          <w:p w14:paraId="7BAB4859" w14:textId="77777777" w:rsidR="00D3297E" w:rsidRPr="001660F9" w:rsidRDefault="00D3297E" w:rsidP="00586123">
            <w:pPr>
              <w:spacing w:line="240" w:lineRule="auto"/>
              <w:jc w:val="center"/>
              <w:rPr>
                <w:color w:val="000000"/>
              </w:rPr>
            </w:pPr>
            <w:r w:rsidRPr="001660F9">
              <w:rPr>
                <w:color w:val="000000"/>
              </w:rPr>
              <w:t>1-7</w:t>
            </w:r>
          </w:p>
        </w:tc>
      </w:tr>
      <w:tr w:rsidR="00D3297E" w:rsidRPr="001660F9" w14:paraId="73479536" w14:textId="77777777" w:rsidTr="00586123">
        <w:trPr>
          <w:trHeight w:val="340"/>
        </w:trPr>
        <w:tc>
          <w:tcPr>
            <w:tcW w:w="9214" w:type="dxa"/>
            <w:tcBorders>
              <w:top w:val="nil"/>
              <w:left w:val="nil"/>
              <w:bottom w:val="nil"/>
              <w:right w:val="nil"/>
            </w:tcBorders>
            <w:shd w:val="clear" w:color="auto" w:fill="auto"/>
            <w:noWrap/>
            <w:vAlign w:val="bottom"/>
            <w:hideMark/>
          </w:tcPr>
          <w:p w14:paraId="203FD4EF" w14:textId="64F9C383" w:rsidR="00D3297E" w:rsidRPr="001660F9" w:rsidRDefault="00DF41FB" w:rsidP="00586123">
            <w:pPr>
              <w:spacing w:line="240" w:lineRule="auto"/>
              <w:ind w:left="743" w:hanging="743"/>
              <w:rPr>
                <w:color w:val="000000"/>
              </w:rPr>
            </w:pPr>
            <w:r>
              <w:rPr>
                <w:color w:val="000000"/>
              </w:rPr>
              <w:t xml:space="preserve">  </w:t>
            </w:r>
            <w:r w:rsidR="00D3297E" w:rsidRPr="001660F9">
              <w:rPr>
                <w:color w:val="000000"/>
              </w:rPr>
              <w:t xml:space="preserve"> 26. Alcohol is often the culprit when a man rapes a woman</w:t>
            </w:r>
          </w:p>
        </w:tc>
        <w:tc>
          <w:tcPr>
            <w:tcW w:w="940" w:type="dxa"/>
            <w:tcBorders>
              <w:top w:val="nil"/>
              <w:left w:val="nil"/>
              <w:bottom w:val="nil"/>
              <w:right w:val="nil"/>
            </w:tcBorders>
            <w:shd w:val="clear" w:color="auto" w:fill="auto"/>
            <w:noWrap/>
            <w:vAlign w:val="bottom"/>
            <w:hideMark/>
          </w:tcPr>
          <w:p w14:paraId="4BD88B4C" w14:textId="77777777" w:rsidR="00D3297E" w:rsidRPr="001660F9" w:rsidRDefault="00D3297E" w:rsidP="00586123">
            <w:pPr>
              <w:spacing w:line="240" w:lineRule="auto"/>
              <w:jc w:val="center"/>
              <w:rPr>
                <w:color w:val="000000"/>
              </w:rPr>
            </w:pPr>
            <w:r w:rsidRPr="001660F9">
              <w:rPr>
                <w:color w:val="000000"/>
              </w:rPr>
              <w:t>2.88</w:t>
            </w:r>
          </w:p>
        </w:tc>
        <w:tc>
          <w:tcPr>
            <w:tcW w:w="1000" w:type="dxa"/>
            <w:tcBorders>
              <w:top w:val="nil"/>
              <w:left w:val="nil"/>
              <w:bottom w:val="nil"/>
              <w:right w:val="nil"/>
            </w:tcBorders>
            <w:shd w:val="clear" w:color="auto" w:fill="auto"/>
            <w:noWrap/>
            <w:vAlign w:val="bottom"/>
            <w:hideMark/>
          </w:tcPr>
          <w:p w14:paraId="4D64BE79" w14:textId="77777777" w:rsidR="00D3297E" w:rsidRPr="001660F9" w:rsidRDefault="00D3297E" w:rsidP="00586123">
            <w:pPr>
              <w:spacing w:line="240" w:lineRule="auto"/>
              <w:jc w:val="center"/>
              <w:rPr>
                <w:color w:val="000000"/>
              </w:rPr>
            </w:pPr>
            <w:r w:rsidRPr="001660F9">
              <w:rPr>
                <w:color w:val="000000"/>
              </w:rPr>
              <w:t>3</w:t>
            </w:r>
          </w:p>
        </w:tc>
        <w:tc>
          <w:tcPr>
            <w:tcW w:w="1060" w:type="dxa"/>
            <w:tcBorders>
              <w:top w:val="nil"/>
              <w:left w:val="nil"/>
              <w:bottom w:val="nil"/>
              <w:right w:val="nil"/>
            </w:tcBorders>
            <w:shd w:val="clear" w:color="auto" w:fill="auto"/>
            <w:noWrap/>
            <w:vAlign w:val="bottom"/>
            <w:hideMark/>
          </w:tcPr>
          <w:p w14:paraId="2CEBF5F5" w14:textId="77777777" w:rsidR="00D3297E" w:rsidRPr="001660F9" w:rsidRDefault="00D3297E" w:rsidP="00586123">
            <w:pPr>
              <w:spacing w:line="240" w:lineRule="auto"/>
              <w:jc w:val="center"/>
              <w:rPr>
                <w:color w:val="000000"/>
              </w:rPr>
            </w:pPr>
            <w:r w:rsidRPr="001660F9">
              <w:rPr>
                <w:color w:val="000000"/>
              </w:rPr>
              <w:t>1-7</w:t>
            </w:r>
          </w:p>
        </w:tc>
      </w:tr>
      <w:tr w:rsidR="00D3297E" w:rsidRPr="001660F9" w14:paraId="5BCEACF7" w14:textId="77777777" w:rsidTr="00586123">
        <w:trPr>
          <w:trHeight w:val="340"/>
        </w:trPr>
        <w:tc>
          <w:tcPr>
            <w:tcW w:w="9214" w:type="dxa"/>
            <w:tcBorders>
              <w:top w:val="nil"/>
              <w:left w:val="nil"/>
              <w:bottom w:val="nil"/>
              <w:right w:val="nil"/>
            </w:tcBorders>
            <w:shd w:val="clear" w:color="auto" w:fill="auto"/>
            <w:noWrap/>
            <w:vAlign w:val="bottom"/>
            <w:hideMark/>
          </w:tcPr>
          <w:p w14:paraId="1C343753" w14:textId="097C10C9" w:rsidR="00D3297E" w:rsidRPr="001660F9" w:rsidRDefault="00DF41FB" w:rsidP="00586123">
            <w:pPr>
              <w:spacing w:line="240" w:lineRule="auto"/>
              <w:ind w:left="743" w:hanging="743"/>
              <w:rPr>
                <w:color w:val="000000"/>
              </w:rPr>
            </w:pPr>
            <w:r>
              <w:rPr>
                <w:color w:val="000000"/>
              </w:rPr>
              <w:t xml:space="preserve">  </w:t>
            </w:r>
            <w:r w:rsidR="00D3297E" w:rsidRPr="001660F9">
              <w:rPr>
                <w:color w:val="000000"/>
              </w:rPr>
              <w:t xml:space="preserve"> 27. Many women tend to misinterpret a well-meant gesture as a "sexual assault"</w:t>
            </w:r>
          </w:p>
        </w:tc>
        <w:tc>
          <w:tcPr>
            <w:tcW w:w="940" w:type="dxa"/>
            <w:tcBorders>
              <w:top w:val="nil"/>
              <w:left w:val="nil"/>
              <w:bottom w:val="nil"/>
              <w:right w:val="nil"/>
            </w:tcBorders>
            <w:shd w:val="clear" w:color="auto" w:fill="auto"/>
            <w:noWrap/>
            <w:vAlign w:val="bottom"/>
            <w:hideMark/>
          </w:tcPr>
          <w:p w14:paraId="1A3B24A0" w14:textId="77777777" w:rsidR="00D3297E" w:rsidRPr="001660F9" w:rsidRDefault="00D3297E" w:rsidP="00586123">
            <w:pPr>
              <w:spacing w:line="240" w:lineRule="auto"/>
              <w:jc w:val="center"/>
              <w:rPr>
                <w:color w:val="000000"/>
              </w:rPr>
            </w:pPr>
            <w:r w:rsidRPr="001660F9">
              <w:rPr>
                <w:color w:val="000000"/>
              </w:rPr>
              <w:t>2.35</w:t>
            </w:r>
          </w:p>
        </w:tc>
        <w:tc>
          <w:tcPr>
            <w:tcW w:w="1000" w:type="dxa"/>
            <w:tcBorders>
              <w:top w:val="nil"/>
              <w:left w:val="nil"/>
              <w:bottom w:val="nil"/>
              <w:right w:val="nil"/>
            </w:tcBorders>
            <w:shd w:val="clear" w:color="auto" w:fill="auto"/>
            <w:noWrap/>
            <w:vAlign w:val="bottom"/>
            <w:hideMark/>
          </w:tcPr>
          <w:p w14:paraId="69F8CDD0" w14:textId="77777777" w:rsidR="00D3297E" w:rsidRPr="001660F9" w:rsidRDefault="00D3297E" w:rsidP="00586123">
            <w:pPr>
              <w:spacing w:line="240" w:lineRule="auto"/>
              <w:jc w:val="center"/>
              <w:rPr>
                <w:color w:val="000000"/>
              </w:rPr>
            </w:pPr>
            <w:r w:rsidRPr="001660F9">
              <w:rPr>
                <w:color w:val="000000"/>
              </w:rPr>
              <w:t>2</w:t>
            </w:r>
          </w:p>
        </w:tc>
        <w:tc>
          <w:tcPr>
            <w:tcW w:w="1060" w:type="dxa"/>
            <w:tcBorders>
              <w:top w:val="nil"/>
              <w:left w:val="nil"/>
              <w:bottom w:val="nil"/>
              <w:right w:val="nil"/>
            </w:tcBorders>
            <w:shd w:val="clear" w:color="auto" w:fill="auto"/>
            <w:noWrap/>
            <w:vAlign w:val="bottom"/>
            <w:hideMark/>
          </w:tcPr>
          <w:p w14:paraId="08FC8D8A" w14:textId="77777777" w:rsidR="00D3297E" w:rsidRPr="001660F9" w:rsidRDefault="00D3297E" w:rsidP="00586123">
            <w:pPr>
              <w:spacing w:line="240" w:lineRule="auto"/>
              <w:jc w:val="center"/>
              <w:rPr>
                <w:color w:val="000000"/>
              </w:rPr>
            </w:pPr>
            <w:r w:rsidRPr="001660F9">
              <w:rPr>
                <w:color w:val="000000"/>
              </w:rPr>
              <w:t>1-7</w:t>
            </w:r>
          </w:p>
        </w:tc>
      </w:tr>
      <w:tr w:rsidR="00D3297E" w:rsidRPr="001660F9" w14:paraId="1111AF82" w14:textId="77777777" w:rsidTr="00586123">
        <w:trPr>
          <w:trHeight w:val="340"/>
        </w:trPr>
        <w:tc>
          <w:tcPr>
            <w:tcW w:w="9214" w:type="dxa"/>
            <w:tcBorders>
              <w:top w:val="nil"/>
              <w:left w:val="nil"/>
              <w:bottom w:val="nil"/>
              <w:right w:val="nil"/>
            </w:tcBorders>
            <w:shd w:val="clear" w:color="auto" w:fill="auto"/>
            <w:noWrap/>
            <w:vAlign w:val="bottom"/>
            <w:hideMark/>
          </w:tcPr>
          <w:p w14:paraId="22CE64A9" w14:textId="384F0C23" w:rsidR="00D3297E" w:rsidRPr="001660F9" w:rsidRDefault="00DF41FB" w:rsidP="00586123">
            <w:pPr>
              <w:spacing w:line="240" w:lineRule="auto"/>
              <w:ind w:left="743" w:hanging="743"/>
              <w:rPr>
                <w:color w:val="000000"/>
              </w:rPr>
            </w:pPr>
            <w:r>
              <w:rPr>
                <w:color w:val="000000"/>
              </w:rPr>
              <w:t xml:space="preserve">  </w:t>
            </w:r>
            <w:r w:rsidR="00D3297E" w:rsidRPr="001660F9">
              <w:rPr>
                <w:color w:val="000000"/>
              </w:rPr>
              <w:t xml:space="preserve"> 28. Nowadays, the victims of sexual violence receive sufficient help in the form of women's shelters, therapy offers, and support groups</w:t>
            </w:r>
          </w:p>
        </w:tc>
        <w:tc>
          <w:tcPr>
            <w:tcW w:w="940" w:type="dxa"/>
            <w:tcBorders>
              <w:top w:val="nil"/>
              <w:left w:val="nil"/>
              <w:bottom w:val="nil"/>
              <w:right w:val="nil"/>
            </w:tcBorders>
            <w:shd w:val="clear" w:color="auto" w:fill="auto"/>
            <w:noWrap/>
            <w:vAlign w:val="bottom"/>
            <w:hideMark/>
          </w:tcPr>
          <w:p w14:paraId="62F87492" w14:textId="77777777" w:rsidR="00D3297E" w:rsidRPr="001660F9" w:rsidRDefault="00D3297E" w:rsidP="00586123">
            <w:pPr>
              <w:spacing w:line="240" w:lineRule="auto"/>
              <w:jc w:val="center"/>
              <w:rPr>
                <w:color w:val="000000"/>
              </w:rPr>
            </w:pPr>
            <w:r w:rsidRPr="001660F9">
              <w:rPr>
                <w:color w:val="000000"/>
              </w:rPr>
              <w:t>3.86</w:t>
            </w:r>
            <w:r w:rsidRPr="001660F9">
              <w:rPr>
                <w:color w:val="000000"/>
                <w:vertAlign w:val="subscript"/>
              </w:rPr>
              <w:t>a</w:t>
            </w:r>
          </w:p>
        </w:tc>
        <w:tc>
          <w:tcPr>
            <w:tcW w:w="1000" w:type="dxa"/>
            <w:tcBorders>
              <w:top w:val="nil"/>
              <w:left w:val="nil"/>
              <w:bottom w:val="nil"/>
              <w:right w:val="nil"/>
            </w:tcBorders>
            <w:shd w:val="clear" w:color="auto" w:fill="auto"/>
            <w:noWrap/>
            <w:vAlign w:val="bottom"/>
            <w:hideMark/>
          </w:tcPr>
          <w:p w14:paraId="709CE252" w14:textId="77777777" w:rsidR="00D3297E" w:rsidRPr="001660F9" w:rsidRDefault="00D3297E" w:rsidP="00586123">
            <w:pPr>
              <w:spacing w:line="240" w:lineRule="auto"/>
              <w:jc w:val="center"/>
              <w:rPr>
                <w:color w:val="000000"/>
              </w:rPr>
            </w:pPr>
            <w:r w:rsidRPr="001660F9">
              <w:rPr>
                <w:color w:val="000000"/>
              </w:rPr>
              <w:t>4</w:t>
            </w:r>
          </w:p>
        </w:tc>
        <w:tc>
          <w:tcPr>
            <w:tcW w:w="1060" w:type="dxa"/>
            <w:tcBorders>
              <w:top w:val="nil"/>
              <w:left w:val="nil"/>
              <w:bottom w:val="nil"/>
              <w:right w:val="nil"/>
            </w:tcBorders>
            <w:shd w:val="clear" w:color="auto" w:fill="auto"/>
            <w:noWrap/>
            <w:vAlign w:val="bottom"/>
            <w:hideMark/>
          </w:tcPr>
          <w:p w14:paraId="4DA36976" w14:textId="77777777" w:rsidR="00D3297E" w:rsidRPr="001660F9" w:rsidRDefault="00D3297E" w:rsidP="00586123">
            <w:pPr>
              <w:spacing w:line="240" w:lineRule="auto"/>
              <w:jc w:val="center"/>
              <w:rPr>
                <w:color w:val="000000"/>
              </w:rPr>
            </w:pPr>
            <w:r w:rsidRPr="001660F9">
              <w:rPr>
                <w:color w:val="000000"/>
              </w:rPr>
              <w:t>1-7</w:t>
            </w:r>
          </w:p>
        </w:tc>
      </w:tr>
      <w:tr w:rsidR="00D3297E" w:rsidRPr="001660F9" w14:paraId="642D6137" w14:textId="77777777" w:rsidTr="00586123">
        <w:trPr>
          <w:trHeight w:val="340"/>
        </w:trPr>
        <w:tc>
          <w:tcPr>
            <w:tcW w:w="9214" w:type="dxa"/>
            <w:tcBorders>
              <w:top w:val="nil"/>
              <w:left w:val="nil"/>
              <w:bottom w:val="nil"/>
              <w:right w:val="nil"/>
            </w:tcBorders>
            <w:shd w:val="clear" w:color="auto" w:fill="auto"/>
            <w:noWrap/>
            <w:vAlign w:val="bottom"/>
            <w:hideMark/>
          </w:tcPr>
          <w:p w14:paraId="6E86C752" w14:textId="2057DA0B" w:rsidR="00D3297E" w:rsidRPr="001660F9" w:rsidRDefault="00DF41FB" w:rsidP="00586123">
            <w:pPr>
              <w:spacing w:line="240" w:lineRule="auto"/>
              <w:ind w:left="743" w:hanging="743"/>
              <w:rPr>
                <w:color w:val="000000"/>
              </w:rPr>
            </w:pPr>
            <w:r>
              <w:rPr>
                <w:color w:val="000000"/>
              </w:rPr>
              <w:t xml:space="preserve">  </w:t>
            </w:r>
            <w:r w:rsidR="00D3297E" w:rsidRPr="001660F9">
              <w:rPr>
                <w:color w:val="000000"/>
              </w:rPr>
              <w:t xml:space="preserve"> 29. Instead of worrying about alleged victims of sexual violence society should rather attend to more urgent problems, such as environmental destruction</w:t>
            </w:r>
          </w:p>
        </w:tc>
        <w:tc>
          <w:tcPr>
            <w:tcW w:w="940" w:type="dxa"/>
            <w:tcBorders>
              <w:top w:val="nil"/>
              <w:left w:val="nil"/>
              <w:bottom w:val="nil"/>
              <w:right w:val="nil"/>
            </w:tcBorders>
            <w:shd w:val="clear" w:color="auto" w:fill="auto"/>
            <w:noWrap/>
            <w:vAlign w:val="bottom"/>
            <w:hideMark/>
          </w:tcPr>
          <w:p w14:paraId="43997E5D" w14:textId="2046C46B" w:rsidR="00D3297E" w:rsidRPr="001660F9" w:rsidRDefault="00D3297E" w:rsidP="00586123">
            <w:pPr>
              <w:spacing w:line="240" w:lineRule="auto"/>
              <w:jc w:val="center"/>
              <w:rPr>
                <w:color w:val="000000"/>
              </w:rPr>
            </w:pPr>
            <w:r w:rsidRPr="001660F9">
              <w:rPr>
                <w:color w:val="000000"/>
              </w:rPr>
              <w:t>1.6</w:t>
            </w:r>
            <w:r w:rsidR="002314E5">
              <w:rPr>
                <w:color w:val="000000"/>
              </w:rPr>
              <w:t>0</w:t>
            </w:r>
            <w:r w:rsidRPr="001660F9">
              <w:rPr>
                <w:color w:val="000000"/>
                <w:vertAlign w:val="subscript"/>
              </w:rPr>
              <w:t>b</w:t>
            </w:r>
          </w:p>
        </w:tc>
        <w:tc>
          <w:tcPr>
            <w:tcW w:w="1000" w:type="dxa"/>
            <w:tcBorders>
              <w:top w:val="nil"/>
              <w:left w:val="nil"/>
              <w:bottom w:val="nil"/>
              <w:right w:val="nil"/>
            </w:tcBorders>
            <w:shd w:val="clear" w:color="auto" w:fill="auto"/>
            <w:noWrap/>
            <w:vAlign w:val="bottom"/>
            <w:hideMark/>
          </w:tcPr>
          <w:p w14:paraId="72918D13" w14:textId="77777777" w:rsidR="00D3297E" w:rsidRPr="001660F9" w:rsidRDefault="00D3297E" w:rsidP="00586123">
            <w:pPr>
              <w:spacing w:line="240" w:lineRule="auto"/>
              <w:jc w:val="center"/>
              <w:rPr>
                <w:color w:val="000000"/>
              </w:rPr>
            </w:pPr>
            <w:r w:rsidRPr="001660F9">
              <w:rPr>
                <w:color w:val="000000"/>
              </w:rPr>
              <w:t>1</w:t>
            </w:r>
          </w:p>
        </w:tc>
        <w:tc>
          <w:tcPr>
            <w:tcW w:w="1060" w:type="dxa"/>
            <w:tcBorders>
              <w:top w:val="nil"/>
              <w:left w:val="nil"/>
              <w:bottom w:val="nil"/>
              <w:right w:val="nil"/>
            </w:tcBorders>
            <w:shd w:val="clear" w:color="auto" w:fill="auto"/>
            <w:noWrap/>
            <w:vAlign w:val="bottom"/>
            <w:hideMark/>
          </w:tcPr>
          <w:p w14:paraId="54DE0331" w14:textId="77777777" w:rsidR="00D3297E" w:rsidRPr="001660F9" w:rsidRDefault="00D3297E" w:rsidP="00586123">
            <w:pPr>
              <w:spacing w:line="240" w:lineRule="auto"/>
              <w:jc w:val="center"/>
              <w:rPr>
                <w:color w:val="000000"/>
              </w:rPr>
            </w:pPr>
            <w:r w:rsidRPr="001660F9">
              <w:rPr>
                <w:color w:val="000000"/>
              </w:rPr>
              <w:t>1-7</w:t>
            </w:r>
          </w:p>
        </w:tc>
      </w:tr>
      <w:tr w:rsidR="00D3297E" w:rsidRPr="001660F9" w14:paraId="231E5E39" w14:textId="77777777" w:rsidTr="00586123">
        <w:trPr>
          <w:trHeight w:val="340"/>
        </w:trPr>
        <w:tc>
          <w:tcPr>
            <w:tcW w:w="9214" w:type="dxa"/>
            <w:tcBorders>
              <w:top w:val="nil"/>
              <w:left w:val="nil"/>
              <w:bottom w:val="single" w:sz="4" w:space="0" w:color="auto"/>
              <w:right w:val="nil"/>
            </w:tcBorders>
            <w:shd w:val="clear" w:color="auto" w:fill="auto"/>
            <w:noWrap/>
            <w:vAlign w:val="bottom"/>
            <w:hideMark/>
          </w:tcPr>
          <w:p w14:paraId="3BF762D5" w14:textId="457D805B" w:rsidR="00D3297E" w:rsidRPr="001660F9" w:rsidRDefault="00DF41FB" w:rsidP="00586123">
            <w:pPr>
              <w:spacing w:line="240" w:lineRule="auto"/>
              <w:ind w:left="743" w:hanging="743"/>
              <w:rPr>
                <w:color w:val="000000"/>
              </w:rPr>
            </w:pPr>
            <w:r>
              <w:rPr>
                <w:color w:val="000000"/>
              </w:rPr>
              <w:t xml:space="preserve">  </w:t>
            </w:r>
            <w:r w:rsidR="00D3297E" w:rsidRPr="001660F9">
              <w:rPr>
                <w:color w:val="000000"/>
              </w:rPr>
              <w:t xml:space="preserve"> 30. Nowadays, men who really sexually assault women are punished justly</w:t>
            </w:r>
          </w:p>
        </w:tc>
        <w:tc>
          <w:tcPr>
            <w:tcW w:w="940" w:type="dxa"/>
            <w:tcBorders>
              <w:top w:val="nil"/>
              <w:left w:val="nil"/>
              <w:bottom w:val="single" w:sz="4" w:space="0" w:color="auto"/>
              <w:right w:val="nil"/>
            </w:tcBorders>
            <w:shd w:val="clear" w:color="auto" w:fill="auto"/>
            <w:noWrap/>
            <w:vAlign w:val="bottom"/>
            <w:hideMark/>
          </w:tcPr>
          <w:p w14:paraId="1C9755C8" w14:textId="77777777" w:rsidR="00D3297E" w:rsidRPr="001660F9" w:rsidRDefault="00D3297E" w:rsidP="00586123">
            <w:pPr>
              <w:spacing w:line="240" w:lineRule="auto"/>
              <w:jc w:val="center"/>
              <w:rPr>
                <w:color w:val="000000"/>
              </w:rPr>
            </w:pPr>
            <w:r w:rsidRPr="001660F9">
              <w:rPr>
                <w:color w:val="000000"/>
              </w:rPr>
              <w:t>2.68</w:t>
            </w:r>
          </w:p>
        </w:tc>
        <w:tc>
          <w:tcPr>
            <w:tcW w:w="1000" w:type="dxa"/>
            <w:tcBorders>
              <w:top w:val="nil"/>
              <w:left w:val="nil"/>
              <w:bottom w:val="single" w:sz="4" w:space="0" w:color="auto"/>
              <w:right w:val="nil"/>
            </w:tcBorders>
            <w:shd w:val="clear" w:color="auto" w:fill="auto"/>
            <w:noWrap/>
            <w:vAlign w:val="bottom"/>
            <w:hideMark/>
          </w:tcPr>
          <w:p w14:paraId="74C2894F" w14:textId="77777777" w:rsidR="00D3297E" w:rsidRPr="001660F9" w:rsidRDefault="00D3297E" w:rsidP="00586123">
            <w:pPr>
              <w:spacing w:line="240" w:lineRule="auto"/>
              <w:jc w:val="center"/>
              <w:rPr>
                <w:color w:val="000000"/>
              </w:rPr>
            </w:pPr>
            <w:r w:rsidRPr="001660F9">
              <w:rPr>
                <w:color w:val="000000"/>
              </w:rPr>
              <w:t>2</w:t>
            </w:r>
          </w:p>
        </w:tc>
        <w:tc>
          <w:tcPr>
            <w:tcW w:w="1060" w:type="dxa"/>
            <w:tcBorders>
              <w:top w:val="nil"/>
              <w:left w:val="nil"/>
              <w:bottom w:val="single" w:sz="4" w:space="0" w:color="auto"/>
              <w:right w:val="nil"/>
            </w:tcBorders>
            <w:shd w:val="clear" w:color="auto" w:fill="auto"/>
            <w:noWrap/>
            <w:vAlign w:val="bottom"/>
            <w:hideMark/>
          </w:tcPr>
          <w:p w14:paraId="661A899E" w14:textId="77777777" w:rsidR="00D3297E" w:rsidRPr="001660F9" w:rsidRDefault="00D3297E" w:rsidP="00586123">
            <w:pPr>
              <w:spacing w:line="240" w:lineRule="auto"/>
              <w:jc w:val="center"/>
              <w:rPr>
                <w:color w:val="000000"/>
              </w:rPr>
            </w:pPr>
            <w:r w:rsidRPr="001660F9">
              <w:rPr>
                <w:color w:val="000000"/>
              </w:rPr>
              <w:t>1-7</w:t>
            </w:r>
          </w:p>
        </w:tc>
      </w:tr>
      <w:tr w:rsidR="00D3297E" w:rsidRPr="001660F9" w14:paraId="52E20F24" w14:textId="77777777" w:rsidTr="00586123">
        <w:trPr>
          <w:trHeight w:val="315"/>
        </w:trPr>
        <w:tc>
          <w:tcPr>
            <w:tcW w:w="12214" w:type="dxa"/>
            <w:gridSpan w:val="4"/>
            <w:tcBorders>
              <w:top w:val="nil"/>
              <w:left w:val="nil"/>
              <w:bottom w:val="nil"/>
            </w:tcBorders>
            <w:shd w:val="clear" w:color="auto" w:fill="auto"/>
            <w:noWrap/>
            <w:vAlign w:val="bottom"/>
            <w:hideMark/>
          </w:tcPr>
          <w:tbl>
            <w:tblPr>
              <w:tblW w:w="14080" w:type="dxa"/>
              <w:tblLook w:val="04A0" w:firstRow="1" w:lastRow="0" w:firstColumn="1" w:lastColumn="0" w:noHBand="0" w:noVBand="1"/>
            </w:tblPr>
            <w:tblGrid>
              <w:gridCol w:w="14080"/>
            </w:tblGrid>
            <w:tr w:rsidR="00D3297E" w:rsidRPr="005B27F1" w14:paraId="3B6DB787" w14:textId="77777777" w:rsidTr="009E29D5">
              <w:trPr>
                <w:trHeight w:val="310"/>
              </w:trPr>
              <w:tc>
                <w:tcPr>
                  <w:tcW w:w="14080" w:type="dxa"/>
                  <w:tcBorders>
                    <w:top w:val="nil"/>
                    <w:left w:val="nil"/>
                    <w:bottom w:val="nil"/>
                    <w:right w:val="nil"/>
                  </w:tcBorders>
                  <w:shd w:val="clear" w:color="auto" w:fill="auto"/>
                  <w:noWrap/>
                  <w:vAlign w:val="bottom"/>
                  <w:hideMark/>
                </w:tcPr>
                <w:p w14:paraId="20A8B18C" w14:textId="05AC7C19" w:rsidR="009E29D5" w:rsidRDefault="00D3297E" w:rsidP="001F6921">
                  <w:pPr>
                    <w:pStyle w:val="Figurecaption"/>
                  </w:pPr>
                  <w:r w:rsidRPr="005B27F1">
                    <w:rPr>
                      <w:i/>
                      <w:iCs/>
                    </w:rPr>
                    <w:t xml:space="preserve">Note: </w:t>
                  </w:r>
                  <w:r w:rsidR="009E29D5">
                    <w:t xml:space="preserve">An "a" subscript notes an item mean </w:t>
                  </w:r>
                  <w:r w:rsidRPr="005B27F1">
                    <w:t>that is greater than the</w:t>
                  </w:r>
                  <w:r w:rsidR="009E29D5">
                    <w:t xml:space="preserve"> English</w:t>
                  </w:r>
                  <w:r w:rsidRPr="005B27F1">
                    <w:t xml:space="preserve"> student </w:t>
                  </w:r>
                  <w:r w:rsidR="009E29D5">
                    <w:t xml:space="preserve">validation sample by Gerger et al (2007), </w:t>
                  </w:r>
                </w:p>
                <w:p w14:paraId="5F1172CB" w14:textId="1B311EDB" w:rsidR="00D3297E" w:rsidRPr="005B27F1" w:rsidRDefault="009E29D5" w:rsidP="001F6921">
                  <w:pPr>
                    <w:pStyle w:val="Figurecaption"/>
                    <w:rPr>
                      <w:i/>
                      <w:iCs/>
                    </w:rPr>
                  </w:pPr>
                  <w:r>
                    <w:t xml:space="preserve"> </w:t>
                  </w:r>
                  <w:proofErr w:type="gramStart"/>
                  <w:r w:rsidR="00D3297E" w:rsidRPr="005B27F1">
                    <w:t>a "b" subscript,</w:t>
                  </w:r>
                  <w:proofErr w:type="gramEnd"/>
                  <w:r w:rsidR="00D3297E" w:rsidRPr="005B27F1">
                    <w:t xml:space="preserve"> </w:t>
                  </w:r>
                  <w:r>
                    <w:t xml:space="preserve">denotes </w:t>
                  </w:r>
                  <w:r w:rsidR="00D3297E" w:rsidRPr="005B27F1">
                    <w:t>a l</w:t>
                  </w:r>
                  <w:r>
                    <w:t>ower mean than the student sample</w:t>
                  </w:r>
                  <w:r w:rsidR="00D3297E" w:rsidRPr="005B27F1">
                    <w:t>.</w:t>
                  </w:r>
                  <w:r w:rsidR="00DF41FB">
                    <w:t xml:space="preserve"> </w:t>
                  </w:r>
                </w:p>
              </w:tc>
            </w:tr>
            <w:tr w:rsidR="00D3297E" w:rsidRPr="005B27F1" w14:paraId="11A70010" w14:textId="77777777" w:rsidTr="009E29D5">
              <w:trPr>
                <w:trHeight w:val="310"/>
              </w:trPr>
              <w:tc>
                <w:tcPr>
                  <w:tcW w:w="14080" w:type="dxa"/>
                  <w:tcBorders>
                    <w:top w:val="nil"/>
                    <w:left w:val="nil"/>
                    <w:bottom w:val="nil"/>
                    <w:right w:val="nil"/>
                  </w:tcBorders>
                  <w:shd w:val="clear" w:color="auto" w:fill="auto"/>
                  <w:noWrap/>
                  <w:vAlign w:val="bottom"/>
                  <w:hideMark/>
                </w:tcPr>
                <w:p w14:paraId="7B269174" w14:textId="22CFC2C7" w:rsidR="00D3297E" w:rsidRPr="005B27F1" w:rsidRDefault="00D3297E" w:rsidP="001F6921">
                  <w:pPr>
                    <w:pStyle w:val="Figurecaption"/>
                  </w:pPr>
                  <w:r w:rsidRPr="005B27F1">
                    <w:t>A "c" subscript notes the possible range was 1-7. If not specified, the full range was used for that variable.</w:t>
                  </w:r>
                </w:p>
              </w:tc>
            </w:tr>
          </w:tbl>
          <w:p w14:paraId="4EBA0F19" w14:textId="77777777" w:rsidR="00D3297E" w:rsidRPr="001660F9" w:rsidRDefault="00D3297E" w:rsidP="00586123">
            <w:pPr>
              <w:spacing w:line="240" w:lineRule="auto"/>
              <w:ind w:left="-108" w:firstLine="108"/>
              <w:rPr>
                <w:sz w:val="20"/>
                <w:szCs w:val="20"/>
              </w:rPr>
            </w:pPr>
          </w:p>
        </w:tc>
      </w:tr>
      <w:tr w:rsidR="00D3297E" w:rsidRPr="001660F9" w14:paraId="48F78B9E" w14:textId="77777777" w:rsidTr="00586123">
        <w:trPr>
          <w:trHeight w:val="315"/>
        </w:trPr>
        <w:tc>
          <w:tcPr>
            <w:tcW w:w="9214" w:type="dxa"/>
            <w:tcBorders>
              <w:top w:val="nil"/>
              <w:left w:val="nil"/>
              <w:bottom w:val="nil"/>
              <w:right w:val="nil"/>
            </w:tcBorders>
            <w:shd w:val="clear" w:color="auto" w:fill="auto"/>
            <w:noWrap/>
            <w:vAlign w:val="bottom"/>
            <w:hideMark/>
          </w:tcPr>
          <w:p w14:paraId="456BC8D8" w14:textId="32AE12F5" w:rsidR="00D3297E" w:rsidRPr="001660F9" w:rsidRDefault="00DF41FB" w:rsidP="00586123">
            <w:pPr>
              <w:spacing w:line="240" w:lineRule="auto"/>
              <w:rPr>
                <w:color w:val="000000"/>
              </w:rPr>
            </w:pPr>
            <w:r>
              <w:rPr>
                <w:color w:val="000000"/>
              </w:rPr>
              <w:t xml:space="preserve">     </w:t>
            </w:r>
            <w:r w:rsidR="00D3297E" w:rsidRPr="001660F9">
              <w:rPr>
                <w:color w:val="000000"/>
              </w:rPr>
              <w:t xml:space="preserve"> </w:t>
            </w:r>
          </w:p>
        </w:tc>
        <w:tc>
          <w:tcPr>
            <w:tcW w:w="940" w:type="dxa"/>
            <w:tcBorders>
              <w:top w:val="nil"/>
              <w:left w:val="nil"/>
              <w:bottom w:val="nil"/>
              <w:right w:val="nil"/>
            </w:tcBorders>
            <w:shd w:val="clear" w:color="auto" w:fill="auto"/>
            <w:noWrap/>
            <w:vAlign w:val="bottom"/>
            <w:hideMark/>
          </w:tcPr>
          <w:p w14:paraId="5304EE78" w14:textId="77777777" w:rsidR="00D3297E" w:rsidRPr="001660F9" w:rsidRDefault="00D3297E" w:rsidP="00586123">
            <w:pPr>
              <w:spacing w:line="240" w:lineRule="auto"/>
              <w:rPr>
                <w:color w:val="000000"/>
              </w:rPr>
            </w:pPr>
          </w:p>
        </w:tc>
        <w:tc>
          <w:tcPr>
            <w:tcW w:w="1000" w:type="dxa"/>
            <w:tcBorders>
              <w:top w:val="nil"/>
              <w:left w:val="nil"/>
              <w:bottom w:val="nil"/>
              <w:right w:val="nil"/>
            </w:tcBorders>
            <w:shd w:val="clear" w:color="auto" w:fill="auto"/>
            <w:noWrap/>
            <w:vAlign w:val="bottom"/>
            <w:hideMark/>
          </w:tcPr>
          <w:p w14:paraId="7F3D4FED" w14:textId="77777777" w:rsidR="00D3297E" w:rsidRPr="001660F9" w:rsidRDefault="00D3297E" w:rsidP="00586123">
            <w:pPr>
              <w:spacing w:line="240" w:lineRule="auto"/>
              <w:rPr>
                <w:sz w:val="20"/>
                <w:szCs w:val="20"/>
              </w:rPr>
            </w:pPr>
          </w:p>
        </w:tc>
        <w:tc>
          <w:tcPr>
            <w:tcW w:w="1060" w:type="dxa"/>
            <w:tcBorders>
              <w:top w:val="nil"/>
              <w:left w:val="nil"/>
              <w:bottom w:val="nil"/>
              <w:right w:val="nil"/>
            </w:tcBorders>
            <w:shd w:val="clear" w:color="auto" w:fill="auto"/>
            <w:noWrap/>
            <w:vAlign w:val="bottom"/>
            <w:hideMark/>
          </w:tcPr>
          <w:p w14:paraId="6E302B3C" w14:textId="77777777" w:rsidR="00D3297E" w:rsidRPr="001660F9" w:rsidRDefault="00D3297E" w:rsidP="00586123">
            <w:pPr>
              <w:spacing w:line="240" w:lineRule="auto"/>
              <w:rPr>
                <w:sz w:val="20"/>
                <w:szCs w:val="20"/>
              </w:rPr>
            </w:pPr>
          </w:p>
        </w:tc>
      </w:tr>
    </w:tbl>
    <w:p w14:paraId="5BB3F8C0" w14:textId="77777777" w:rsidR="00D3297E" w:rsidRDefault="00D3297E" w:rsidP="00D3297E"/>
    <w:p w14:paraId="73537771" w14:textId="77777777" w:rsidR="00D3297E" w:rsidRDefault="00D3297E">
      <w:r>
        <w:br w:type="page"/>
      </w:r>
    </w:p>
    <w:tbl>
      <w:tblPr>
        <w:tblW w:w="14388" w:type="dxa"/>
        <w:tblInd w:w="573" w:type="dxa"/>
        <w:tblLook w:val="04A0" w:firstRow="1" w:lastRow="0" w:firstColumn="1" w:lastColumn="0" w:noHBand="0" w:noVBand="1"/>
      </w:tblPr>
      <w:tblGrid>
        <w:gridCol w:w="6506"/>
        <w:gridCol w:w="996"/>
        <w:gridCol w:w="1129"/>
        <w:gridCol w:w="996"/>
        <w:gridCol w:w="996"/>
        <w:gridCol w:w="777"/>
        <w:gridCol w:w="996"/>
        <w:gridCol w:w="996"/>
        <w:gridCol w:w="996"/>
      </w:tblGrid>
      <w:tr w:rsidR="00165C37" w:rsidRPr="00A4261C" w14:paraId="12F1B840" w14:textId="77777777" w:rsidTr="00D154DE">
        <w:trPr>
          <w:trHeight w:val="360"/>
        </w:trPr>
        <w:tc>
          <w:tcPr>
            <w:tcW w:w="14388" w:type="dxa"/>
            <w:gridSpan w:val="9"/>
            <w:tcBorders>
              <w:top w:val="nil"/>
              <w:left w:val="nil"/>
              <w:bottom w:val="single" w:sz="4" w:space="0" w:color="auto"/>
              <w:right w:val="nil"/>
            </w:tcBorders>
            <w:shd w:val="clear" w:color="auto" w:fill="auto"/>
            <w:noWrap/>
            <w:vAlign w:val="bottom"/>
            <w:hideMark/>
          </w:tcPr>
          <w:p w14:paraId="3FD2BEE2" w14:textId="732BD33B" w:rsidR="00165C37" w:rsidRPr="00A4261C" w:rsidRDefault="00165C37" w:rsidP="00904EB2">
            <w:pPr>
              <w:pStyle w:val="Tabletitle"/>
            </w:pPr>
            <w:r>
              <w:lastRenderedPageBreak/>
              <w:br w:type="page"/>
            </w:r>
            <w:r w:rsidRPr="00A4261C">
              <w:t xml:space="preserve">Table </w:t>
            </w:r>
            <w:r w:rsidR="00D3297E">
              <w:t>3</w:t>
            </w:r>
            <w:r w:rsidRPr="00A4261C">
              <w:t>. Correlations: Covariates and Predictors</w:t>
            </w:r>
          </w:p>
        </w:tc>
      </w:tr>
      <w:tr w:rsidR="00165C37" w:rsidRPr="00A4261C" w14:paraId="4C55CC20" w14:textId="77777777" w:rsidTr="00D154DE">
        <w:trPr>
          <w:trHeight w:val="280"/>
        </w:trPr>
        <w:tc>
          <w:tcPr>
            <w:tcW w:w="6506" w:type="dxa"/>
            <w:tcBorders>
              <w:top w:val="nil"/>
              <w:left w:val="nil"/>
              <w:bottom w:val="nil"/>
              <w:right w:val="nil"/>
            </w:tcBorders>
            <w:shd w:val="clear" w:color="auto" w:fill="auto"/>
            <w:noWrap/>
            <w:vAlign w:val="bottom"/>
            <w:hideMark/>
          </w:tcPr>
          <w:p w14:paraId="5E36220D" w14:textId="77777777" w:rsidR="00165C37" w:rsidRPr="00A4261C" w:rsidRDefault="00165C37" w:rsidP="00D154DE">
            <w:pPr>
              <w:jc w:val="center"/>
              <w:rPr>
                <w:color w:val="000000"/>
              </w:rPr>
            </w:pPr>
            <w:r w:rsidRPr="00A4261C">
              <w:rPr>
                <w:color w:val="000000"/>
              </w:rPr>
              <w:t> </w:t>
            </w:r>
          </w:p>
        </w:tc>
        <w:tc>
          <w:tcPr>
            <w:tcW w:w="996" w:type="dxa"/>
            <w:tcBorders>
              <w:top w:val="nil"/>
              <w:left w:val="nil"/>
              <w:bottom w:val="nil"/>
              <w:right w:val="nil"/>
            </w:tcBorders>
            <w:shd w:val="clear" w:color="auto" w:fill="auto"/>
            <w:noWrap/>
            <w:vAlign w:val="bottom"/>
            <w:hideMark/>
          </w:tcPr>
          <w:p w14:paraId="5DC52C68" w14:textId="77777777" w:rsidR="00165C37" w:rsidRPr="00A4261C" w:rsidRDefault="00165C37" w:rsidP="00D154DE">
            <w:pPr>
              <w:jc w:val="center"/>
              <w:rPr>
                <w:color w:val="000000"/>
              </w:rPr>
            </w:pPr>
            <w:r w:rsidRPr="00A4261C">
              <w:rPr>
                <w:color w:val="000000"/>
              </w:rPr>
              <w:t>1</w:t>
            </w:r>
          </w:p>
        </w:tc>
        <w:tc>
          <w:tcPr>
            <w:tcW w:w="1129" w:type="dxa"/>
            <w:tcBorders>
              <w:top w:val="nil"/>
              <w:left w:val="nil"/>
              <w:bottom w:val="nil"/>
              <w:right w:val="nil"/>
            </w:tcBorders>
            <w:shd w:val="clear" w:color="auto" w:fill="auto"/>
            <w:noWrap/>
            <w:vAlign w:val="bottom"/>
            <w:hideMark/>
          </w:tcPr>
          <w:p w14:paraId="704569E5" w14:textId="77777777" w:rsidR="00165C37" w:rsidRPr="00A4261C" w:rsidRDefault="00165C37" w:rsidP="00D154DE">
            <w:pPr>
              <w:jc w:val="center"/>
              <w:rPr>
                <w:color w:val="000000"/>
              </w:rPr>
            </w:pPr>
            <w:r w:rsidRPr="00A4261C">
              <w:rPr>
                <w:color w:val="000000"/>
              </w:rPr>
              <w:t>2</w:t>
            </w:r>
          </w:p>
        </w:tc>
        <w:tc>
          <w:tcPr>
            <w:tcW w:w="996" w:type="dxa"/>
            <w:tcBorders>
              <w:top w:val="nil"/>
              <w:left w:val="nil"/>
              <w:bottom w:val="nil"/>
              <w:right w:val="nil"/>
            </w:tcBorders>
            <w:shd w:val="clear" w:color="auto" w:fill="auto"/>
            <w:noWrap/>
            <w:vAlign w:val="bottom"/>
            <w:hideMark/>
          </w:tcPr>
          <w:p w14:paraId="31FC6769" w14:textId="77777777" w:rsidR="00165C37" w:rsidRPr="00A4261C" w:rsidRDefault="00165C37" w:rsidP="00D154DE">
            <w:pPr>
              <w:jc w:val="center"/>
              <w:rPr>
                <w:color w:val="000000"/>
              </w:rPr>
            </w:pPr>
            <w:r w:rsidRPr="00A4261C">
              <w:rPr>
                <w:color w:val="000000"/>
              </w:rPr>
              <w:t>3</w:t>
            </w:r>
          </w:p>
        </w:tc>
        <w:tc>
          <w:tcPr>
            <w:tcW w:w="996" w:type="dxa"/>
            <w:tcBorders>
              <w:top w:val="nil"/>
              <w:left w:val="nil"/>
              <w:bottom w:val="nil"/>
              <w:right w:val="nil"/>
            </w:tcBorders>
            <w:shd w:val="clear" w:color="auto" w:fill="auto"/>
            <w:noWrap/>
            <w:vAlign w:val="bottom"/>
            <w:hideMark/>
          </w:tcPr>
          <w:p w14:paraId="3B17EC4E" w14:textId="77777777" w:rsidR="00165C37" w:rsidRPr="00A4261C" w:rsidRDefault="00165C37" w:rsidP="00D154DE">
            <w:pPr>
              <w:jc w:val="center"/>
              <w:rPr>
                <w:color w:val="000000"/>
              </w:rPr>
            </w:pPr>
            <w:r w:rsidRPr="00A4261C">
              <w:rPr>
                <w:color w:val="000000"/>
              </w:rPr>
              <w:t>4</w:t>
            </w:r>
          </w:p>
        </w:tc>
        <w:tc>
          <w:tcPr>
            <w:tcW w:w="777" w:type="dxa"/>
            <w:tcBorders>
              <w:top w:val="nil"/>
              <w:left w:val="nil"/>
              <w:bottom w:val="nil"/>
              <w:right w:val="nil"/>
            </w:tcBorders>
            <w:shd w:val="clear" w:color="auto" w:fill="auto"/>
            <w:noWrap/>
            <w:vAlign w:val="bottom"/>
            <w:hideMark/>
          </w:tcPr>
          <w:p w14:paraId="1FD138EA" w14:textId="77777777" w:rsidR="00165C37" w:rsidRPr="00A4261C" w:rsidRDefault="00165C37" w:rsidP="00D154DE">
            <w:pPr>
              <w:jc w:val="center"/>
              <w:rPr>
                <w:color w:val="000000"/>
              </w:rPr>
            </w:pPr>
            <w:r w:rsidRPr="00A4261C">
              <w:rPr>
                <w:color w:val="000000"/>
              </w:rPr>
              <w:t>5</w:t>
            </w:r>
          </w:p>
        </w:tc>
        <w:tc>
          <w:tcPr>
            <w:tcW w:w="996" w:type="dxa"/>
            <w:tcBorders>
              <w:top w:val="nil"/>
              <w:left w:val="nil"/>
              <w:bottom w:val="nil"/>
              <w:right w:val="nil"/>
            </w:tcBorders>
            <w:shd w:val="clear" w:color="auto" w:fill="auto"/>
            <w:noWrap/>
            <w:vAlign w:val="bottom"/>
            <w:hideMark/>
          </w:tcPr>
          <w:p w14:paraId="388134E9" w14:textId="77777777" w:rsidR="00165C37" w:rsidRPr="00A4261C" w:rsidRDefault="00165C37" w:rsidP="00D154DE">
            <w:pPr>
              <w:jc w:val="center"/>
              <w:rPr>
                <w:color w:val="000000"/>
              </w:rPr>
            </w:pPr>
            <w:r w:rsidRPr="00A4261C">
              <w:rPr>
                <w:color w:val="000000"/>
              </w:rPr>
              <w:t>6</w:t>
            </w:r>
          </w:p>
        </w:tc>
        <w:tc>
          <w:tcPr>
            <w:tcW w:w="996" w:type="dxa"/>
            <w:tcBorders>
              <w:top w:val="nil"/>
              <w:left w:val="nil"/>
              <w:bottom w:val="nil"/>
              <w:right w:val="nil"/>
            </w:tcBorders>
            <w:shd w:val="clear" w:color="auto" w:fill="auto"/>
            <w:noWrap/>
            <w:vAlign w:val="bottom"/>
            <w:hideMark/>
          </w:tcPr>
          <w:p w14:paraId="4FD7A88F" w14:textId="77777777" w:rsidR="00165C37" w:rsidRPr="00A4261C" w:rsidRDefault="00165C37" w:rsidP="00D154DE">
            <w:pPr>
              <w:jc w:val="center"/>
              <w:rPr>
                <w:color w:val="000000"/>
              </w:rPr>
            </w:pPr>
            <w:r w:rsidRPr="00A4261C">
              <w:rPr>
                <w:color w:val="000000"/>
              </w:rPr>
              <w:t>7</w:t>
            </w:r>
          </w:p>
        </w:tc>
        <w:tc>
          <w:tcPr>
            <w:tcW w:w="996" w:type="dxa"/>
            <w:tcBorders>
              <w:top w:val="nil"/>
              <w:left w:val="nil"/>
              <w:bottom w:val="nil"/>
              <w:right w:val="nil"/>
            </w:tcBorders>
            <w:shd w:val="clear" w:color="auto" w:fill="auto"/>
            <w:noWrap/>
            <w:vAlign w:val="bottom"/>
            <w:hideMark/>
          </w:tcPr>
          <w:p w14:paraId="1F6A4E97" w14:textId="77777777" w:rsidR="00165C37" w:rsidRPr="00A4261C" w:rsidRDefault="00165C37" w:rsidP="00D154DE">
            <w:pPr>
              <w:jc w:val="center"/>
              <w:rPr>
                <w:color w:val="000000"/>
              </w:rPr>
            </w:pPr>
            <w:r w:rsidRPr="00A4261C">
              <w:rPr>
                <w:color w:val="000000"/>
              </w:rPr>
              <w:t>8</w:t>
            </w:r>
          </w:p>
        </w:tc>
      </w:tr>
      <w:tr w:rsidR="00165C37" w:rsidRPr="00A4261C" w14:paraId="022F2A49" w14:textId="77777777" w:rsidTr="00D154DE">
        <w:trPr>
          <w:trHeight w:val="340"/>
        </w:trPr>
        <w:tc>
          <w:tcPr>
            <w:tcW w:w="6506" w:type="dxa"/>
            <w:tcBorders>
              <w:top w:val="nil"/>
              <w:left w:val="nil"/>
              <w:bottom w:val="nil"/>
              <w:right w:val="nil"/>
            </w:tcBorders>
            <w:shd w:val="clear" w:color="auto" w:fill="auto"/>
            <w:vAlign w:val="center"/>
            <w:hideMark/>
          </w:tcPr>
          <w:p w14:paraId="1284B63A" w14:textId="77777777" w:rsidR="00165C37" w:rsidRPr="00A4261C" w:rsidRDefault="00165C37" w:rsidP="00D154DE">
            <w:pPr>
              <w:rPr>
                <w:color w:val="000000"/>
              </w:rPr>
            </w:pPr>
            <w:r w:rsidRPr="00A4261C">
              <w:rPr>
                <w:color w:val="000000"/>
              </w:rPr>
              <w:t>1. AMMSA</w:t>
            </w:r>
          </w:p>
        </w:tc>
        <w:tc>
          <w:tcPr>
            <w:tcW w:w="996" w:type="dxa"/>
            <w:tcBorders>
              <w:top w:val="nil"/>
              <w:left w:val="nil"/>
              <w:bottom w:val="nil"/>
              <w:right w:val="nil"/>
            </w:tcBorders>
            <w:shd w:val="clear" w:color="auto" w:fill="auto"/>
            <w:noWrap/>
            <w:vAlign w:val="bottom"/>
            <w:hideMark/>
          </w:tcPr>
          <w:p w14:paraId="084F974E" w14:textId="77777777" w:rsidR="00165C37" w:rsidRPr="00A4261C" w:rsidRDefault="00165C37" w:rsidP="00D154DE">
            <w:pPr>
              <w:jc w:val="center"/>
              <w:rPr>
                <w:color w:val="000000"/>
              </w:rPr>
            </w:pPr>
            <w:r w:rsidRPr="00A4261C">
              <w:rPr>
                <w:color w:val="000000"/>
              </w:rPr>
              <w:t>-</w:t>
            </w:r>
          </w:p>
        </w:tc>
        <w:tc>
          <w:tcPr>
            <w:tcW w:w="1129" w:type="dxa"/>
            <w:tcBorders>
              <w:top w:val="nil"/>
              <w:left w:val="nil"/>
              <w:bottom w:val="nil"/>
              <w:right w:val="nil"/>
            </w:tcBorders>
            <w:shd w:val="clear" w:color="auto" w:fill="auto"/>
            <w:noWrap/>
            <w:vAlign w:val="bottom"/>
            <w:hideMark/>
          </w:tcPr>
          <w:p w14:paraId="706C42B5" w14:textId="77777777" w:rsidR="00165C37" w:rsidRPr="00A4261C" w:rsidRDefault="00165C37" w:rsidP="00D154DE">
            <w:pPr>
              <w:rPr>
                <w:color w:val="000000"/>
              </w:rPr>
            </w:pPr>
          </w:p>
        </w:tc>
        <w:tc>
          <w:tcPr>
            <w:tcW w:w="996" w:type="dxa"/>
            <w:tcBorders>
              <w:top w:val="nil"/>
              <w:left w:val="nil"/>
              <w:bottom w:val="nil"/>
              <w:right w:val="nil"/>
            </w:tcBorders>
            <w:shd w:val="clear" w:color="auto" w:fill="auto"/>
            <w:noWrap/>
            <w:vAlign w:val="bottom"/>
            <w:hideMark/>
          </w:tcPr>
          <w:p w14:paraId="0447FC83" w14:textId="77777777" w:rsidR="00165C37" w:rsidRPr="00A4261C" w:rsidRDefault="00165C37" w:rsidP="00D154DE"/>
        </w:tc>
        <w:tc>
          <w:tcPr>
            <w:tcW w:w="996" w:type="dxa"/>
            <w:tcBorders>
              <w:top w:val="nil"/>
              <w:left w:val="nil"/>
              <w:bottom w:val="nil"/>
              <w:right w:val="nil"/>
            </w:tcBorders>
            <w:shd w:val="clear" w:color="auto" w:fill="auto"/>
            <w:noWrap/>
            <w:vAlign w:val="bottom"/>
            <w:hideMark/>
          </w:tcPr>
          <w:p w14:paraId="58AEF0A6" w14:textId="77777777" w:rsidR="00165C37" w:rsidRPr="00A4261C" w:rsidRDefault="00165C37" w:rsidP="00D154DE"/>
        </w:tc>
        <w:tc>
          <w:tcPr>
            <w:tcW w:w="777" w:type="dxa"/>
            <w:tcBorders>
              <w:top w:val="nil"/>
              <w:left w:val="nil"/>
              <w:bottom w:val="nil"/>
              <w:right w:val="nil"/>
            </w:tcBorders>
            <w:shd w:val="clear" w:color="auto" w:fill="auto"/>
            <w:noWrap/>
            <w:vAlign w:val="bottom"/>
            <w:hideMark/>
          </w:tcPr>
          <w:p w14:paraId="4A52FFF3" w14:textId="77777777" w:rsidR="00165C37" w:rsidRPr="00A4261C" w:rsidRDefault="00165C37" w:rsidP="00D154DE"/>
        </w:tc>
        <w:tc>
          <w:tcPr>
            <w:tcW w:w="996" w:type="dxa"/>
            <w:tcBorders>
              <w:top w:val="nil"/>
              <w:left w:val="nil"/>
              <w:bottom w:val="nil"/>
              <w:right w:val="nil"/>
            </w:tcBorders>
            <w:shd w:val="clear" w:color="auto" w:fill="auto"/>
            <w:noWrap/>
            <w:vAlign w:val="bottom"/>
            <w:hideMark/>
          </w:tcPr>
          <w:p w14:paraId="6D31D97A" w14:textId="77777777" w:rsidR="00165C37" w:rsidRPr="00A4261C" w:rsidRDefault="00165C37" w:rsidP="00D154DE"/>
        </w:tc>
        <w:tc>
          <w:tcPr>
            <w:tcW w:w="996" w:type="dxa"/>
            <w:tcBorders>
              <w:top w:val="nil"/>
              <w:left w:val="nil"/>
              <w:bottom w:val="nil"/>
              <w:right w:val="nil"/>
            </w:tcBorders>
            <w:shd w:val="clear" w:color="auto" w:fill="auto"/>
            <w:noWrap/>
            <w:vAlign w:val="bottom"/>
            <w:hideMark/>
          </w:tcPr>
          <w:p w14:paraId="2C71131C" w14:textId="77777777" w:rsidR="00165C37" w:rsidRPr="00A4261C" w:rsidRDefault="00165C37" w:rsidP="00D154DE"/>
        </w:tc>
        <w:tc>
          <w:tcPr>
            <w:tcW w:w="996" w:type="dxa"/>
            <w:tcBorders>
              <w:top w:val="nil"/>
              <w:left w:val="nil"/>
              <w:bottom w:val="nil"/>
              <w:right w:val="nil"/>
            </w:tcBorders>
            <w:shd w:val="clear" w:color="auto" w:fill="auto"/>
            <w:noWrap/>
            <w:vAlign w:val="bottom"/>
            <w:hideMark/>
          </w:tcPr>
          <w:p w14:paraId="08F6E155" w14:textId="77777777" w:rsidR="00165C37" w:rsidRPr="00A4261C" w:rsidRDefault="00165C37" w:rsidP="00D154DE"/>
        </w:tc>
      </w:tr>
      <w:tr w:rsidR="00165C37" w:rsidRPr="00A4261C" w14:paraId="41A5644D" w14:textId="77777777" w:rsidTr="00D154DE">
        <w:trPr>
          <w:trHeight w:val="364"/>
        </w:trPr>
        <w:tc>
          <w:tcPr>
            <w:tcW w:w="6506" w:type="dxa"/>
            <w:tcBorders>
              <w:top w:val="nil"/>
              <w:left w:val="nil"/>
              <w:bottom w:val="nil"/>
              <w:right w:val="nil"/>
            </w:tcBorders>
            <w:shd w:val="clear" w:color="auto" w:fill="auto"/>
            <w:vAlign w:val="center"/>
            <w:hideMark/>
          </w:tcPr>
          <w:p w14:paraId="6675F308" w14:textId="77777777" w:rsidR="00165C37" w:rsidRPr="00A4261C" w:rsidRDefault="00165C37" w:rsidP="00D154DE">
            <w:pPr>
              <w:rPr>
                <w:color w:val="000000"/>
              </w:rPr>
            </w:pPr>
            <w:r w:rsidRPr="00A4261C">
              <w:rPr>
                <w:color w:val="000000"/>
              </w:rPr>
              <w:t>2. Gender</w:t>
            </w:r>
          </w:p>
        </w:tc>
        <w:tc>
          <w:tcPr>
            <w:tcW w:w="996" w:type="dxa"/>
            <w:tcBorders>
              <w:top w:val="nil"/>
              <w:left w:val="nil"/>
              <w:bottom w:val="nil"/>
              <w:right w:val="nil"/>
            </w:tcBorders>
            <w:shd w:val="clear" w:color="auto" w:fill="auto"/>
            <w:noWrap/>
            <w:vAlign w:val="bottom"/>
            <w:hideMark/>
          </w:tcPr>
          <w:p w14:paraId="55F962CF" w14:textId="77777777" w:rsidR="00165C37" w:rsidRPr="00A4261C" w:rsidRDefault="00165C37" w:rsidP="00D154DE">
            <w:pPr>
              <w:rPr>
                <w:color w:val="000000"/>
              </w:rPr>
            </w:pPr>
            <w:r w:rsidRPr="00A4261C">
              <w:rPr>
                <w:color w:val="000000"/>
              </w:rPr>
              <w:t>0.11***</w:t>
            </w:r>
          </w:p>
        </w:tc>
        <w:tc>
          <w:tcPr>
            <w:tcW w:w="1129" w:type="dxa"/>
            <w:tcBorders>
              <w:top w:val="nil"/>
              <w:left w:val="nil"/>
              <w:bottom w:val="nil"/>
              <w:right w:val="nil"/>
            </w:tcBorders>
            <w:shd w:val="clear" w:color="auto" w:fill="auto"/>
            <w:noWrap/>
            <w:vAlign w:val="bottom"/>
            <w:hideMark/>
          </w:tcPr>
          <w:p w14:paraId="5B507511" w14:textId="77777777" w:rsidR="00165C37" w:rsidRPr="00A4261C" w:rsidRDefault="00165C37" w:rsidP="00D154DE">
            <w:pPr>
              <w:jc w:val="center"/>
              <w:rPr>
                <w:color w:val="000000"/>
              </w:rPr>
            </w:pPr>
            <w:r w:rsidRPr="00A4261C">
              <w:rPr>
                <w:color w:val="000000"/>
              </w:rPr>
              <w:t>-</w:t>
            </w:r>
          </w:p>
        </w:tc>
        <w:tc>
          <w:tcPr>
            <w:tcW w:w="996" w:type="dxa"/>
            <w:tcBorders>
              <w:top w:val="nil"/>
              <w:left w:val="nil"/>
              <w:bottom w:val="nil"/>
              <w:right w:val="nil"/>
            </w:tcBorders>
            <w:shd w:val="clear" w:color="auto" w:fill="auto"/>
            <w:noWrap/>
            <w:vAlign w:val="bottom"/>
            <w:hideMark/>
          </w:tcPr>
          <w:p w14:paraId="38A7ED29" w14:textId="77777777" w:rsidR="00165C37" w:rsidRPr="00A4261C" w:rsidRDefault="00165C37" w:rsidP="00D154DE">
            <w:pPr>
              <w:rPr>
                <w:color w:val="000000"/>
              </w:rPr>
            </w:pPr>
          </w:p>
        </w:tc>
        <w:tc>
          <w:tcPr>
            <w:tcW w:w="996" w:type="dxa"/>
            <w:tcBorders>
              <w:top w:val="nil"/>
              <w:left w:val="nil"/>
              <w:bottom w:val="nil"/>
              <w:right w:val="nil"/>
            </w:tcBorders>
            <w:shd w:val="clear" w:color="auto" w:fill="auto"/>
            <w:noWrap/>
            <w:vAlign w:val="bottom"/>
            <w:hideMark/>
          </w:tcPr>
          <w:p w14:paraId="1D420B86" w14:textId="77777777" w:rsidR="00165C37" w:rsidRPr="00A4261C" w:rsidRDefault="00165C37" w:rsidP="00D154DE"/>
        </w:tc>
        <w:tc>
          <w:tcPr>
            <w:tcW w:w="777" w:type="dxa"/>
            <w:tcBorders>
              <w:top w:val="nil"/>
              <w:left w:val="nil"/>
              <w:bottom w:val="nil"/>
              <w:right w:val="nil"/>
            </w:tcBorders>
            <w:shd w:val="clear" w:color="auto" w:fill="auto"/>
            <w:noWrap/>
            <w:vAlign w:val="bottom"/>
            <w:hideMark/>
          </w:tcPr>
          <w:p w14:paraId="09C0CE0D" w14:textId="77777777" w:rsidR="00165C37" w:rsidRPr="00A4261C" w:rsidRDefault="00165C37" w:rsidP="00D154DE"/>
        </w:tc>
        <w:tc>
          <w:tcPr>
            <w:tcW w:w="996" w:type="dxa"/>
            <w:tcBorders>
              <w:top w:val="nil"/>
              <w:left w:val="nil"/>
              <w:bottom w:val="nil"/>
              <w:right w:val="nil"/>
            </w:tcBorders>
            <w:shd w:val="clear" w:color="auto" w:fill="auto"/>
            <w:noWrap/>
            <w:vAlign w:val="bottom"/>
            <w:hideMark/>
          </w:tcPr>
          <w:p w14:paraId="44AD8F4E" w14:textId="77777777" w:rsidR="00165C37" w:rsidRPr="00A4261C" w:rsidRDefault="00165C37" w:rsidP="00D154DE"/>
        </w:tc>
        <w:tc>
          <w:tcPr>
            <w:tcW w:w="996" w:type="dxa"/>
            <w:tcBorders>
              <w:top w:val="nil"/>
              <w:left w:val="nil"/>
              <w:bottom w:val="nil"/>
              <w:right w:val="nil"/>
            </w:tcBorders>
            <w:shd w:val="clear" w:color="auto" w:fill="auto"/>
            <w:noWrap/>
            <w:vAlign w:val="bottom"/>
            <w:hideMark/>
          </w:tcPr>
          <w:p w14:paraId="515F8138" w14:textId="77777777" w:rsidR="00165C37" w:rsidRPr="00A4261C" w:rsidRDefault="00165C37" w:rsidP="00D154DE"/>
        </w:tc>
        <w:tc>
          <w:tcPr>
            <w:tcW w:w="996" w:type="dxa"/>
            <w:tcBorders>
              <w:top w:val="nil"/>
              <w:left w:val="nil"/>
              <w:bottom w:val="nil"/>
              <w:right w:val="nil"/>
            </w:tcBorders>
            <w:shd w:val="clear" w:color="auto" w:fill="auto"/>
            <w:noWrap/>
            <w:vAlign w:val="bottom"/>
            <w:hideMark/>
          </w:tcPr>
          <w:p w14:paraId="57ED3209" w14:textId="77777777" w:rsidR="00165C37" w:rsidRPr="00A4261C" w:rsidRDefault="00165C37" w:rsidP="00D154DE"/>
        </w:tc>
      </w:tr>
      <w:tr w:rsidR="00165C37" w:rsidRPr="00A4261C" w14:paraId="5020478B" w14:textId="77777777" w:rsidTr="00D154DE">
        <w:trPr>
          <w:trHeight w:val="447"/>
        </w:trPr>
        <w:tc>
          <w:tcPr>
            <w:tcW w:w="6506" w:type="dxa"/>
            <w:tcBorders>
              <w:top w:val="nil"/>
              <w:left w:val="nil"/>
              <w:bottom w:val="nil"/>
              <w:right w:val="nil"/>
            </w:tcBorders>
            <w:shd w:val="clear" w:color="auto" w:fill="auto"/>
            <w:vAlign w:val="center"/>
            <w:hideMark/>
          </w:tcPr>
          <w:p w14:paraId="0105C06F" w14:textId="77777777" w:rsidR="00165C37" w:rsidRPr="00A4261C" w:rsidRDefault="00165C37" w:rsidP="00D154DE">
            <w:pPr>
              <w:rPr>
                <w:color w:val="000000"/>
              </w:rPr>
            </w:pPr>
            <w:r w:rsidRPr="00A4261C">
              <w:rPr>
                <w:color w:val="000000"/>
              </w:rPr>
              <w:t>3. Age</w:t>
            </w:r>
          </w:p>
        </w:tc>
        <w:tc>
          <w:tcPr>
            <w:tcW w:w="996" w:type="dxa"/>
            <w:tcBorders>
              <w:top w:val="nil"/>
              <w:left w:val="nil"/>
              <w:bottom w:val="nil"/>
              <w:right w:val="nil"/>
            </w:tcBorders>
            <w:shd w:val="clear" w:color="auto" w:fill="auto"/>
            <w:noWrap/>
            <w:vAlign w:val="bottom"/>
            <w:hideMark/>
          </w:tcPr>
          <w:p w14:paraId="54B4095C" w14:textId="77777777" w:rsidR="00165C37" w:rsidRPr="00A4261C" w:rsidRDefault="00165C37" w:rsidP="00D154DE">
            <w:pPr>
              <w:rPr>
                <w:color w:val="000000"/>
              </w:rPr>
            </w:pPr>
            <w:r w:rsidRPr="00A4261C">
              <w:rPr>
                <w:color w:val="000000"/>
              </w:rPr>
              <w:t>-0.02</w:t>
            </w:r>
          </w:p>
        </w:tc>
        <w:tc>
          <w:tcPr>
            <w:tcW w:w="1129" w:type="dxa"/>
            <w:tcBorders>
              <w:top w:val="nil"/>
              <w:left w:val="nil"/>
              <w:bottom w:val="nil"/>
              <w:right w:val="nil"/>
            </w:tcBorders>
            <w:shd w:val="clear" w:color="auto" w:fill="auto"/>
            <w:noWrap/>
            <w:vAlign w:val="bottom"/>
            <w:hideMark/>
          </w:tcPr>
          <w:p w14:paraId="19D8009E" w14:textId="77777777" w:rsidR="00165C37" w:rsidRPr="00A4261C" w:rsidRDefault="00165C37" w:rsidP="00D154DE">
            <w:pPr>
              <w:rPr>
                <w:color w:val="000000"/>
              </w:rPr>
            </w:pPr>
            <w:r w:rsidRPr="00A4261C">
              <w:rPr>
                <w:color w:val="000000"/>
              </w:rPr>
              <w:t>-0.13***</w:t>
            </w:r>
          </w:p>
        </w:tc>
        <w:tc>
          <w:tcPr>
            <w:tcW w:w="996" w:type="dxa"/>
            <w:tcBorders>
              <w:top w:val="nil"/>
              <w:left w:val="nil"/>
              <w:bottom w:val="nil"/>
              <w:right w:val="nil"/>
            </w:tcBorders>
            <w:shd w:val="clear" w:color="auto" w:fill="auto"/>
            <w:noWrap/>
            <w:vAlign w:val="bottom"/>
            <w:hideMark/>
          </w:tcPr>
          <w:p w14:paraId="0E9C6573" w14:textId="77777777" w:rsidR="00165C37" w:rsidRPr="00A4261C" w:rsidRDefault="00165C37" w:rsidP="00D154DE">
            <w:pPr>
              <w:jc w:val="center"/>
            </w:pPr>
            <w:r w:rsidRPr="00A4261C">
              <w:t>-</w:t>
            </w:r>
          </w:p>
        </w:tc>
        <w:tc>
          <w:tcPr>
            <w:tcW w:w="996" w:type="dxa"/>
            <w:tcBorders>
              <w:top w:val="nil"/>
              <w:left w:val="nil"/>
              <w:bottom w:val="nil"/>
              <w:right w:val="nil"/>
            </w:tcBorders>
            <w:shd w:val="clear" w:color="auto" w:fill="auto"/>
            <w:noWrap/>
            <w:vAlign w:val="bottom"/>
            <w:hideMark/>
          </w:tcPr>
          <w:p w14:paraId="20EC9B29" w14:textId="77777777" w:rsidR="00165C37" w:rsidRPr="00A4261C" w:rsidRDefault="00165C37" w:rsidP="00D154DE"/>
        </w:tc>
        <w:tc>
          <w:tcPr>
            <w:tcW w:w="777" w:type="dxa"/>
            <w:tcBorders>
              <w:top w:val="nil"/>
              <w:left w:val="nil"/>
              <w:bottom w:val="nil"/>
              <w:right w:val="nil"/>
            </w:tcBorders>
            <w:shd w:val="clear" w:color="auto" w:fill="auto"/>
            <w:noWrap/>
            <w:vAlign w:val="bottom"/>
            <w:hideMark/>
          </w:tcPr>
          <w:p w14:paraId="30093815" w14:textId="77777777" w:rsidR="00165C37" w:rsidRPr="00A4261C" w:rsidRDefault="00165C37" w:rsidP="00D154DE"/>
        </w:tc>
        <w:tc>
          <w:tcPr>
            <w:tcW w:w="996" w:type="dxa"/>
            <w:tcBorders>
              <w:top w:val="nil"/>
              <w:left w:val="nil"/>
              <w:bottom w:val="nil"/>
              <w:right w:val="nil"/>
            </w:tcBorders>
            <w:shd w:val="clear" w:color="auto" w:fill="auto"/>
            <w:noWrap/>
            <w:vAlign w:val="bottom"/>
            <w:hideMark/>
          </w:tcPr>
          <w:p w14:paraId="6CB93C57" w14:textId="77777777" w:rsidR="00165C37" w:rsidRPr="00A4261C" w:rsidRDefault="00165C37" w:rsidP="00D154DE"/>
        </w:tc>
        <w:tc>
          <w:tcPr>
            <w:tcW w:w="996" w:type="dxa"/>
            <w:tcBorders>
              <w:top w:val="nil"/>
              <w:left w:val="nil"/>
              <w:bottom w:val="nil"/>
              <w:right w:val="nil"/>
            </w:tcBorders>
            <w:shd w:val="clear" w:color="auto" w:fill="auto"/>
            <w:noWrap/>
            <w:vAlign w:val="bottom"/>
            <w:hideMark/>
          </w:tcPr>
          <w:p w14:paraId="194CD716" w14:textId="77777777" w:rsidR="00165C37" w:rsidRPr="00A4261C" w:rsidRDefault="00165C37" w:rsidP="00D154DE"/>
        </w:tc>
        <w:tc>
          <w:tcPr>
            <w:tcW w:w="996" w:type="dxa"/>
            <w:tcBorders>
              <w:top w:val="nil"/>
              <w:left w:val="nil"/>
              <w:bottom w:val="nil"/>
              <w:right w:val="nil"/>
            </w:tcBorders>
            <w:shd w:val="clear" w:color="auto" w:fill="auto"/>
            <w:noWrap/>
            <w:vAlign w:val="bottom"/>
            <w:hideMark/>
          </w:tcPr>
          <w:p w14:paraId="33E415AC" w14:textId="77777777" w:rsidR="00165C37" w:rsidRPr="00A4261C" w:rsidRDefault="00165C37" w:rsidP="00D154DE"/>
        </w:tc>
      </w:tr>
      <w:tr w:rsidR="00165C37" w:rsidRPr="00A4261C" w14:paraId="548BD0A5" w14:textId="77777777" w:rsidTr="00D154DE">
        <w:trPr>
          <w:trHeight w:val="360"/>
        </w:trPr>
        <w:tc>
          <w:tcPr>
            <w:tcW w:w="6506" w:type="dxa"/>
            <w:tcBorders>
              <w:top w:val="nil"/>
              <w:left w:val="nil"/>
              <w:bottom w:val="nil"/>
              <w:right w:val="nil"/>
            </w:tcBorders>
            <w:shd w:val="clear" w:color="auto" w:fill="auto"/>
            <w:vAlign w:val="center"/>
            <w:hideMark/>
          </w:tcPr>
          <w:p w14:paraId="01657418" w14:textId="77777777" w:rsidR="00165C37" w:rsidRPr="00A4261C" w:rsidRDefault="00165C37" w:rsidP="00D154DE">
            <w:pPr>
              <w:rPr>
                <w:color w:val="000000"/>
              </w:rPr>
            </w:pPr>
            <w:r w:rsidRPr="00A4261C">
              <w:rPr>
                <w:color w:val="000000"/>
              </w:rPr>
              <w:t>4. Years of Service</w:t>
            </w:r>
          </w:p>
        </w:tc>
        <w:tc>
          <w:tcPr>
            <w:tcW w:w="996" w:type="dxa"/>
            <w:tcBorders>
              <w:top w:val="nil"/>
              <w:left w:val="nil"/>
              <w:bottom w:val="nil"/>
              <w:right w:val="nil"/>
            </w:tcBorders>
            <w:shd w:val="clear" w:color="auto" w:fill="auto"/>
            <w:noWrap/>
            <w:vAlign w:val="bottom"/>
            <w:hideMark/>
          </w:tcPr>
          <w:p w14:paraId="2C2372F8" w14:textId="77777777" w:rsidR="00165C37" w:rsidRPr="00A4261C" w:rsidRDefault="00165C37" w:rsidP="00D154DE">
            <w:pPr>
              <w:rPr>
                <w:color w:val="000000"/>
              </w:rPr>
            </w:pPr>
            <w:r w:rsidRPr="00A4261C">
              <w:rPr>
                <w:color w:val="000000"/>
              </w:rPr>
              <w:t xml:space="preserve">0.02 </w:t>
            </w:r>
          </w:p>
        </w:tc>
        <w:tc>
          <w:tcPr>
            <w:tcW w:w="1129" w:type="dxa"/>
            <w:tcBorders>
              <w:top w:val="nil"/>
              <w:left w:val="nil"/>
              <w:bottom w:val="nil"/>
              <w:right w:val="nil"/>
            </w:tcBorders>
            <w:shd w:val="clear" w:color="auto" w:fill="auto"/>
            <w:noWrap/>
            <w:vAlign w:val="bottom"/>
            <w:hideMark/>
          </w:tcPr>
          <w:p w14:paraId="66FE5B0D" w14:textId="77777777" w:rsidR="00165C37" w:rsidRPr="00A4261C" w:rsidRDefault="00165C37" w:rsidP="00D154DE">
            <w:pPr>
              <w:rPr>
                <w:color w:val="000000"/>
              </w:rPr>
            </w:pPr>
            <w:r w:rsidRPr="00A4261C">
              <w:rPr>
                <w:color w:val="000000"/>
              </w:rPr>
              <w:t>-0.11***</w:t>
            </w:r>
          </w:p>
        </w:tc>
        <w:tc>
          <w:tcPr>
            <w:tcW w:w="996" w:type="dxa"/>
            <w:tcBorders>
              <w:top w:val="nil"/>
              <w:left w:val="nil"/>
              <w:bottom w:val="nil"/>
              <w:right w:val="nil"/>
            </w:tcBorders>
            <w:shd w:val="clear" w:color="auto" w:fill="auto"/>
            <w:noWrap/>
            <w:vAlign w:val="bottom"/>
            <w:hideMark/>
          </w:tcPr>
          <w:p w14:paraId="46F7E796" w14:textId="77777777" w:rsidR="00165C37" w:rsidRPr="00A4261C" w:rsidRDefault="00165C37" w:rsidP="00D154DE">
            <w:pPr>
              <w:rPr>
                <w:color w:val="000000"/>
              </w:rPr>
            </w:pPr>
            <w:r w:rsidRPr="00A4261C">
              <w:rPr>
                <w:color w:val="000000"/>
              </w:rPr>
              <w:t>0.75***</w:t>
            </w:r>
          </w:p>
        </w:tc>
        <w:tc>
          <w:tcPr>
            <w:tcW w:w="996" w:type="dxa"/>
            <w:tcBorders>
              <w:top w:val="nil"/>
              <w:left w:val="nil"/>
              <w:bottom w:val="nil"/>
              <w:right w:val="nil"/>
            </w:tcBorders>
            <w:shd w:val="clear" w:color="auto" w:fill="auto"/>
            <w:noWrap/>
            <w:vAlign w:val="bottom"/>
            <w:hideMark/>
          </w:tcPr>
          <w:p w14:paraId="2F7C5031" w14:textId="77777777" w:rsidR="00165C37" w:rsidRPr="00A4261C" w:rsidRDefault="00165C37" w:rsidP="00D154DE">
            <w:pPr>
              <w:jc w:val="center"/>
            </w:pPr>
            <w:r w:rsidRPr="00A4261C">
              <w:t>-</w:t>
            </w:r>
          </w:p>
        </w:tc>
        <w:tc>
          <w:tcPr>
            <w:tcW w:w="777" w:type="dxa"/>
            <w:tcBorders>
              <w:top w:val="nil"/>
              <w:left w:val="nil"/>
              <w:bottom w:val="nil"/>
              <w:right w:val="nil"/>
            </w:tcBorders>
            <w:shd w:val="clear" w:color="auto" w:fill="auto"/>
            <w:noWrap/>
            <w:vAlign w:val="bottom"/>
            <w:hideMark/>
          </w:tcPr>
          <w:p w14:paraId="4F1D3474" w14:textId="77777777" w:rsidR="00165C37" w:rsidRPr="00A4261C" w:rsidRDefault="00165C37" w:rsidP="00D154DE"/>
        </w:tc>
        <w:tc>
          <w:tcPr>
            <w:tcW w:w="996" w:type="dxa"/>
            <w:tcBorders>
              <w:top w:val="nil"/>
              <w:left w:val="nil"/>
              <w:bottom w:val="nil"/>
              <w:right w:val="nil"/>
            </w:tcBorders>
            <w:shd w:val="clear" w:color="auto" w:fill="auto"/>
            <w:noWrap/>
            <w:vAlign w:val="bottom"/>
            <w:hideMark/>
          </w:tcPr>
          <w:p w14:paraId="2E721903" w14:textId="77777777" w:rsidR="00165C37" w:rsidRPr="00A4261C" w:rsidRDefault="00165C37" w:rsidP="00D154DE"/>
        </w:tc>
        <w:tc>
          <w:tcPr>
            <w:tcW w:w="996" w:type="dxa"/>
            <w:tcBorders>
              <w:top w:val="nil"/>
              <w:left w:val="nil"/>
              <w:bottom w:val="nil"/>
              <w:right w:val="nil"/>
            </w:tcBorders>
            <w:shd w:val="clear" w:color="auto" w:fill="auto"/>
            <w:noWrap/>
            <w:vAlign w:val="bottom"/>
            <w:hideMark/>
          </w:tcPr>
          <w:p w14:paraId="6A365DE1" w14:textId="77777777" w:rsidR="00165C37" w:rsidRPr="00A4261C" w:rsidRDefault="00165C37" w:rsidP="00D154DE"/>
        </w:tc>
        <w:tc>
          <w:tcPr>
            <w:tcW w:w="996" w:type="dxa"/>
            <w:tcBorders>
              <w:top w:val="nil"/>
              <w:left w:val="nil"/>
              <w:bottom w:val="nil"/>
              <w:right w:val="nil"/>
            </w:tcBorders>
            <w:shd w:val="clear" w:color="auto" w:fill="auto"/>
            <w:noWrap/>
            <w:vAlign w:val="bottom"/>
            <w:hideMark/>
          </w:tcPr>
          <w:p w14:paraId="42BC801E" w14:textId="77777777" w:rsidR="00165C37" w:rsidRPr="00A4261C" w:rsidRDefault="00165C37" w:rsidP="00D154DE"/>
        </w:tc>
      </w:tr>
      <w:tr w:rsidR="00165C37" w:rsidRPr="00A4261C" w14:paraId="0A490AB2" w14:textId="77777777" w:rsidTr="00D154DE">
        <w:trPr>
          <w:trHeight w:val="360"/>
        </w:trPr>
        <w:tc>
          <w:tcPr>
            <w:tcW w:w="6506" w:type="dxa"/>
            <w:tcBorders>
              <w:top w:val="nil"/>
              <w:left w:val="nil"/>
              <w:bottom w:val="nil"/>
              <w:right w:val="nil"/>
            </w:tcBorders>
            <w:shd w:val="clear" w:color="auto" w:fill="auto"/>
            <w:vAlign w:val="center"/>
            <w:hideMark/>
          </w:tcPr>
          <w:p w14:paraId="12D02A4D" w14:textId="77777777" w:rsidR="00165C37" w:rsidRPr="00A4261C" w:rsidRDefault="00165C37" w:rsidP="00D154DE">
            <w:pPr>
              <w:rPr>
                <w:color w:val="000000"/>
              </w:rPr>
            </w:pPr>
            <w:r w:rsidRPr="00A4261C">
              <w:rPr>
                <w:color w:val="000000"/>
              </w:rPr>
              <w:t>5. Past Experience</w:t>
            </w:r>
          </w:p>
        </w:tc>
        <w:tc>
          <w:tcPr>
            <w:tcW w:w="996" w:type="dxa"/>
            <w:tcBorders>
              <w:top w:val="nil"/>
              <w:left w:val="nil"/>
              <w:bottom w:val="nil"/>
              <w:right w:val="nil"/>
            </w:tcBorders>
            <w:shd w:val="clear" w:color="auto" w:fill="auto"/>
            <w:noWrap/>
            <w:vAlign w:val="bottom"/>
            <w:hideMark/>
          </w:tcPr>
          <w:p w14:paraId="56F39613" w14:textId="305809D4" w:rsidR="00165C37" w:rsidRPr="00A4261C" w:rsidRDefault="009569C1" w:rsidP="00D154DE">
            <w:pPr>
              <w:rPr>
                <w:color w:val="000000"/>
              </w:rPr>
            </w:pPr>
            <w:r>
              <w:rPr>
                <w:color w:val="000000"/>
              </w:rPr>
              <w:t>0.0</w:t>
            </w:r>
            <w:r w:rsidR="00165C37" w:rsidRPr="00A4261C">
              <w:rPr>
                <w:color w:val="000000"/>
              </w:rPr>
              <w:t>7*</w:t>
            </w:r>
          </w:p>
        </w:tc>
        <w:tc>
          <w:tcPr>
            <w:tcW w:w="1129" w:type="dxa"/>
            <w:tcBorders>
              <w:top w:val="nil"/>
              <w:left w:val="nil"/>
              <w:bottom w:val="nil"/>
              <w:right w:val="nil"/>
            </w:tcBorders>
            <w:shd w:val="clear" w:color="auto" w:fill="auto"/>
            <w:noWrap/>
            <w:vAlign w:val="bottom"/>
            <w:hideMark/>
          </w:tcPr>
          <w:p w14:paraId="59D14964" w14:textId="77777777" w:rsidR="00165C37" w:rsidRPr="00A4261C" w:rsidRDefault="00165C37" w:rsidP="00D154DE">
            <w:pPr>
              <w:rPr>
                <w:color w:val="000000"/>
              </w:rPr>
            </w:pPr>
            <w:r w:rsidRPr="00A4261C">
              <w:rPr>
                <w:color w:val="000000"/>
              </w:rPr>
              <w:t xml:space="preserve"> 0.18***</w:t>
            </w:r>
          </w:p>
        </w:tc>
        <w:tc>
          <w:tcPr>
            <w:tcW w:w="996" w:type="dxa"/>
            <w:tcBorders>
              <w:top w:val="nil"/>
              <w:left w:val="nil"/>
              <w:bottom w:val="nil"/>
              <w:right w:val="nil"/>
            </w:tcBorders>
            <w:shd w:val="clear" w:color="auto" w:fill="auto"/>
            <w:noWrap/>
            <w:vAlign w:val="bottom"/>
            <w:hideMark/>
          </w:tcPr>
          <w:p w14:paraId="4CF97026" w14:textId="77777777" w:rsidR="00165C37" w:rsidRPr="00A4261C" w:rsidRDefault="00165C37" w:rsidP="00D154DE">
            <w:pPr>
              <w:rPr>
                <w:color w:val="000000"/>
              </w:rPr>
            </w:pPr>
            <w:r w:rsidRPr="00A4261C">
              <w:rPr>
                <w:color w:val="000000"/>
              </w:rPr>
              <w:t xml:space="preserve"> 0.1***</w:t>
            </w:r>
          </w:p>
        </w:tc>
        <w:tc>
          <w:tcPr>
            <w:tcW w:w="996" w:type="dxa"/>
            <w:tcBorders>
              <w:top w:val="nil"/>
              <w:left w:val="nil"/>
              <w:bottom w:val="nil"/>
              <w:right w:val="nil"/>
            </w:tcBorders>
            <w:shd w:val="clear" w:color="auto" w:fill="auto"/>
            <w:noWrap/>
            <w:vAlign w:val="bottom"/>
            <w:hideMark/>
          </w:tcPr>
          <w:p w14:paraId="18502E16" w14:textId="77777777" w:rsidR="00165C37" w:rsidRPr="00A4261C" w:rsidRDefault="00165C37" w:rsidP="00D154DE">
            <w:pPr>
              <w:rPr>
                <w:color w:val="000000"/>
              </w:rPr>
            </w:pPr>
            <w:r w:rsidRPr="00A4261C">
              <w:rPr>
                <w:color w:val="000000"/>
              </w:rPr>
              <w:t>0.17***</w:t>
            </w:r>
          </w:p>
        </w:tc>
        <w:tc>
          <w:tcPr>
            <w:tcW w:w="777" w:type="dxa"/>
            <w:tcBorders>
              <w:top w:val="nil"/>
              <w:left w:val="nil"/>
              <w:bottom w:val="nil"/>
              <w:right w:val="nil"/>
            </w:tcBorders>
            <w:shd w:val="clear" w:color="auto" w:fill="auto"/>
            <w:noWrap/>
            <w:vAlign w:val="bottom"/>
            <w:hideMark/>
          </w:tcPr>
          <w:p w14:paraId="5704B205" w14:textId="77777777" w:rsidR="00165C37" w:rsidRPr="00A4261C" w:rsidRDefault="00165C37" w:rsidP="00D154DE">
            <w:pPr>
              <w:jc w:val="center"/>
            </w:pPr>
            <w:r w:rsidRPr="00A4261C">
              <w:t>-</w:t>
            </w:r>
          </w:p>
        </w:tc>
        <w:tc>
          <w:tcPr>
            <w:tcW w:w="996" w:type="dxa"/>
            <w:tcBorders>
              <w:top w:val="nil"/>
              <w:left w:val="nil"/>
              <w:bottom w:val="nil"/>
              <w:right w:val="nil"/>
            </w:tcBorders>
            <w:shd w:val="clear" w:color="auto" w:fill="auto"/>
            <w:noWrap/>
            <w:vAlign w:val="bottom"/>
            <w:hideMark/>
          </w:tcPr>
          <w:p w14:paraId="6A2E5436" w14:textId="77777777" w:rsidR="00165C37" w:rsidRPr="00A4261C" w:rsidRDefault="00165C37" w:rsidP="00D154DE"/>
        </w:tc>
        <w:tc>
          <w:tcPr>
            <w:tcW w:w="996" w:type="dxa"/>
            <w:tcBorders>
              <w:top w:val="nil"/>
              <w:left w:val="nil"/>
              <w:bottom w:val="nil"/>
              <w:right w:val="nil"/>
            </w:tcBorders>
            <w:shd w:val="clear" w:color="auto" w:fill="auto"/>
            <w:noWrap/>
            <w:vAlign w:val="bottom"/>
            <w:hideMark/>
          </w:tcPr>
          <w:p w14:paraId="0E619920" w14:textId="77777777" w:rsidR="00165C37" w:rsidRPr="00A4261C" w:rsidRDefault="00165C37" w:rsidP="00D154DE"/>
        </w:tc>
        <w:tc>
          <w:tcPr>
            <w:tcW w:w="996" w:type="dxa"/>
            <w:tcBorders>
              <w:top w:val="nil"/>
              <w:left w:val="nil"/>
              <w:bottom w:val="nil"/>
              <w:right w:val="nil"/>
            </w:tcBorders>
            <w:shd w:val="clear" w:color="auto" w:fill="auto"/>
            <w:noWrap/>
            <w:vAlign w:val="bottom"/>
            <w:hideMark/>
          </w:tcPr>
          <w:p w14:paraId="513C1D9E" w14:textId="77777777" w:rsidR="00165C37" w:rsidRPr="00A4261C" w:rsidRDefault="00165C37" w:rsidP="00D154DE"/>
        </w:tc>
      </w:tr>
      <w:tr w:rsidR="00165C37" w:rsidRPr="00A4261C" w14:paraId="5CD798B2" w14:textId="77777777" w:rsidTr="00D154DE">
        <w:trPr>
          <w:trHeight w:val="360"/>
        </w:trPr>
        <w:tc>
          <w:tcPr>
            <w:tcW w:w="6506" w:type="dxa"/>
            <w:tcBorders>
              <w:top w:val="nil"/>
              <w:left w:val="nil"/>
              <w:bottom w:val="nil"/>
              <w:right w:val="nil"/>
            </w:tcBorders>
            <w:shd w:val="clear" w:color="auto" w:fill="auto"/>
            <w:vAlign w:val="center"/>
            <w:hideMark/>
          </w:tcPr>
          <w:p w14:paraId="2F2C0F67" w14:textId="77777777" w:rsidR="00165C37" w:rsidRPr="00A4261C" w:rsidRDefault="00165C37" w:rsidP="00D154DE">
            <w:pPr>
              <w:rPr>
                <w:color w:val="000000"/>
              </w:rPr>
            </w:pPr>
            <w:r w:rsidRPr="00A4261C">
              <w:rPr>
                <w:color w:val="000000"/>
              </w:rPr>
              <w:t>6. HTWS</w:t>
            </w:r>
          </w:p>
        </w:tc>
        <w:tc>
          <w:tcPr>
            <w:tcW w:w="996" w:type="dxa"/>
            <w:tcBorders>
              <w:top w:val="nil"/>
              <w:left w:val="nil"/>
              <w:bottom w:val="nil"/>
              <w:right w:val="nil"/>
            </w:tcBorders>
            <w:shd w:val="clear" w:color="auto" w:fill="auto"/>
            <w:noWrap/>
            <w:vAlign w:val="bottom"/>
            <w:hideMark/>
          </w:tcPr>
          <w:p w14:paraId="4857B9DC" w14:textId="77777777" w:rsidR="00165C37" w:rsidRPr="00A4261C" w:rsidRDefault="00165C37" w:rsidP="00D154DE">
            <w:pPr>
              <w:rPr>
                <w:color w:val="000000"/>
              </w:rPr>
            </w:pPr>
            <w:r w:rsidRPr="00A4261C">
              <w:rPr>
                <w:color w:val="000000"/>
              </w:rPr>
              <w:t>0.49***</w:t>
            </w:r>
          </w:p>
        </w:tc>
        <w:tc>
          <w:tcPr>
            <w:tcW w:w="1129" w:type="dxa"/>
            <w:tcBorders>
              <w:top w:val="nil"/>
              <w:left w:val="nil"/>
              <w:bottom w:val="nil"/>
              <w:right w:val="nil"/>
            </w:tcBorders>
            <w:shd w:val="clear" w:color="auto" w:fill="auto"/>
            <w:noWrap/>
            <w:vAlign w:val="bottom"/>
            <w:hideMark/>
          </w:tcPr>
          <w:p w14:paraId="688205C9" w14:textId="77777777" w:rsidR="00165C37" w:rsidRPr="00A4261C" w:rsidRDefault="00165C37" w:rsidP="00D154DE">
            <w:pPr>
              <w:rPr>
                <w:color w:val="000000"/>
              </w:rPr>
            </w:pPr>
            <w:r w:rsidRPr="00A4261C">
              <w:rPr>
                <w:color w:val="000000"/>
              </w:rPr>
              <w:t xml:space="preserve"> 0.12***</w:t>
            </w:r>
          </w:p>
        </w:tc>
        <w:tc>
          <w:tcPr>
            <w:tcW w:w="996" w:type="dxa"/>
            <w:tcBorders>
              <w:top w:val="nil"/>
              <w:left w:val="nil"/>
              <w:bottom w:val="nil"/>
              <w:right w:val="nil"/>
            </w:tcBorders>
            <w:shd w:val="clear" w:color="auto" w:fill="auto"/>
            <w:noWrap/>
            <w:vAlign w:val="bottom"/>
            <w:hideMark/>
          </w:tcPr>
          <w:p w14:paraId="5F24DA31" w14:textId="56FFC72F" w:rsidR="00165C37" w:rsidRPr="00A4261C" w:rsidRDefault="00165C37" w:rsidP="00D154DE">
            <w:pPr>
              <w:rPr>
                <w:color w:val="000000"/>
              </w:rPr>
            </w:pPr>
            <w:r w:rsidRPr="00A4261C">
              <w:rPr>
                <w:color w:val="000000"/>
              </w:rPr>
              <w:t>-</w:t>
            </w:r>
            <w:r w:rsidR="009569C1">
              <w:rPr>
                <w:color w:val="000000"/>
              </w:rPr>
              <w:t>0.09</w:t>
            </w:r>
            <w:r w:rsidRPr="00A4261C">
              <w:rPr>
                <w:color w:val="000000"/>
              </w:rPr>
              <w:t>**</w:t>
            </w:r>
          </w:p>
        </w:tc>
        <w:tc>
          <w:tcPr>
            <w:tcW w:w="996" w:type="dxa"/>
            <w:tcBorders>
              <w:top w:val="nil"/>
              <w:left w:val="nil"/>
              <w:bottom w:val="nil"/>
              <w:right w:val="nil"/>
            </w:tcBorders>
            <w:shd w:val="clear" w:color="auto" w:fill="auto"/>
            <w:noWrap/>
            <w:vAlign w:val="bottom"/>
            <w:hideMark/>
          </w:tcPr>
          <w:p w14:paraId="23D37267" w14:textId="77777777" w:rsidR="00165C37" w:rsidRPr="00A4261C" w:rsidRDefault="00165C37" w:rsidP="00D154DE">
            <w:pPr>
              <w:rPr>
                <w:color w:val="000000"/>
              </w:rPr>
            </w:pPr>
            <w:r w:rsidRPr="00A4261C">
              <w:rPr>
                <w:color w:val="000000"/>
              </w:rPr>
              <w:t>-0.05</w:t>
            </w:r>
            <w:r w:rsidRPr="00A4261C">
              <w:rPr>
                <w:color w:val="000000"/>
                <w:vertAlign w:val="superscript"/>
              </w:rPr>
              <w:t>t</w:t>
            </w:r>
          </w:p>
        </w:tc>
        <w:tc>
          <w:tcPr>
            <w:tcW w:w="777" w:type="dxa"/>
            <w:tcBorders>
              <w:top w:val="nil"/>
              <w:left w:val="nil"/>
              <w:bottom w:val="nil"/>
              <w:right w:val="nil"/>
            </w:tcBorders>
            <w:shd w:val="clear" w:color="auto" w:fill="auto"/>
            <w:noWrap/>
            <w:vAlign w:val="bottom"/>
            <w:hideMark/>
          </w:tcPr>
          <w:p w14:paraId="01D8A2C7" w14:textId="77777777" w:rsidR="00165C37" w:rsidRPr="00A4261C" w:rsidRDefault="00165C37" w:rsidP="00D154DE">
            <w:pPr>
              <w:rPr>
                <w:color w:val="000000"/>
              </w:rPr>
            </w:pPr>
            <w:r w:rsidRPr="00A4261C">
              <w:rPr>
                <w:color w:val="000000"/>
              </w:rPr>
              <w:t>0.02</w:t>
            </w:r>
          </w:p>
        </w:tc>
        <w:tc>
          <w:tcPr>
            <w:tcW w:w="996" w:type="dxa"/>
            <w:tcBorders>
              <w:top w:val="nil"/>
              <w:left w:val="nil"/>
              <w:bottom w:val="nil"/>
              <w:right w:val="nil"/>
            </w:tcBorders>
            <w:shd w:val="clear" w:color="auto" w:fill="auto"/>
            <w:noWrap/>
            <w:vAlign w:val="bottom"/>
            <w:hideMark/>
          </w:tcPr>
          <w:p w14:paraId="6EE95919" w14:textId="77777777" w:rsidR="00165C37" w:rsidRPr="00A4261C" w:rsidRDefault="00165C37" w:rsidP="00D154DE">
            <w:pPr>
              <w:jc w:val="center"/>
            </w:pPr>
            <w:r w:rsidRPr="00A4261C">
              <w:t>-</w:t>
            </w:r>
          </w:p>
        </w:tc>
        <w:tc>
          <w:tcPr>
            <w:tcW w:w="996" w:type="dxa"/>
            <w:tcBorders>
              <w:top w:val="nil"/>
              <w:left w:val="nil"/>
              <w:bottom w:val="nil"/>
              <w:right w:val="nil"/>
            </w:tcBorders>
            <w:shd w:val="clear" w:color="auto" w:fill="auto"/>
            <w:noWrap/>
            <w:vAlign w:val="bottom"/>
            <w:hideMark/>
          </w:tcPr>
          <w:p w14:paraId="090C05C1" w14:textId="77777777" w:rsidR="00165C37" w:rsidRPr="00A4261C" w:rsidRDefault="00165C37" w:rsidP="00D154DE"/>
        </w:tc>
        <w:tc>
          <w:tcPr>
            <w:tcW w:w="996" w:type="dxa"/>
            <w:tcBorders>
              <w:top w:val="nil"/>
              <w:left w:val="nil"/>
              <w:bottom w:val="nil"/>
              <w:right w:val="nil"/>
            </w:tcBorders>
            <w:shd w:val="clear" w:color="auto" w:fill="auto"/>
            <w:noWrap/>
            <w:vAlign w:val="bottom"/>
            <w:hideMark/>
          </w:tcPr>
          <w:p w14:paraId="2D457649" w14:textId="77777777" w:rsidR="00165C37" w:rsidRPr="00A4261C" w:rsidRDefault="00165C37" w:rsidP="00D154DE"/>
        </w:tc>
      </w:tr>
      <w:tr w:rsidR="00165C37" w:rsidRPr="00A4261C" w14:paraId="5F9B0249" w14:textId="77777777" w:rsidTr="00D154DE">
        <w:trPr>
          <w:trHeight w:val="406"/>
        </w:trPr>
        <w:tc>
          <w:tcPr>
            <w:tcW w:w="6506" w:type="dxa"/>
            <w:tcBorders>
              <w:top w:val="nil"/>
              <w:left w:val="nil"/>
              <w:bottom w:val="nil"/>
              <w:right w:val="nil"/>
            </w:tcBorders>
            <w:shd w:val="clear" w:color="auto" w:fill="auto"/>
            <w:vAlign w:val="center"/>
            <w:hideMark/>
          </w:tcPr>
          <w:p w14:paraId="5609DE1F" w14:textId="77777777" w:rsidR="00165C37" w:rsidRPr="00A4261C" w:rsidRDefault="00165C37" w:rsidP="00D154DE">
            <w:pPr>
              <w:rPr>
                <w:color w:val="000000"/>
              </w:rPr>
            </w:pPr>
            <w:r w:rsidRPr="00A4261C">
              <w:rPr>
                <w:color w:val="000000"/>
              </w:rPr>
              <w:t>7. ASI Hostile</w:t>
            </w:r>
          </w:p>
        </w:tc>
        <w:tc>
          <w:tcPr>
            <w:tcW w:w="996" w:type="dxa"/>
            <w:tcBorders>
              <w:top w:val="nil"/>
              <w:left w:val="nil"/>
              <w:bottom w:val="nil"/>
              <w:right w:val="nil"/>
            </w:tcBorders>
            <w:shd w:val="clear" w:color="auto" w:fill="auto"/>
            <w:noWrap/>
            <w:vAlign w:val="bottom"/>
            <w:hideMark/>
          </w:tcPr>
          <w:p w14:paraId="539B35F5" w14:textId="77777777" w:rsidR="00165C37" w:rsidRPr="00A4261C" w:rsidRDefault="00165C37" w:rsidP="00D154DE">
            <w:pPr>
              <w:rPr>
                <w:color w:val="000000"/>
              </w:rPr>
            </w:pPr>
            <w:r w:rsidRPr="00A4261C">
              <w:rPr>
                <w:color w:val="000000"/>
              </w:rPr>
              <w:t>0.61***</w:t>
            </w:r>
          </w:p>
        </w:tc>
        <w:tc>
          <w:tcPr>
            <w:tcW w:w="1129" w:type="dxa"/>
            <w:tcBorders>
              <w:top w:val="nil"/>
              <w:left w:val="nil"/>
              <w:bottom w:val="nil"/>
              <w:right w:val="nil"/>
            </w:tcBorders>
            <w:shd w:val="clear" w:color="auto" w:fill="auto"/>
            <w:noWrap/>
            <w:vAlign w:val="bottom"/>
            <w:hideMark/>
          </w:tcPr>
          <w:p w14:paraId="0471EB06" w14:textId="77777777" w:rsidR="00165C37" w:rsidRPr="00A4261C" w:rsidRDefault="00165C37" w:rsidP="00D154DE">
            <w:pPr>
              <w:rPr>
                <w:color w:val="000000"/>
              </w:rPr>
            </w:pPr>
            <w:r w:rsidRPr="00A4261C">
              <w:rPr>
                <w:color w:val="000000"/>
              </w:rPr>
              <w:t>-0.17***</w:t>
            </w:r>
          </w:p>
        </w:tc>
        <w:tc>
          <w:tcPr>
            <w:tcW w:w="996" w:type="dxa"/>
            <w:tcBorders>
              <w:top w:val="nil"/>
              <w:left w:val="nil"/>
              <w:bottom w:val="nil"/>
              <w:right w:val="nil"/>
            </w:tcBorders>
            <w:shd w:val="clear" w:color="auto" w:fill="auto"/>
            <w:noWrap/>
            <w:vAlign w:val="bottom"/>
            <w:hideMark/>
          </w:tcPr>
          <w:p w14:paraId="2151F1B0" w14:textId="77777777" w:rsidR="00165C37" w:rsidRPr="00A4261C" w:rsidRDefault="00165C37" w:rsidP="00D154DE">
            <w:pPr>
              <w:rPr>
                <w:color w:val="000000"/>
              </w:rPr>
            </w:pPr>
            <w:r w:rsidRPr="00A4261C">
              <w:rPr>
                <w:color w:val="000000"/>
              </w:rPr>
              <w:t>-0.04</w:t>
            </w:r>
          </w:p>
        </w:tc>
        <w:tc>
          <w:tcPr>
            <w:tcW w:w="996" w:type="dxa"/>
            <w:tcBorders>
              <w:top w:val="nil"/>
              <w:left w:val="nil"/>
              <w:bottom w:val="nil"/>
              <w:right w:val="nil"/>
            </w:tcBorders>
            <w:shd w:val="clear" w:color="auto" w:fill="auto"/>
            <w:noWrap/>
            <w:vAlign w:val="bottom"/>
            <w:hideMark/>
          </w:tcPr>
          <w:p w14:paraId="5FB1C2BB" w14:textId="77777777" w:rsidR="00165C37" w:rsidRPr="00A4261C" w:rsidRDefault="00165C37" w:rsidP="00D154DE">
            <w:pPr>
              <w:rPr>
                <w:color w:val="000000"/>
              </w:rPr>
            </w:pPr>
            <w:r w:rsidRPr="00A4261C">
              <w:rPr>
                <w:color w:val="000000"/>
              </w:rPr>
              <w:t>-0.01</w:t>
            </w:r>
          </w:p>
        </w:tc>
        <w:tc>
          <w:tcPr>
            <w:tcW w:w="777" w:type="dxa"/>
            <w:tcBorders>
              <w:top w:val="nil"/>
              <w:left w:val="nil"/>
              <w:bottom w:val="nil"/>
              <w:right w:val="nil"/>
            </w:tcBorders>
            <w:shd w:val="clear" w:color="auto" w:fill="auto"/>
            <w:noWrap/>
            <w:vAlign w:val="bottom"/>
            <w:hideMark/>
          </w:tcPr>
          <w:p w14:paraId="418858F3" w14:textId="77777777" w:rsidR="00165C37" w:rsidRPr="00A4261C" w:rsidRDefault="00165C37" w:rsidP="00D154DE">
            <w:pPr>
              <w:rPr>
                <w:color w:val="000000"/>
              </w:rPr>
            </w:pPr>
            <w:r w:rsidRPr="00A4261C">
              <w:rPr>
                <w:color w:val="000000"/>
              </w:rPr>
              <w:t>0.01</w:t>
            </w:r>
          </w:p>
        </w:tc>
        <w:tc>
          <w:tcPr>
            <w:tcW w:w="996" w:type="dxa"/>
            <w:tcBorders>
              <w:top w:val="nil"/>
              <w:left w:val="nil"/>
              <w:bottom w:val="nil"/>
              <w:right w:val="nil"/>
            </w:tcBorders>
            <w:shd w:val="clear" w:color="auto" w:fill="auto"/>
            <w:noWrap/>
            <w:vAlign w:val="bottom"/>
            <w:hideMark/>
          </w:tcPr>
          <w:p w14:paraId="26C93407" w14:textId="77777777" w:rsidR="00165C37" w:rsidRPr="00A4261C" w:rsidRDefault="00165C37" w:rsidP="00D154DE">
            <w:pPr>
              <w:rPr>
                <w:color w:val="000000"/>
              </w:rPr>
            </w:pPr>
            <w:r w:rsidRPr="00A4261C">
              <w:rPr>
                <w:color w:val="000000"/>
              </w:rPr>
              <w:t>0.56***</w:t>
            </w:r>
          </w:p>
        </w:tc>
        <w:tc>
          <w:tcPr>
            <w:tcW w:w="996" w:type="dxa"/>
            <w:tcBorders>
              <w:top w:val="nil"/>
              <w:left w:val="nil"/>
              <w:bottom w:val="nil"/>
              <w:right w:val="nil"/>
            </w:tcBorders>
            <w:shd w:val="clear" w:color="auto" w:fill="auto"/>
            <w:noWrap/>
            <w:vAlign w:val="bottom"/>
            <w:hideMark/>
          </w:tcPr>
          <w:p w14:paraId="0FDDAA8A" w14:textId="77777777" w:rsidR="00165C37" w:rsidRPr="00A4261C" w:rsidRDefault="00165C37" w:rsidP="00D154DE">
            <w:pPr>
              <w:jc w:val="center"/>
            </w:pPr>
            <w:r w:rsidRPr="00A4261C">
              <w:t>-</w:t>
            </w:r>
          </w:p>
        </w:tc>
        <w:tc>
          <w:tcPr>
            <w:tcW w:w="996" w:type="dxa"/>
            <w:tcBorders>
              <w:top w:val="nil"/>
              <w:left w:val="nil"/>
              <w:bottom w:val="nil"/>
              <w:right w:val="nil"/>
            </w:tcBorders>
            <w:shd w:val="clear" w:color="auto" w:fill="auto"/>
            <w:noWrap/>
            <w:vAlign w:val="bottom"/>
            <w:hideMark/>
          </w:tcPr>
          <w:p w14:paraId="45E43A3D" w14:textId="77777777" w:rsidR="00165C37" w:rsidRPr="00A4261C" w:rsidRDefault="00165C37" w:rsidP="00D154DE"/>
        </w:tc>
      </w:tr>
      <w:tr w:rsidR="00165C37" w:rsidRPr="00A4261C" w14:paraId="38CCFADE" w14:textId="77777777" w:rsidTr="00D154DE">
        <w:trPr>
          <w:trHeight w:val="360"/>
        </w:trPr>
        <w:tc>
          <w:tcPr>
            <w:tcW w:w="6506" w:type="dxa"/>
            <w:tcBorders>
              <w:top w:val="nil"/>
              <w:left w:val="nil"/>
              <w:bottom w:val="nil"/>
              <w:right w:val="nil"/>
            </w:tcBorders>
            <w:shd w:val="clear" w:color="auto" w:fill="auto"/>
            <w:vAlign w:val="center"/>
            <w:hideMark/>
          </w:tcPr>
          <w:p w14:paraId="58B39956" w14:textId="77777777" w:rsidR="00165C37" w:rsidRPr="00A4261C" w:rsidRDefault="00165C37" w:rsidP="00D154DE">
            <w:pPr>
              <w:rPr>
                <w:color w:val="000000"/>
              </w:rPr>
            </w:pPr>
            <w:r w:rsidRPr="00A4261C">
              <w:rPr>
                <w:color w:val="000000"/>
              </w:rPr>
              <w:t>8. ASI Benevolent</w:t>
            </w:r>
          </w:p>
        </w:tc>
        <w:tc>
          <w:tcPr>
            <w:tcW w:w="996" w:type="dxa"/>
            <w:tcBorders>
              <w:top w:val="nil"/>
              <w:left w:val="nil"/>
              <w:bottom w:val="nil"/>
              <w:right w:val="nil"/>
            </w:tcBorders>
            <w:shd w:val="clear" w:color="auto" w:fill="auto"/>
            <w:noWrap/>
            <w:vAlign w:val="bottom"/>
            <w:hideMark/>
          </w:tcPr>
          <w:p w14:paraId="7D0E6AE1" w14:textId="77777777" w:rsidR="00165C37" w:rsidRPr="00A4261C" w:rsidRDefault="00165C37" w:rsidP="00D154DE">
            <w:pPr>
              <w:rPr>
                <w:color w:val="000000"/>
              </w:rPr>
            </w:pPr>
            <w:r w:rsidRPr="00A4261C">
              <w:rPr>
                <w:color w:val="000000"/>
              </w:rPr>
              <w:t>0.35***</w:t>
            </w:r>
          </w:p>
        </w:tc>
        <w:tc>
          <w:tcPr>
            <w:tcW w:w="1129" w:type="dxa"/>
            <w:tcBorders>
              <w:top w:val="nil"/>
              <w:left w:val="nil"/>
              <w:bottom w:val="nil"/>
              <w:right w:val="nil"/>
            </w:tcBorders>
            <w:shd w:val="clear" w:color="auto" w:fill="auto"/>
            <w:noWrap/>
            <w:vAlign w:val="bottom"/>
            <w:hideMark/>
          </w:tcPr>
          <w:p w14:paraId="2D27367F" w14:textId="77777777" w:rsidR="00165C37" w:rsidRPr="00A4261C" w:rsidRDefault="00165C37" w:rsidP="00D154DE">
            <w:pPr>
              <w:rPr>
                <w:color w:val="000000"/>
              </w:rPr>
            </w:pPr>
            <w:r w:rsidRPr="00A4261C">
              <w:rPr>
                <w:color w:val="000000"/>
              </w:rPr>
              <w:t>-0.29***</w:t>
            </w:r>
          </w:p>
        </w:tc>
        <w:tc>
          <w:tcPr>
            <w:tcW w:w="996" w:type="dxa"/>
            <w:tcBorders>
              <w:top w:val="nil"/>
              <w:left w:val="nil"/>
              <w:bottom w:val="nil"/>
              <w:right w:val="nil"/>
            </w:tcBorders>
            <w:shd w:val="clear" w:color="auto" w:fill="auto"/>
            <w:noWrap/>
            <w:vAlign w:val="bottom"/>
            <w:hideMark/>
          </w:tcPr>
          <w:p w14:paraId="54626A3F" w14:textId="77777777" w:rsidR="00165C37" w:rsidRPr="00A4261C" w:rsidRDefault="00165C37" w:rsidP="00D154DE">
            <w:pPr>
              <w:rPr>
                <w:color w:val="000000"/>
              </w:rPr>
            </w:pPr>
            <w:r w:rsidRPr="00A4261C">
              <w:rPr>
                <w:color w:val="000000"/>
              </w:rPr>
              <w:t xml:space="preserve"> 0.02</w:t>
            </w:r>
          </w:p>
        </w:tc>
        <w:tc>
          <w:tcPr>
            <w:tcW w:w="996" w:type="dxa"/>
            <w:tcBorders>
              <w:top w:val="nil"/>
              <w:left w:val="nil"/>
              <w:bottom w:val="nil"/>
              <w:right w:val="nil"/>
            </w:tcBorders>
            <w:shd w:val="clear" w:color="auto" w:fill="auto"/>
            <w:noWrap/>
            <w:vAlign w:val="bottom"/>
            <w:hideMark/>
          </w:tcPr>
          <w:p w14:paraId="5E92D0FF" w14:textId="77777777" w:rsidR="00165C37" w:rsidRPr="00A4261C" w:rsidRDefault="00165C37" w:rsidP="00D154DE">
            <w:pPr>
              <w:rPr>
                <w:color w:val="000000"/>
              </w:rPr>
            </w:pPr>
            <w:r w:rsidRPr="00A4261C">
              <w:rPr>
                <w:color w:val="000000"/>
              </w:rPr>
              <w:t>-0.03</w:t>
            </w:r>
          </w:p>
        </w:tc>
        <w:tc>
          <w:tcPr>
            <w:tcW w:w="777" w:type="dxa"/>
            <w:tcBorders>
              <w:top w:val="nil"/>
              <w:left w:val="nil"/>
              <w:bottom w:val="nil"/>
              <w:right w:val="nil"/>
            </w:tcBorders>
            <w:shd w:val="clear" w:color="auto" w:fill="auto"/>
            <w:noWrap/>
            <w:vAlign w:val="bottom"/>
            <w:hideMark/>
          </w:tcPr>
          <w:p w14:paraId="4168A5DF" w14:textId="77777777" w:rsidR="00165C37" w:rsidRPr="00A4261C" w:rsidRDefault="00165C37" w:rsidP="00D154DE">
            <w:pPr>
              <w:rPr>
                <w:color w:val="000000"/>
              </w:rPr>
            </w:pPr>
            <w:r w:rsidRPr="00A4261C">
              <w:rPr>
                <w:color w:val="000000"/>
              </w:rPr>
              <w:t>-0.01</w:t>
            </w:r>
          </w:p>
        </w:tc>
        <w:tc>
          <w:tcPr>
            <w:tcW w:w="996" w:type="dxa"/>
            <w:tcBorders>
              <w:top w:val="nil"/>
              <w:left w:val="nil"/>
              <w:bottom w:val="nil"/>
              <w:right w:val="nil"/>
            </w:tcBorders>
            <w:shd w:val="clear" w:color="auto" w:fill="auto"/>
            <w:noWrap/>
            <w:vAlign w:val="bottom"/>
            <w:hideMark/>
          </w:tcPr>
          <w:p w14:paraId="66B030AE" w14:textId="77777777" w:rsidR="00165C37" w:rsidRPr="00A4261C" w:rsidRDefault="00165C37" w:rsidP="00D154DE">
            <w:pPr>
              <w:rPr>
                <w:color w:val="000000"/>
              </w:rPr>
            </w:pPr>
            <w:r w:rsidRPr="00A4261C">
              <w:rPr>
                <w:color w:val="000000"/>
              </w:rPr>
              <w:t>0.18***</w:t>
            </w:r>
          </w:p>
        </w:tc>
        <w:tc>
          <w:tcPr>
            <w:tcW w:w="996" w:type="dxa"/>
            <w:tcBorders>
              <w:top w:val="nil"/>
              <w:left w:val="nil"/>
              <w:bottom w:val="nil"/>
              <w:right w:val="nil"/>
            </w:tcBorders>
            <w:shd w:val="clear" w:color="auto" w:fill="auto"/>
            <w:noWrap/>
            <w:vAlign w:val="bottom"/>
            <w:hideMark/>
          </w:tcPr>
          <w:p w14:paraId="104866CB" w14:textId="77777777" w:rsidR="00165C37" w:rsidRPr="00A4261C" w:rsidRDefault="00165C37" w:rsidP="00D154DE">
            <w:pPr>
              <w:rPr>
                <w:color w:val="000000"/>
              </w:rPr>
            </w:pPr>
            <w:r w:rsidRPr="00A4261C">
              <w:rPr>
                <w:color w:val="000000"/>
              </w:rPr>
              <w:t>0.47***</w:t>
            </w:r>
          </w:p>
        </w:tc>
        <w:tc>
          <w:tcPr>
            <w:tcW w:w="996" w:type="dxa"/>
            <w:tcBorders>
              <w:top w:val="nil"/>
              <w:left w:val="nil"/>
              <w:bottom w:val="nil"/>
              <w:right w:val="nil"/>
            </w:tcBorders>
            <w:shd w:val="clear" w:color="auto" w:fill="auto"/>
            <w:noWrap/>
            <w:vAlign w:val="bottom"/>
            <w:hideMark/>
          </w:tcPr>
          <w:p w14:paraId="449C3C95" w14:textId="77777777" w:rsidR="00165C37" w:rsidRPr="00A4261C" w:rsidRDefault="00165C37" w:rsidP="00D154DE">
            <w:pPr>
              <w:jc w:val="center"/>
              <w:rPr>
                <w:color w:val="000000"/>
              </w:rPr>
            </w:pPr>
            <w:r w:rsidRPr="00A4261C">
              <w:rPr>
                <w:color w:val="000000"/>
              </w:rPr>
              <w:t>-</w:t>
            </w:r>
          </w:p>
        </w:tc>
      </w:tr>
      <w:tr w:rsidR="00165C37" w:rsidRPr="00A4261C" w14:paraId="43A74580" w14:textId="77777777" w:rsidTr="00D154DE">
        <w:trPr>
          <w:trHeight w:val="360"/>
        </w:trPr>
        <w:tc>
          <w:tcPr>
            <w:tcW w:w="6506" w:type="dxa"/>
            <w:tcBorders>
              <w:top w:val="nil"/>
              <w:left w:val="nil"/>
              <w:bottom w:val="single" w:sz="4" w:space="0" w:color="auto"/>
              <w:right w:val="nil"/>
            </w:tcBorders>
            <w:shd w:val="clear" w:color="auto" w:fill="auto"/>
            <w:vAlign w:val="center"/>
            <w:hideMark/>
          </w:tcPr>
          <w:p w14:paraId="2AC0EF37" w14:textId="77777777" w:rsidR="00165C37" w:rsidRPr="00A4261C" w:rsidRDefault="00165C37" w:rsidP="00D154DE">
            <w:pPr>
              <w:rPr>
                <w:color w:val="000000"/>
              </w:rPr>
            </w:pPr>
            <w:r w:rsidRPr="00A4261C">
              <w:rPr>
                <w:color w:val="000000"/>
              </w:rPr>
              <w:t>9. EPSM</w:t>
            </w:r>
          </w:p>
        </w:tc>
        <w:tc>
          <w:tcPr>
            <w:tcW w:w="996" w:type="dxa"/>
            <w:tcBorders>
              <w:top w:val="nil"/>
              <w:left w:val="nil"/>
              <w:bottom w:val="single" w:sz="4" w:space="0" w:color="auto"/>
              <w:right w:val="nil"/>
            </w:tcBorders>
            <w:shd w:val="clear" w:color="auto" w:fill="auto"/>
            <w:noWrap/>
            <w:vAlign w:val="bottom"/>
            <w:hideMark/>
          </w:tcPr>
          <w:p w14:paraId="46A5DF48" w14:textId="77777777" w:rsidR="00165C37" w:rsidRPr="00A4261C" w:rsidRDefault="00165C37" w:rsidP="00D154DE">
            <w:pPr>
              <w:rPr>
                <w:color w:val="000000"/>
              </w:rPr>
            </w:pPr>
            <w:r w:rsidRPr="00A4261C">
              <w:rPr>
                <w:color w:val="000000"/>
              </w:rPr>
              <w:t xml:space="preserve">0.36 </w:t>
            </w:r>
          </w:p>
        </w:tc>
        <w:tc>
          <w:tcPr>
            <w:tcW w:w="1129" w:type="dxa"/>
            <w:tcBorders>
              <w:top w:val="nil"/>
              <w:left w:val="nil"/>
              <w:bottom w:val="single" w:sz="4" w:space="0" w:color="auto"/>
              <w:right w:val="nil"/>
            </w:tcBorders>
            <w:shd w:val="clear" w:color="auto" w:fill="auto"/>
            <w:noWrap/>
            <w:vAlign w:val="bottom"/>
            <w:hideMark/>
          </w:tcPr>
          <w:p w14:paraId="64739FE0" w14:textId="77777777" w:rsidR="00165C37" w:rsidRPr="00A4261C" w:rsidRDefault="00165C37" w:rsidP="00D154DE">
            <w:pPr>
              <w:rPr>
                <w:color w:val="000000"/>
              </w:rPr>
            </w:pPr>
            <w:r w:rsidRPr="00A4261C">
              <w:rPr>
                <w:color w:val="000000"/>
              </w:rPr>
              <w:t>-0.10***</w:t>
            </w:r>
          </w:p>
        </w:tc>
        <w:tc>
          <w:tcPr>
            <w:tcW w:w="996" w:type="dxa"/>
            <w:tcBorders>
              <w:top w:val="nil"/>
              <w:left w:val="nil"/>
              <w:bottom w:val="single" w:sz="4" w:space="0" w:color="auto"/>
              <w:right w:val="nil"/>
            </w:tcBorders>
            <w:shd w:val="clear" w:color="auto" w:fill="auto"/>
            <w:noWrap/>
            <w:vAlign w:val="bottom"/>
            <w:hideMark/>
          </w:tcPr>
          <w:p w14:paraId="42C94298" w14:textId="77777777" w:rsidR="00165C37" w:rsidRPr="00A4261C" w:rsidRDefault="00165C37" w:rsidP="00D154DE">
            <w:pPr>
              <w:rPr>
                <w:color w:val="000000"/>
              </w:rPr>
            </w:pPr>
            <w:r w:rsidRPr="00A4261C">
              <w:rPr>
                <w:color w:val="000000"/>
              </w:rPr>
              <w:t>-0.06*</w:t>
            </w:r>
          </w:p>
        </w:tc>
        <w:tc>
          <w:tcPr>
            <w:tcW w:w="996" w:type="dxa"/>
            <w:tcBorders>
              <w:top w:val="nil"/>
              <w:left w:val="nil"/>
              <w:bottom w:val="single" w:sz="4" w:space="0" w:color="auto"/>
              <w:right w:val="nil"/>
            </w:tcBorders>
            <w:shd w:val="clear" w:color="auto" w:fill="auto"/>
            <w:noWrap/>
            <w:vAlign w:val="bottom"/>
            <w:hideMark/>
          </w:tcPr>
          <w:p w14:paraId="3E0CA27A" w14:textId="77777777" w:rsidR="00165C37" w:rsidRPr="00A4261C" w:rsidRDefault="00165C37" w:rsidP="00D154DE">
            <w:pPr>
              <w:rPr>
                <w:color w:val="000000"/>
              </w:rPr>
            </w:pPr>
            <w:r w:rsidRPr="00A4261C">
              <w:rPr>
                <w:color w:val="000000"/>
              </w:rPr>
              <w:t>-0.05</w:t>
            </w:r>
            <w:r w:rsidRPr="00A4261C">
              <w:rPr>
                <w:color w:val="000000"/>
                <w:vertAlign w:val="superscript"/>
              </w:rPr>
              <w:t>t</w:t>
            </w:r>
          </w:p>
        </w:tc>
        <w:tc>
          <w:tcPr>
            <w:tcW w:w="777" w:type="dxa"/>
            <w:tcBorders>
              <w:top w:val="nil"/>
              <w:left w:val="nil"/>
              <w:bottom w:val="single" w:sz="4" w:space="0" w:color="auto"/>
              <w:right w:val="nil"/>
            </w:tcBorders>
            <w:shd w:val="clear" w:color="auto" w:fill="auto"/>
            <w:noWrap/>
            <w:vAlign w:val="bottom"/>
            <w:hideMark/>
          </w:tcPr>
          <w:p w14:paraId="05C1F352" w14:textId="77777777" w:rsidR="00165C37" w:rsidRPr="00A4261C" w:rsidRDefault="00165C37" w:rsidP="00D154DE">
            <w:pPr>
              <w:rPr>
                <w:color w:val="000000"/>
              </w:rPr>
            </w:pPr>
            <w:r w:rsidRPr="00A4261C">
              <w:rPr>
                <w:color w:val="000000"/>
              </w:rPr>
              <w:t>0.01</w:t>
            </w:r>
          </w:p>
        </w:tc>
        <w:tc>
          <w:tcPr>
            <w:tcW w:w="996" w:type="dxa"/>
            <w:tcBorders>
              <w:top w:val="nil"/>
              <w:left w:val="nil"/>
              <w:bottom w:val="single" w:sz="4" w:space="0" w:color="auto"/>
              <w:right w:val="nil"/>
            </w:tcBorders>
            <w:shd w:val="clear" w:color="auto" w:fill="auto"/>
            <w:noWrap/>
            <w:vAlign w:val="bottom"/>
            <w:hideMark/>
          </w:tcPr>
          <w:p w14:paraId="7CA051D3" w14:textId="77777777" w:rsidR="00165C37" w:rsidRPr="00A4261C" w:rsidRDefault="00165C37" w:rsidP="00D154DE">
            <w:pPr>
              <w:rPr>
                <w:color w:val="000000"/>
              </w:rPr>
            </w:pPr>
            <w:r w:rsidRPr="00A4261C">
              <w:rPr>
                <w:color w:val="000000"/>
              </w:rPr>
              <w:t>0.26***</w:t>
            </w:r>
          </w:p>
        </w:tc>
        <w:tc>
          <w:tcPr>
            <w:tcW w:w="996" w:type="dxa"/>
            <w:tcBorders>
              <w:top w:val="nil"/>
              <w:left w:val="nil"/>
              <w:bottom w:val="single" w:sz="4" w:space="0" w:color="auto"/>
              <w:right w:val="nil"/>
            </w:tcBorders>
            <w:shd w:val="clear" w:color="auto" w:fill="auto"/>
            <w:noWrap/>
            <w:vAlign w:val="bottom"/>
            <w:hideMark/>
          </w:tcPr>
          <w:p w14:paraId="2D6FFEF8" w14:textId="77777777" w:rsidR="00165C37" w:rsidRPr="00A4261C" w:rsidRDefault="00165C37" w:rsidP="00D154DE">
            <w:pPr>
              <w:rPr>
                <w:color w:val="000000"/>
              </w:rPr>
            </w:pPr>
            <w:r w:rsidRPr="00A4261C">
              <w:rPr>
                <w:color w:val="000000"/>
              </w:rPr>
              <w:t>0.32***</w:t>
            </w:r>
          </w:p>
        </w:tc>
        <w:tc>
          <w:tcPr>
            <w:tcW w:w="996" w:type="dxa"/>
            <w:tcBorders>
              <w:top w:val="nil"/>
              <w:left w:val="nil"/>
              <w:bottom w:val="single" w:sz="4" w:space="0" w:color="auto"/>
              <w:right w:val="nil"/>
            </w:tcBorders>
            <w:shd w:val="clear" w:color="auto" w:fill="auto"/>
            <w:noWrap/>
            <w:vAlign w:val="bottom"/>
            <w:hideMark/>
          </w:tcPr>
          <w:p w14:paraId="3C95388D" w14:textId="77777777" w:rsidR="00165C37" w:rsidRPr="00A4261C" w:rsidRDefault="00165C37" w:rsidP="00D154DE">
            <w:pPr>
              <w:rPr>
                <w:color w:val="000000"/>
              </w:rPr>
            </w:pPr>
            <w:r w:rsidRPr="00A4261C">
              <w:rPr>
                <w:color w:val="000000"/>
              </w:rPr>
              <w:t>0.26***</w:t>
            </w:r>
          </w:p>
        </w:tc>
      </w:tr>
      <w:tr w:rsidR="00165C37" w:rsidRPr="00A4261C" w14:paraId="14310DB5" w14:textId="77777777" w:rsidTr="00D154DE">
        <w:trPr>
          <w:trHeight w:val="366"/>
        </w:trPr>
        <w:tc>
          <w:tcPr>
            <w:tcW w:w="6506" w:type="dxa"/>
            <w:tcBorders>
              <w:top w:val="nil"/>
              <w:left w:val="nil"/>
              <w:bottom w:val="nil"/>
              <w:right w:val="nil"/>
            </w:tcBorders>
            <w:shd w:val="clear" w:color="auto" w:fill="auto"/>
            <w:noWrap/>
            <w:vAlign w:val="bottom"/>
            <w:hideMark/>
          </w:tcPr>
          <w:p w14:paraId="032215E5" w14:textId="77777777" w:rsidR="00165C37" w:rsidRPr="00A4261C" w:rsidRDefault="00165C37" w:rsidP="001F6921">
            <w:pPr>
              <w:pStyle w:val="Figurecaption"/>
              <w:rPr>
                <w:i/>
                <w:iCs/>
              </w:rPr>
            </w:pPr>
            <w:r w:rsidRPr="00A4261C">
              <w:rPr>
                <w:i/>
                <w:iCs/>
              </w:rPr>
              <w:t xml:space="preserve">Note: </w:t>
            </w:r>
            <w:r w:rsidRPr="00A4261C">
              <w:t>*</w:t>
            </w:r>
            <w:r w:rsidRPr="00886B56">
              <w:rPr>
                <w:i/>
              </w:rPr>
              <w:t>p</w:t>
            </w:r>
            <w:r w:rsidRPr="00A4261C">
              <w:t xml:space="preserve"> &lt; .05. **</w:t>
            </w:r>
            <w:r w:rsidRPr="00886B56">
              <w:rPr>
                <w:i/>
              </w:rPr>
              <w:t>p</w:t>
            </w:r>
            <w:r w:rsidRPr="00A4261C">
              <w:t xml:space="preserve"> &lt; .01. ***</w:t>
            </w:r>
            <w:r w:rsidRPr="00886B56">
              <w:rPr>
                <w:i/>
              </w:rPr>
              <w:t>p</w:t>
            </w:r>
            <w:r w:rsidRPr="00A4261C">
              <w:t xml:space="preserve"> &lt; .001. t &lt; .08 (trend)</w:t>
            </w:r>
          </w:p>
        </w:tc>
        <w:tc>
          <w:tcPr>
            <w:tcW w:w="996" w:type="dxa"/>
            <w:tcBorders>
              <w:top w:val="nil"/>
              <w:left w:val="nil"/>
              <w:bottom w:val="nil"/>
              <w:right w:val="nil"/>
            </w:tcBorders>
            <w:shd w:val="clear" w:color="auto" w:fill="auto"/>
            <w:noWrap/>
            <w:vAlign w:val="bottom"/>
            <w:hideMark/>
          </w:tcPr>
          <w:p w14:paraId="4DAEB63A" w14:textId="77777777" w:rsidR="00165C37" w:rsidRPr="00A4261C" w:rsidRDefault="00165C37" w:rsidP="001F6921">
            <w:pPr>
              <w:pStyle w:val="Figurecaption"/>
              <w:rPr>
                <w:i/>
                <w:iCs/>
              </w:rPr>
            </w:pPr>
          </w:p>
        </w:tc>
        <w:tc>
          <w:tcPr>
            <w:tcW w:w="1129" w:type="dxa"/>
            <w:tcBorders>
              <w:top w:val="nil"/>
              <w:left w:val="nil"/>
              <w:bottom w:val="nil"/>
              <w:right w:val="nil"/>
            </w:tcBorders>
            <w:shd w:val="clear" w:color="auto" w:fill="auto"/>
            <w:noWrap/>
            <w:vAlign w:val="bottom"/>
            <w:hideMark/>
          </w:tcPr>
          <w:p w14:paraId="4291A637" w14:textId="77777777" w:rsidR="00165C37" w:rsidRPr="00A4261C" w:rsidRDefault="00165C37" w:rsidP="001F6921">
            <w:pPr>
              <w:pStyle w:val="Figurecaption"/>
            </w:pPr>
          </w:p>
        </w:tc>
        <w:tc>
          <w:tcPr>
            <w:tcW w:w="996" w:type="dxa"/>
            <w:tcBorders>
              <w:top w:val="nil"/>
              <w:left w:val="nil"/>
              <w:bottom w:val="nil"/>
              <w:right w:val="nil"/>
            </w:tcBorders>
            <w:shd w:val="clear" w:color="auto" w:fill="auto"/>
            <w:noWrap/>
            <w:vAlign w:val="bottom"/>
            <w:hideMark/>
          </w:tcPr>
          <w:p w14:paraId="68A25FF9" w14:textId="77777777" w:rsidR="00165C37" w:rsidRPr="00A4261C" w:rsidRDefault="00165C37" w:rsidP="001F6921">
            <w:pPr>
              <w:pStyle w:val="Figurecaption"/>
            </w:pPr>
          </w:p>
        </w:tc>
        <w:tc>
          <w:tcPr>
            <w:tcW w:w="996" w:type="dxa"/>
            <w:tcBorders>
              <w:top w:val="nil"/>
              <w:left w:val="nil"/>
              <w:bottom w:val="nil"/>
              <w:right w:val="nil"/>
            </w:tcBorders>
            <w:shd w:val="clear" w:color="auto" w:fill="auto"/>
            <w:noWrap/>
            <w:vAlign w:val="bottom"/>
            <w:hideMark/>
          </w:tcPr>
          <w:p w14:paraId="3848C50D" w14:textId="77777777" w:rsidR="00165C37" w:rsidRPr="00A4261C" w:rsidRDefault="00165C37" w:rsidP="001F6921">
            <w:pPr>
              <w:pStyle w:val="Figurecaption"/>
            </w:pPr>
          </w:p>
        </w:tc>
        <w:tc>
          <w:tcPr>
            <w:tcW w:w="777" w:type="dxa"/>
            <w:tcBorders>
              <w:top w:val="nil"/>
              <w:left w:val="nil"/>
              <w:bottom w:val="nil"/>
              <w:right w:val="nil"/>
            </w:tcBorders>
            <w:shd w:val="clear" w:color="auto" w:fill="auto"/>
            <w:noWrap/>
            <w:vAlign w:val="bottom"/>
            <w:hideMark/>
          </w:tcPr>
          <w:p w14:paraId="5ABC4549" w14:textId="77777777" w:rsidR="00165C37" w:rsidRPr="00A4261C" w:rsidRDefault="00165C37" w:rsidP="001F6921">
            <w:pPr>
              <w:pStyle w:val="Figurecaption"/>
            </w:pPr>
          </w:p>
        </w:tc>
        <w:tc>
          <w:tcPr>
            <w:tcW w:w="996" w:type="dxa"/>
            <w:tcBorders>
              <w:top w:val="nil"/>
              <w:left w:val="nil"/>
              <w:bottom w:val="nil"/>
              <w:right w:val="nil"/>
            </w:tcBorders>
            <w:shd w:val="clear" w:color="auto" w:fill="auto"/>
            <w:noWrap/>
            <w:vAlign w:val="bottom"/>
            <w:hideMark/>
          </w:tcPr>
          <w:p w14:paraId="03BAD8E4" w14:textId="77777777" w:rsidR="00165C37" w:rsidRPr="00A4261C" w:rsidRDefault="00165C37" w:rsidP="001F6921">
            <w:pPr>
              <w:pStyle w:val="Figurecaption"/>
            </w:pPr>
          </w:p>
        </w:tc>
        <w:tc>
          <w:tcPr>
            <w:tcW w:w="996" w:type="dxa"/>
            <w:tcBorders>
              <w:top w:val="nil"/>
              <w:left w:val="nil"/>
              <w:bottom w:val="nil"/>
              <w:right w:val="nil"/>
            </w:tcBorders>
            <w:shd w:val="clear" w:color="auto" w:fill="auto"/>
            <w:noWrap/>
            <w:vAlign w:val="bottom"/>
            <w:hideMark/>
          </w:tcPr>
          <w:p w14:paraId="321F4E5D" w14:textId="77777777" w:rsidR="00165C37" w:rsidRPr="00A4261C" w:rsidRDefault="00165C37" w:rsidP="001F6921">
            <w:pPr>
              <w:pStyle w:val="Figurecaption"/>
            </w:pPr>
          </w:p>
        </w:tc>
        <w:tc>
          <w:tcPr>
            <w:tcW w:w="996" w:type="dxa"/>
            <w:tcBorders>
              <w:top w:val="nil"/>
              <w:left w:val="nil"/>
              <w:bottom w:val="nil"/>
              <w:right w:val="nil"/>
            </w:tcBorders>
            <w:shd w:val="clear" w:color="auto" w:fill="auto"/>
            <w:noWrap/>
            <w:vAlign w:val="bottom"/>
            <w:hideMark/>
          </w:tcPr>
          <w:p w14:paraId="760E0DB7" w14:textId="77777777" w:rsidR="00165C37" w:rsidRPr="00A4261C" w:rsidRDefault="00165C37" w:rsidP="001F6921">
            <w:pPr>
              <w:pStyle w:val="Figurecaption"/>
            </w:pPr>
          </w:p>
        </w:tc>
      </w:tr>
      <w:tr w:rsidR="00165C37" w:rsidRPr="00A4261C" w14:paraId="6825671F" w14:textId="77777777" w:rsidTr="00D154DE">
        <w:trPr>
          <w:trHeight w:val="293"/>
        </w:trPr>
        <w:tc>
          <w:tcPr>
            <w:tcW w:w="6506" w:type="dxa"/>
            <w:tcBorders>
              <w:top w:val="nil"/>
              <w:left w:val="nil"/>
              <w:bottom w:val="nil"/>
              <w:right w:val="nil"/>
            </w:tcBorders>
            <w:shd w:val="clear" w:color="auto" w:fill="auto"/>
            <w:noWrap/>
            <w:vAlign w:val="bottom"/>
            <w:hideMark/>
          </w:tcPr>
          <w:p w14:paraId="38E7A5B5" w14:textId="04D1FE8B" w:rsidR="00165C37" w:rsidRPr="00A4261C" w:rsidRDefault="00DF41FB" w:rsidP="001F6921">
            <w:pPr>
              <w:pStyle w:val="Figurecaption"/>
              <w:rPr>
                <w:sz w:val="22"/>
                <w:szCs w:val="22"/>
              </w:rPr>
            </w:pPr>
            <w:r>
              <w:rPr>
                <w:sz w:val="22"/>
                <w:szCs w:val="22"/>
              </w:rPr>
              <w:t xml:space="preserve">  </w:t>
            </w:r>
            <w:r w:rsidR="00165C37" w:rsidRPr="00A4261C">
              <w:rPr>
                <w:sz w:val="22"/>
                <w:szCs w:val="22"/>
              </w:rPr>
              <w:t xml:space="preserve"> Categorical variables included for complete regression output only. </w:t>
            </w:r>
          </w:p>
        </w:tc>
        <w:tc>
          <w:tcPr>
            <w:tcW w:w="996" w:type="dxa"/>
            <w:tcBorders>
              <w:top w:val="nil"/>
              <w:left w:val="nil"/>
              <w:bottom w:val="nil"/>
              <w:right w:val="nil"/>
            </w:tcBorders>
            <w:shd w:val="clear" w:color="auto" w:fill="auto"/>
            <w:noWrap/>
            <w:vAlign w:val="bottom"/>
            <w:hideMark/>
          </w:tcPr>
          <w:p w14:paraId="29CCD923" w14:textId="77777777" w:rsidR="00165C37" w:rsidRPr="00A4261C" w:rsidRDefault="00165C37" w:rsidP="001F6921">
            <w:pPr>
              <w:pStyle w:val="Figurecaption"/>
              <w:rPr>
                <w:sz w:val="22"/>
                <w:szCs w:val="22"/>
              </w:rPr>
            </w:pPr>
          </w:p>
        </w:tc>
        <w:tc>
          <w:tcPr>
            <w:tcW w:w="1129" w:type="dxa"/>
            <w:tcBorders>
              <w:top w:val="nil"/>
              <w:left w:val="nil"/>
              <w:bottom w:val="nil"/>
              <w:right w:val="nil"/>
            </w:tcBorders>
            <w:shd w:val="clear" w:color="auto" w:fill="auto"/>
            <w:noWrap/>
            <w:vAlign w:val="bottom"/>
            <w:hideMark/>
          </w:tcPr>
          <w:p w14:paraId="32B2D906" w14:textId="77777777" w:rsidR="00165C37" w:rsidRPr="00A4261C" w:rsidRDefault="00165C37" w:rsidP="001F6921">
            <w:pPr>
              <w:pStyle w:val="Figurecaption"/>
              <w:rPr>
                <w:sz w:val="20"/>
                <w:szCs w:val="20"/>
              </w:rPr>
            </w:pPr>
          </w:p>
        </w:tc>
        <w:tc>
          <w:tcPr>
            <w:tcW w:w="996" w:type="dxa"/>
            <w:tcBorders>
              <w:top w:val="nil"/>
              <w:left w:val="nil"/>
              <w:bottom w:val="nil"/>
              <w:right w:val="nil"/>
            </w:tcBorders>
            <w:shd w:val="clear" w:color="auto" w:fill="auto"/>
            <w:noWrap/>
            <w:vAlign w:val="bottom"/>
            <w:hideMark/>
          </w:tcPr>
          <w:p w14:paraId="123C95B2" w14:textId="77777777" w:rsidR="00165C37" w:rsidRPr="00A4261C" w:rsidRDefault="00165C37" w:rsidP="001F6921">
            <w:pPr>
              <w:pStyle w:val="Figurecaption"/>
              <w:rPr>
                <w:sz w:val="20"/>
                <w:szCs w:val="20"/>
              </w:rPr>
            </w:pPr>
          </w:p>
        </w:tc>
        <w:tc>
          <w:tcPr>
            <w:tcW w:w="996" w:type="dxa"/>
            <w:tcBorders>
              <w:top w:val="nil"/>
              <w:left w:val="nil"/>
              <w:bottom w:val="nil"/>
              <w:right w:val="nil"/>
            </w:tcBorders>
            <w:shd w:val="clear" w:color="auto" w:fill="auto"/>
            <w:noWrap/>
            <w:vAlign w:val="bottom"/>
            <w:hideMark/>
          </w:tcPr>
          <w:p w14:paraId="39479153" w14:textId="77777777" w:rsidR="00165C37" w:rsidRPr="00A4261C" w:rsidRDefault="00165C37" w:rsidP="001F6921">
            <w:pPr>
              <w:pStyle w:val="Figurecaption"/>
              <w:rPr>
                <w:sz w:val="20"/>
                <w:szCs w:val="20"/>
              </w:rPr>
            </w:pPr>
          </w:p>
        </w:tc>
        <w:tc>
          <w:tcPr>
            <w:tcW w:w="777" w:type="dxa"/>
            <w:tcBorders>
              <w:top w:val="nil"/>
              <w:left w:val="nil"/>
              <w:bottom w:val="nil"/>
              <w:right w:val="nil"/>
            </w:tcBorders>
            <w:shd w:val="clear" w:color="auto" w:fill="auto"/>
            <w:noWrap/>
            <w:vAlign w:val="bottom"/>
            <w:hideMark/>
          </w:tcPr>
          <w:p w14:paraId="099EF7D2" w14:textId="77777777" w:rsidR="00165C37" w:rsidRPr="00A4261C" w:rsidRDefault="00165C37" w:rsidP="001F6921">
            <w:pPr>
              <w:pStyle w:val="Figurecaption"/>
              <w:rPr>
                <w:sz w:val="20"/>
                <w:szCs w:val="20"/>
              </w:rPr>
            </w:pPr>
          </w:p>
        </w:tc>
        <w:tc>
          <w:tcPr>
            <w:tcW w:w="996" w:type="dxa"/>
            <w:tcBorders>
              <w:top w:val="nil"/>
              <w:left w:val="nil"/>
              <w:bottom w:val="nil"/>
              <w:right w:val="nil"/>
            </w:tcBorders>
            <w:shd w:val="clear" w:color="auto" w:fill="auto"/>
            <w:noWrap/>
            <w:vAlign w:val="bottom"/>
            <w:hideMark/>
          </w:tcPr>
          <w:p w14:paraId="3295DE86" w14:textId="77777777" w:rsidR="00165C37" w:rsidRPr="00A4261C" w:rsidRDefault="00165C37" w:rsidP="001F6921">
            <w:pPr>
              <w:pStyle w:val="Figurecaption"/>
              <w:rPr>
                <w:sz w:val="20"/>
                <w:szCs w:val="20"/>
              </w:rPr>
            </w:pPr>
          </w:p>
        </w:tc>
        <w:tc>
          <w:tcPr>
            <w:tcW w:w="996" w:type="dxa"/>
            <w:tcBorders>
              <w:top w:val="nil"/>
              <w:left w:val="nil"/>
              <w:bottom w:val="nil"/>
              <w:right w:val="nil"/>
            </w:tcBorders>
            <w:shd w:val="clear" w:color="auto" w:fill="auto"/>
            <w:noWrap/>
            <w:vAlign w:val="bottom"/>
            <w:hideMark/>
          </w:tcPr>
          <w:p w14:paraId="3A868D1A" w14:textId="77777777" w:rsidR="00165C37" w:rsidRPr="00A4261C" w:rsidRDefault="00165C37" w:rsidP="001F6921">
            <w:pPr>
              <w:pStyle w:val="Figurecaption"/>
              <w:rPr>
                <w:sz w:val="20"/>
                <w:szCs w:val="20"/>
              </w:rPr>
            </w:pPr>
          </w:p>
        </w:tc>
        <w:tc>
          <w:tcPr>
            <w:tcW w:w="996" w:type="dxa"/>
            <w:tcBorders>
              <w:top w:val="nil"/>
              <w:left w:val="nil"/>
              <w:bottom w:val="nil"/>
              <w:right w:val="nil"/>
            </w:tcBorders>
            <w:shd w:val="clear" w:color="auto" w:fill="auto"/>
            <w:noWrap/>
            <w:vAlign w:val="bottom"/>
            <w:hideMark/>
          </w:tcPr>
          <w:p w14:paraId="56DFF0CA" w14:textId="77777777" w:rsidR="00165C37" w:rsidRPr="00A4261C" w:rsidRDefault="00165C37" w:rsidP="001F6921">
            <w:pPr>
              <w:pStyle w:val="Figurecaption"/>
              <w:rPr>
                <w:sz w:val="20"/>
                <w:szCs w:val="20"/>
              </w:rPr>
            </w:pPr>
          </w:p>
        </w:tc>
      </w:tr>
    </w:tbl>
    <w:p w14:paraId="1A0C619C" w14:textId="182C226F" w:rsidR="00781A28" w:rsidRDefault="00781A28" w:rsidP="001E0BFC">
      <w:pPr>
        <w:pStyle w:val="Figurecaption"/>
      </w:pPr>
      <w:r>
        <w:br w:type="page"/>
      </w:r>
    </w:p>
    <w:tbl>
      <w:tblPr>
        <w:tblpPr w:leftFromText="180" w:rightFromText="180" w:vertAnchor="text" w:horzAnchor="page" w:tblpX="1210" w:tblpY="-1439"/>
        <w:tblW w:w="12832" w:type="dxa"/>
        <w:tblLook w:val="04A0" w:firstRow="1" w:lastRow="0" w:firstColumn="1" w:lastColumn="0" w:noHBand="0" w:noVBand="1"/>
      </w:tblPr>
      <w:tblGrid>
        <w:gridCol w:w="1037"/>
        <w:gridCol w:w="3832"/>
        <w:gridCol w:w="1671"/>
        <w:gridCol w:w="1017"/>
        <w:gridCol w:w="1272"/>
        <w:gridCol w:w="681"/>
        <w:gridCol w:w="681"/>
        <w:gridCol w:w="1639"/>
        <w:gridCol w:w="686"/>
        <w:gridCol w:w="316"/>
      </w:tblGrid>
      <w:tr w:rsidR="00BF11B2" w:rsidRPr="00A4261C" w14:paraId="6CB94235" w14:textId="77777777" w:rsidTr="00165C37">
        <w:trPr>
          <w:trHeight w:val="965"/>
        </w:trPr>
        <w:tc>
          <w:tcPr>
            <w:tcW w:w="12832" w:type="dxa"/>
            <w:gridSpan w:val="10"/>
            <w:tcBorders>
              <w:top w:val="nil"/>
              <w:left w:val="nil"/>
              <w:bottom w:val="single" w:sz="4" w:space="0" w:color="auto"/>
              <w:right w:val="nil"/>
            </w:tcBorders>
            <w:shd w:val="clear" w:color="auto" w:fill="auto"/>
            <w:noWrap/>
            <w:vAlign w:val="bottom"/>
            <w:hideMark/>
          </w:tcPr>
          <w:p w14:paraId="49982466" w14:textId="742F9E4A" w:rsidR="001513C2" w:rsidRPr="00A4261C" w:rsidRDefault="001513C2" w:rsidP="00904EB2">
            <w:pPr>
              <w:pStyle w:val="Tabletitle"/>
            </w:pPr>
            <w:r w:rsidRPr="00A4261C">
              <w:lastRenderedPageBreak/>
              <w:t xml:space="preserve">Table </w:t>
            </w:r>
            <w:r w:rsidR="00D3297E">
              <w:t>4.</w:t>
            </w:r>
            <w:r w:rsidRPr="00A4261C">
              <w:t xml:space="preserve"> Multiple Regression on Rape Myth Acceptance in Metropolitan Police</w:t>
            </w:r>
          </w:p>
        </w:tc>
      </w:tr>
      <w:tr w:rsidR="00BF11B2" w:rsidRPr="00A4261C" w14:paraId="4654937D" w14:textId="77777777" w:rsidTr="00165C37">
        <w:trPr>
          <w:gridAfter w:val="1"/>
          <w:wAfter w:w="316" w:type="dxa"/>
          <w:trHeight w:val="304"/>
        </w:trPr>
        <w:tc>
          <w:tcPr>
            <w:tcW w:w="1037" w:type="dxa"/>
            <w:tcBorders>
              <w:top w:val="nil"/>
              <w:left w:val="nil"/>
              <w:bottom w:val="single" w:sz="4" w:space="0" w:color="auto"/>
              <w:right w:val="nil"/>
            </w:tcBorders>
            <w:shd w:val="clear" w:color="auto" w:fill="auto"/>
            <w:noWrap/>
            <w:vAlign w:val="bottom"/>
            <w:hideMark/>
          </w:tcPr>
          <w:p w14:paraId="1A2DCD56" w14:textId="77777777" w:rsidR="001513C2" w:rsidRPr="00A4261C" w:rsidRDefault="001513C2" w:rsidP="001513C2">
            <w:pPr>
              <w:spacing w:line="360" w:lineRule="auto"/>
              <w:jc w:val="both"/>
            </w:pPr>
            <w:r w:rsidRPr="00A4261C">
              <w:t> </w:t>
            </w:r>
          </w:p>
        </w:tc>
        <w:tc>
          <w:tcPr>
            <w:tcW w:w="3832" w:type="dxa"/>
            <w:tcBorders>
              <w:top w:val="nil"/>
              <w:left w:val="nil"/>
              <w:bottom w:val="single" w:sz="4" w:space="0" w:color="auto"/>
              <w:right w:val="nil"/>
            </w:tcBorders>
            <w:shd w:val="clear" w:color="auto" w:fill="auto"/>
            <w:noWrap/>
            <w:vAlign w:val="bottom"/>
            <w:hideMark/>
          </w:tcPr>
          <w:p w14:paraId="6A2B2D3D" w14:textId="77777777" w:rsidR="001513C2" w:rsidRPr="00A4261C" w:rsidRDefault="001513C2" w:rsidP="001513C2">
            <w:pPr>
              <w:spacing w:line="360" w:lineRule="auto"/>
              <w:jc w:val="both"/>
            </w:pPr>
            <w:r w:rsidRPr="00A4261C">
              <w:t>Variables</w:t>
            </w:r>
          </w:p>
        </w:tc>
        <w:tc>
          <w:tcPr>
            <w:tcW w:w="1671" w:type="dxa"/>
            <w:tcBorders>
              <w:top w:val="nil"/>
              <w:left w:val="nil"/>
              <w:bottom w:val="single" w:sz="4" w:space="0" w:color="auto"/>
              <w:right w:val="nil"/>
            </w:tcBorders>
            <w:shd w:val="clear" w:color="auto" w:fill="auto"/>
            <w:noWrap/>
            <w:vAlign w:val="bottom"/>
            <w:hideMark/>
          </w:tcPr>
          <w:p w14:paraId="15736490" w14:textId="77777777" w:rsidR="001513C2" w:rsidRPr="00A4261C" w:rsidRDefault="001513C2" w:rsidP="001513C2">
            <w:pPr>
              <w:spacing w:line="360" w:lineRule="auto"/>
              <w:jc w:val="both"/>
            </w:pPr>
            <w:r w:rsidRPr="00886B56">
              <w:rPr>
                <w:i/>
              </w:rPr>
              <w:t>B</w:t>
            </w:r>
            <w:r w:rsidRPr="00A4261C">
              <w:t>(SE)</w:t>
            </w:r>
          </w:p>
        </w:tc>
        <w:tc>
          <w:tcPr>
            <w:tcW w:w="1017" w:type="dxa"/>
            <w:tcBorders>
              <w:top w:val="nil"/>
              <w:left w:val="nil"/>
              <w:bottom w:val="single" w:sz="4" w:space="0" w:color="auto"/>
              <w:right w:val="nil"/>
            </w:tcBorders>
            <w:shd w:val="clear" w:color="auto" w:fill="auto"/>
            <w:noWrap/>
            <w:vAlign w:val="bottom"/>
            <w:hideMark/>
          </w:tcPr>
          <w:p w14:paraId="06E5B545" w14:textId="77777777" w:rsidR="001513C2" w:rsidRPr="00A4261C" w:rsidRDefault="001513C2" w:rsidP="001513C2">
            <w:pPr>
              <w:spacing w:line="360" w:lineRule="auto"/>
              <w:jc w:val="both"/>
            </w:pPr>
            <w:r w:rsidRPr="00A4261C">
              <w:t>β</w:t>
            </w:r>
          </w:p>
        </w:tc>
        <w:tc>
          <w:tcPr>
            <w:tcW w:w="1272" w:type="dxa"/>
            <w:tcBorders>
              <w:top w:val="nil"/>
              <w:left w:val="nil"/>
              <w:bottom w:val="single" w:sz="4" w:space="0" w:color="auto"/>
              <w:right w:val="nil"/>
            </w:tcBorders>
            <w:shd w:val="clear" w:color="auto" w:fill="auto"/>
            <w:noWrap/>
            <w:vAlign w:val="bottom"/>
            <w:hideMark/>
          </w:tcPr>
          <w:p w14:paraId="3567BA16" w14:textId="77777777" w:rsidR="001513C2" w:rsidRPr="00A4261C" w:rsidRDefault="001513C2" w:rsidP="001513C2">
            <w:pPr>
              <w:spacing w:line="360" w:lineRule="auto"/>
              <w:jc w:val="both"/>
            </w:pPr>
            <w:r w:rsidRPr="00A4261C">
              <w:t>t</w:t>
            </w:r>
          </w:p>
        </w:tc>
        <w:tc>
          <w:tcPr>
            <w:tcW w:w="681" w:type="dxa"/>
            <w:tcBorders>
              <w:top w:val="nil"/>
              <w:left w:val="nil"/>
              <w:bottom w:val="single" w:sz="4" w:space="0" w:color="auto"/>
              <w:right w:val="nil"/>
            </w:tcBorders>
            <w:shd w:val="clear" w:color="auto" w:fill="auto"/>
            <w:noWrap/>
            <w:vAlign w:val="bottom"/>
            <w:hideMark/>
          </w:tcPr>
          <w:p w14:paraId="675AA34C" w14:textId="77777777" w:rsidR="001513C2" w:rsidRPr="00886B56" w:rsidRDefault="001513C2" w:rsidP="001513C2">
            <w:pPr>
              <w:spacing w:line="360" w:lineRule="auto"/>
              <w:jc w:val="both"/>
              <w:rPr>
                <w:i/>
              </w:rPr>
            </w:pPr>
            <w:r w:rsidRPr="00886B56">
              <w:rPr>
                <w:i/>
              </w:rPr>
              <w:t>R</w:t>
            </w:r>
          </w:p>
        </w:tc>
        <w:tc>
          <w:tcPr>
            <w:tcW w:w="681" w:type="dxa"/>
            <w:tcBorders>
              <w:top w:val="nil"/>
              <w:left w:val="nil"/>
              <w:bottom w:val="single" w:sz="4" w:space="0" w:color="auto"/>
              <w:right w:val="nil"/>
            </w:tcBorders>
            <w:shd w:val="clear" w:color="auto" w:fill="auto"/>
            <w:noWrap/>
            <w:vAlign w:val="bottom"/>
            <w:hideMark/>
          </w:tcPr>
          <w:p w14:paraId="1B379B7D" w14:textId="77777777" w:rsidR="001513C2" w:rsidRPr="00886B56" w:rsidRDefault="001513C2" w:rsidP="001513C2">
            <w:pPr>
              <w:spacing w:line="360" w:lineRule="auto"/>
              <w:jc w:val="both"/>
              <w:rPr>
                <w:i/>
              </w:rPr>
            </w:pPr>
            <w:r w:rsidRPr="00886B56">
              <w:rPr>
                <w:i/>
              </w:rPr>
              <w:t>R</w:t>
            </w:r>
            <w:r w:rsidRPr="00886B56">
              <w:rPr>
                <w:vertAlign w:val="superscript"/>
              </w:rPr>
              <w:t>2</w:t>
            </w:r>
          </w:p>
        </w:tc>
        <w:tc>
          <w:tcPr>
            <w:tcW w:w="1639" w:type="dxa"/>
            <w:tcBorders>
              <w:top w:val="nil"/>
              <w:left w:val="nil"/>
              <w:bottom w:val="single" w:sz="4" w:space="0" w:color="auto"/>
              <w:right w:val="nil"/>
            </w:tcBorders>
            <w:shd w:val="clear" w:color="auto" w:fill="auto"/>
            <w:noWrap/>
            <w:vAlign w:val="bottom"/>
            <w:hideMark/>
          </w:tcPr>
          <w:p w14:paraId="3F54CE12" w14:textId="77777777" w:rsidR="001513C2" w:rsidRPr="00A4261C" w:rsidRDefault="001513C2" w:rsidP="001513C2">
            <w:pPr>
              <w:spacing w:line="360" w:lineRule="auto"/>
              <w:jc w:val="both"/>
            </w:pPr>
            <w:r w:rsidRPr="00A4261C">
              <w:t xml:space="preserve">Adjusted </w:t>
            </w:r>
            <w:r w:rsidRPr="00886B56">
              <w:rPr>
                <w:i/>
              </w:rPr>
              <w:t>R</w:t>
            </w:r>
            <w:r w:rsidRPr="00886B56">
              <w:rPr>
                <w:vertAlign w:val="superscript"/>
              </w:rPr>
              <w:t>2</w:t>
            </w:r>
          </w:p>
        </w:tc>
        <w:tc>
          <w:tcPr>
            <w:tcW w:w="686" w:type="dxa"/>
            <w:tcBorders>
              <w:top w:val="nil"/>
              <w:left w:val="nil"/>
              <w:bottom w:val="single" w:sz="4" w:space="0" w:color="auto"/>
              <w:right w:val="nil"/>
            </w:tcBorders>
            <w:shd w:val="clear" w:color="auto" w:fill="auto"/>
            <w:noWrap/>
            <w:vAlign w:val="bottom"/>
            <w:hideMark/>
          </w:tcPr>
          <w:p w14:paraId="33726334" w14:textId="77777777" w:rsidR="001513C2" w:rsidRPr="00886B56" w:rsidRDefault="001513C2" w:rsidP="001513C2">
            <w:pPr>
              <w:spacing w:line="360" w:lineRule="auto"/>
              <w:jc w:val="both"/>
              <w:rPr>
                <w:i/>
              </w:rPr>
            </w:pPr>
            <w:r w:rsidRPr="00886B56">
              <w:t>Δ</w:t>
            </w:r>
            <w:r w:rsidRPr="00886B56">
              <w:rPr>
                <w:i/>
              </w:rPr>
              <w:t>R</w:t>
            </w:r>
            <w:r w:rsidRPr="00886B56">
              <w:rPr>
                <w:vertAlign w:val="superscript"/>
              </w:rPr>
              <w:t>2</w:t>
            </w:r>
          </w:p>
        </w:tc>
      </w:tr>
      <w:tr w:rsidR="00BF11B2" w:rsidRPr="00A4261C" w14:paraId="474AED52" w14:textId="77777777" w:rsidTr="00165C37">
        <w:trPr>
          <w:gridAfter w:val="1"/>
          <w:wAfter w:w="316" w:type="dxa"/>
          <w:trHeight w:val="269"/>
        </w:trPr>
        <w:tc>
          <w:tcPr>
            <w:tcW w:w="1037" w:type="dxa"/>
            <w:tcBorders>
              <w:top w:val="nil"/>
              <w:left w:val="nil"/>
              <w:bottom w:val="nil"/>
              <w:right w:val="nil"/>
            </w:tcBorders>
            <w:shd w:val="clear" w:color="auto" w:fill="auto"/>
            <w:noWrap/>
            <w:vAlign w:val="bottom"/>
            <w:hideMark/>
          </w:tcPr>
          <w:p w14:paraId="35AAF4D5" w14:textId="77777777" w:rsidR="001513C2" w:rsidRPr="00A4261C" w:rsidRDefault="001513C2" w:rsidP="001513C2">
            <w:pPr>
              <w:spacing w:line="360" w:lineRule="auto"/>
              <w:jc w:val="both"/>
            </w:pPr>
            <w:r w:rsidRPr="00A4261C">
              <w:t xml:space="preserve">Block 1 </w:t>
            </w:r>
          </w:p>
        </w:tc>
        <w:tc>
          <w:tcPr>
            <w:tcW w:w="3832" w:type="dxa"/>
            <w:tcBorders>
              <w:top w:val="nil"/>
              <w:left w:val="nil"/>
              <w:bottom w:val="nil"/>
              <w:right w:val="nil"/>
            </w:tcBorders>
            <w:shd w:val="clear" w:color="auto" w:fill="auto"/>
            <w:noWrap/>
            <w:vAlign w:val="bottom"/>
            <w:hideMark/>
          </w:tcPr>
          <w:p w14:paraId="7A7F61B9" w14:textId="77777777" w:rsidR="001513C2" w:rsidRPr="00A4261C" w:rsidRDefault="001513C2" w:rsidP="001513C2">
            <w:pPr>
              <w:spacing w:line="360" w:lineRule="auto"/>
              <w:jc w:val="both"/>
            </w:pPr>
            <w:r w:rsidRPr="00A4261C">
              <w:t xml:space="preserve">Covariates </w:t>
            </w:r>
          </w:p>
        </w:tc>
        <w:tc>
          <w:tcPr>
            <w:tcW w:w="1671" w:type="dxa"/>
            <w:tcBorders>
              <w:top w:val="nil"/>
              <w:left w:val="nil"/>
              <w:bottom w:val="nil"/>
              <w:right w:val="nil"/>
            </w:tcBorders>
            <w:shd w:val="clear" w:color="auto" w:fill="auto"/>
            <w:noWrap/>
            <w:vAlign w:val="bottom"/>
            <w:hideMark/>
          </w:tcPr>
          <w:p w14:paraId="03D4E7F4" w14:textId="77777777" w:rsidR="001513C2" w:rsidRPr="00A4261C" w:rsidRDefault="001513C2" w:rsidP="001513C2">
            <w:pPr>
              <w:spacing w:line="360" w:lineRule="auto"/>
              <w:jc w:val="both"/>
            </w:pPr>
          </w:p>
        </w:tc>
        <w:tc>
          <w:tcPr>
            <w:tcW w:w="1017" w:type="dxa"/>
            <w:tcBorders>
              <w:top w:val="nil"/>
              <w:left w:val="nil"/>
              <w:bottom w:val="nil"/>
              <w:right w:val="nil"/>
            </w:tcBorders>
            <w:shd w:val="clear" w:color="auto" w:fill="auto"/>
            <w:noWrap/>
            <w:vAlign w:val="bottom"/>
            <w:hideMark/>
          </w:tcPr>
          <w:p w14:paraId="19D324EE" w14:textId="77777777" w:rsidR="001513C2" w:rsidRPr="00A4261C" w:rsidRDefault="001513C2" w:rsidP="001513C2">
            <w:pPr>
              <w:spacing w:line="360" w:lineRule="auto"/>
              <w:jc w:val="both"/>
            </w:pPr>
          </w:p>
        </w:tc>
        <w:tc>
          <w:tcPr>
            <w:tcW w:w="1272" w:type="dxa"/>
            <w:tcBorders>
              <w:top w:val="nil"/>
              <w:left w:val="nil"/>
              <w:bottom w:val="nil"/>
              <w:right w:val="nil"/>
            </w:tcBorders>
            <w:shd w:val="clear" w:color="auto" w:fill="auto"/>
            <w:noWrap/>
            <w:vAlign w:val="bottom"/>
            <w:hideMark/>
          </w:tcPr>
          <w:p w14:paraId="543C7528" w14:textId="77777777" w:rsidR="001513C2" w:rsidRPr="00A4261C" w:rsidRDefault="001513C2" w:rsidP="001513C2">
            <w:pPr>
              <w:spacing w:line="360" w:lineRule="auto"/>
              <w:jc w:val="both"/>
            </w:pPr>
          </w:p>
        </w:tc>
        <w:tc>
          <w:tcPr>
            <w:tcW w:w="681" w:type="dxa"/>
            <w:tcBorders>
              <w:top w:val="nil"/>
              <w:left w:val="nil"/>
              <w:bottom w:val="nil"/>
              <w:right w:val="nil"/>
            </w:tcBorders>
            <w:shd w:val="clear" w:color="auto" w:fill="auto"/>
            <w:noWrap/>
            <w:vAlign w:val="bottom"/>
            <w:hideMark/>
          </w:tcPr>
          <w:p w14:paraId="2E67704D" w14:textId="60533C17" w:rsidR="001513C2" w:rsidRPr="00A4261C" w:rsidRDefault="001513C2" w:rsidP="001513C2">
            <w:pPr>
              <w:spacing w:line="360" w:lineRule="auto"/>
              <w:jc w:val="both"/>
            </w:pPr>
            <w:r w:rsidRPr="00A4261C">
              <w:t>0.1</w:t>
            </w:r>
            <w:r w:rsidR="00165C37">
              <w:t>5</w:t>
            </w:r>
          </w:p>
        </w:tc>
        <w:tc>
          <w:tcPr>
            <w:tcW w:w="681" w:type="dxa"/>
            <w:tcBorders>
              <w:top w:val="nil"/>
              <w:left w:val="nil"/>
              <w:bottom w:val="nil"/>
              <w:right w:val="nil"/>
            </w:tcBorders>
            <w:shd w:val="clear" w:color="auto" w:fill="auto"/>
            <w:noWrap/>
            <w:vAlign w:val="bottom"/>
            <w:hideMark/>
          </w:tcPr>
          <w:p w14:paraId="514BFB9C" w14:textId="77777777" w:rsidR="001513C2" w:rsidRPr="00A4261C" w:rsidRDefault="001513C2" w:rsidP="001513C2">
            <w:pPr>
              <w:spacing w:line="360" w:lineRule="auto"/>
              <w:jc w:val="both"/>
            </w:pPr>
            <w:r w:rsidRPr="00A4261C">
              <w:t>0.02</w:t>
            </w:r>
          </w:p>
        </w:tc>
        <w:tc>
          <w:tcPr>
            <w:tcW w:w="1639" w:type="dxa"/>
            <w:tcBorders>
              <w:top w:val="nil"/>
              <w:left w:val="nil"/>
              <w:bottom w:val="nil"/>
              <w:right w:val="nil"/>
            </w:tcBorders>
            <w:shd w:val="clear" w:color="auto" w:fill="auto"/>
            <w:noWrap/>
            <w:vAlign w:val="bottom"/>
            <w:hideMark/>
          </w:tcPr>
          <w:p w14:paraId="6B006E01" w14:textId="77777777" w:rsidR="001513C2" w:rsidRPr="00A4261C" w:rsidRDefault="001513C2" w:rsidP="001513C2">
            <w:pPr>
              <w:spacing w:line="360" w:lineRule="auto"/>
              <w:jc w:val="both"/>
            </w:pPr>
            <w:r w:rsidRPr="00A4261C">
              <w:t>0.02</w:t>
            </w:r>
          </w:p>
        </w:tc>
        <w:tc>
          <w:tcPr>
            <w:tcW w:w="686" w:type="dxa"/>
            <w:tcBorders>
              <w:top w:val="nil"/>
              <w:left w:val="nil"/>
              <w:bottom w:val="nil"/>
              <w:right w:val="nil"/>
            </w:tcBorders>
            <w:shd w:val="clear" w:color="auto" w:fill="auto"/>
            <w:noWrap/>
            <w:vAlign w:val="bottom"/>
            <w:hideMark/>
          </w:tcPr>
          <w:p w14:paraId="0A891081" w14:textId="77777777" w:rsidR="001513C2" w:rsidRPr="00A4261C" w:rsidRDefault="001513C2" w:rsidP="001513C2">
            <w:pPr>
              <w:spacing w:line="360" w:lineRule="auto"/>
              <w:jc w:val="both"/>
            </w:pPr>
          </w:p>
        </w:tc>
      </w:tr>
      <w:tr w:rsidR="00BF11B2" w:rsidRPr="00A4261C" w14:paraId="2A84D51D" w14:textId="77777777" w:rsidTr="00165C37">
        <w:trPr>
          <w:gridAfter w:val="1"/>
          <w:wAfter w:w="316" w:type="dxa"/>
          <w:trHeight w:val="380"/>
        </w:trPr>
        <w:tc>
          <w:tcPr>
            <w:tcW w:w="1037" w:type="dxa"/>
            <w:tcBorders>
              <w:top w:val="nil"/>
              <w:left w:val="nil"/>
              <w:bottom w:val="nil"/>
              <w:right w:val="nil"/>
            </w:tcBorders>
            <w:shd w:val="clear" w:color="auto" w:fill="auto"/>
            <w:noWrap/>
            <w:vAlign w:val="bottom"/>
            <w:hideMark/>
          </w:tcPr>
          <w:p w14:paraId="207F2F11" w14:textId="77777777" w:rsidR="001513C2" w:rsidRPr="00A4261C" w:rsidRDefault="001513C2" w:rsidP="001513C2">
            <w:pPr>
              <w:spacing w:line="360" w:lineRule="auto"/>
              <w:jc w:val="both"/>
            </w:pPr>
          </w:p>
        </w:tc>
        <w:tc>
          <w:tcPr>
            <w:tcW w:w="3832" w:type="dxa"/>
            <w:tcBorders>
              <w:top w:val="nil"/>
              <w:left w:val="nil"/>
              <w:bottom w:val="nil"/>
              <w:right w:val="nil"/>
            </w:tcBorders>
            <w:shd w:val="clear" w:color="auto" w:fill="auto"/>
            <w:noWrap/>
            <w:vAlign w:val="bottom"/>
            <w:hideMark/>
          </w:tcPr>
          <w:p w14:paraId="4A3D7591" w14:textId="77777777" w:rsidR="006D1CAB" w:rsidRPr="00A4261C" w:rsidRDefault="001513C2" w:rsidP="001513C2">
            <w:pPr>
              <w:spacing w:line="360" w:lineRule="auto"/>
              <w:jc w:val="both"/>
            </w:pPr>
            <w:r w:rsidRPr="00A4261C">
              <w:t>Gender</w:t>
            </w:r>
          </w:p>
        </w:tc>
        <w:tc>
          <w:tcPr>
            <w:tcW w:w="1671" w:type="dxa"/>
            <w:tcBorders>
              <w:top w:val="nil"/>
              <w:left w:val="nil"/>
              <w:bottom w:val="nil"/>
              <w:right w:val="nil"/>
            </w:tcBorders>
            <w:shd w:val="clear" w:color="auto" w:fill="auto"/>
            <w:noWrap/>
            <w:vAlign w:val="bottom"/>
            <w:hideMark/>
          </w:tcPr>
          <w:p w14:paraId="32D42613" w14:textId="77777777" w:rsidR="001513C2" w:rsidRPr="00A4261C" w:rsidRDefault="001513C2" w:rsidP="001513C2">
            <w:pPr>
              <w:spacing w:line="360" w:lineRule="auto"/>
              <w:jc w:val="both"/>
            </w:pPr>
            <w:r w:rsidRPr="00A4261C">
              <w:t>-0.21(.06)</w:t>
            </w:r>
          </w:p>
        </w:tc>
        <w:tc>
          <w:tcPr>
            <w:tcW w:w="1017" w:type="dxa"/>
            <w:tcBorders>
              <w:top w:val="nil"/>
              <w:left w:val="nil"/>
              <w:bottom w:val="nil"/>
              <w:right w:val="nil"/>
            </w:tcBorders>
            <w:shd w:val="clear" w:color="auto" w:fill="auto"/>
            <w:noWrap/>
            <w:vAlign w:val="bottom"/>
            <w:hideMark/>
          </w:tcPr>
          <w:p w14:paraId="0FC57E0C" w14:textId="13C52A6A" w:rsidR="001513C2" w:rsidRPr="00A4261C" w:rsidRDefault="001513C2" w:rsidP="001513C2">
            <w:pPr>
              <w:spacing w:line="360" w:lineRule="auto"/>
              <w:jc w:val="both"/>
            </w:pPr>
            <w:r w:rsidRPr="00A4261C">
              <w:t>-</w:t>
            </w:r>
            <w:r w:rsidR="004F16B3">
              <w:t>0</w:t>
            </w:r>
            <w:r w:rsidRPr="00A4261C">
              <w:t>.13</w:t>
            </w:r>
          </w:p>
        </w:tc>
        <w:tc>
          <w:tcPr>
            <w:tcW w:w="1272" w:type="dxa"/>
            <w:tcBorders>
              <w:top w:val="nil"/>
              <w:left w:val="nil"/>
              <w:bottom w:val="nil"/>
              <w:right w:val="nil"/>
            </w:tcBorders>
            <w:shd w:val="clear" w:color="auto" w:fill="auto"/>
            <w:noWrap/>
            <w:vAlign w:val="bottom"/>
            <w:hideMark/>
          </w:tcPr>
          <w:p w14:paraId="26814F5A" w14:textId="31EAF18A" w:rsidR="001513C2" w:rsidRPr="00A4261C" w:rsidRDefault="00B6726A" w:rsidP="001513C2">
            <w:pPr>
              <w:spacing w:line="360" w:lineRule="auto"/>
              <w:jc w:val="both"/>
            </w:pPr>
            <w:r>
              <w:t>-3.88</w:t>
            </w:r>
            <w:r w:rsidR="001513C2" w:rsidRPr="00A4261C">
              <w:t>***</w:t>
            </w:r>
          </w:p>
        </w:tc>
        <w:tc>
          <w:tcPr>
            <w:tcW w:w="681" w:type="dxa"/>
            <w:tcBorders>
              <w:top w:val="nil"/>
              <w:left w:val="nil"/>
              <w:bottom w:val="nil"/>
              <w:right w:val="nil"/>
            </w:tcBorders>
            <w:shd w:val="clear" w:color="auto" w:fill="auto"/>
            <w:noWrap/>
            <w:vAlign w:val="bottom"/>
            <w:hideMark/>
          </w:tcPr>
          <w:p w14:paraId="49CE03FD" w14:textId="77777777" w:rsidR="001513C2" w:rsidRPr="00A4261C" w:rsidRDefault="001513C2" w:rsidP="001513C2">
            <w:pPr>
              <w:spacing w:line="360" w:lineRule="auto"/>
              <w:jc w:val="both"/>
            </w:pPr>
          </w:p>
        </w:tc>
        <w:tc>
          <w:tcPr>
            <w:tcW w:w="681" w:type="dxa"/>
            <w:tcBorders>
              <w:top w:val="nil"/>
              <w:left w:val="nil"/>
              <w:bottom w:val="nil"/>
              <w:right w:val="nil"/>
            </w:tcBorders>
            <w:shd w:val="clear" w:color="auto" w:fill="auto"/>
            <w:noWrap/>
            <w:vAlign w:val="bottom"/>
            <w:hideMark/>
          </w:tcPr>
          <w:p w14:paraId="7F7BE802" w14:textId="77777777" w:rsidR="001513C2" w:rsidRPr="00A4261C" w:rsidRDefault="001513C2" w:rsidP="001513C2">
            <w:pPr>
              <w:spacing w:line="360" w:lineRule="auto"/>
              <w:jc w:val="both"/>
            </w:pPr>
          </w:p>
        </w:tc>
        <w:tc>
          <w:tcPr>
            <w:tcW w:w="1639" w:type="dxa"/>
            <w:tcBorders>
              <w:top w:val="nil"/>
              <w:left w:val="nil"/>
              <w:bottom w:val="nil"/>
              <w:right w:val="nil"/>
            </w:tcBorders>
            <w:shd w:val="clear" w:color="auto" w:fill="auto"/>
            <w:noWrap/>
            <w:vAlign w:val="bottom"/>
            <w:hideMark/>
          </w:tcPr>
          <w:p w14:paraId="4F809288" w14:textId="77777777" w:rsidR="001513C2" w:rsidRPr="00A4261C" w:rsidRDefault="001513C2" w:rsidP="001513C2">
            <w:pPr>
              <w:spacing w:line="360" w:lineRule="auto"/>
              <w:jc w:val="both"/>
            </w:pPr>
          </w:p>
        </w:tc>
        <w:tc>
          <w:tcPr>
            <w:tcW w:w="686" w:type="dxa"/>
            <w:tcBorders>
              <w:top w:val="nil"/>
              <w:left w:val="nil"/>
              <w:bottom w:val="nil"/>
              <w:right w:val="nil"/>
            </w:tcBorders>
            <w:shd w:val="clear" w:color="auto" w:fill="auto"/>
            <w:noWrap/>
            <w:vAlign w:val="bottom"/>
            <w:hideMark/>
          </w:tcPr>
          <w:p w14:paraId="12824459" w14:textId="77777777" w:rsidR="001513C2" w:rsidRPr="00A4261C" w:rsidRDefault="001513C2" w:rsidP="001513C2">
            <w:pPr>
              <w:spacing w:line="360" w:lineRule="auto"/>
              <w:jc w:val="both"/>
            </w:pPr>
          </w:p>
        </w:tc>
      </w:tr>
      <w:tr w:rsidR="00BF11B2" w:rsidRPr="00A4261C" w14:paraId="1889C2A7" w14:textId="77777777" w:rsidTr="00165C37">
        <w:trPr>
          <w:gridAfter w:val="1"/>
          <w:wAfter w:w="316" w:type="dxa"/>
          <w:trHeight w:val="352"/>
        </w:trPr>
        <w:tc>
          <w:tcPr>
            <w:tcW w:w="1037" w:type="dxa"/>
            <w:tcBorders>
              <w:top w:val="nil"/>
              <w:left w:val="nil"/>
              <w:bottom w:val="nil"/>
              <w:right w:val="nil"/>
            </w:tcBorders>
            <w:shd w:val="clear" w:color="auto" w:fill="auto"/>
            <w:noWrap/>
            <w:vAlign w:val="bottom"/>
          </w:tcPr>
          <w:p w14:paraId="44F077A7" w14:textId="77777777" w:rsidR="006D1CAB" w:rsidRPr="00A4261C" w:rsidRDefault="006D1CAB" w:rsidP="001513C2">
            <w:pPr>
              <w:spacing w:line="360" w:lineRule="auto"/>
              <w:jc w:val="both"/>
            </w:pPr>
          </w:p>
        </w:tc>
        <w:tc>
          <w:tcPr>
            <w:tcW w:w="3832" w:type="dxa"/>
            <w:tcBorders>
              <w:top w:val="nil"/>
              <w:left w:val="nil"/>
              <w:bottom w:val="nil"/>
              <w:right w:val="nil"/>
            </w:tcBorders>
            <w:shd w:val="clear" w:color="auto" w:fill="auto"/>
            <w:noWrap/>
            <w:vAlign w:val="bottom"/>
          </w:tcPr>
          <w:p w14:paraId="582B0B65" w14:textId="77777777" w:rsidR="006D1CAB" w:rsidRPr="00A4261C" w:rsidRDefault="006D1CAB" w:rsidP="001513C2">
            <w:pPr>
              <w:spacing w:line="360" w:lineRule="auto"/>
              <w:jc w:val="both"/>
            </w:pPr>
            <w:r w:rsidRPr="00A4261C">
              <w:t>Age</w:t>
            </w:r>
          </w:p>
        </w:tc>
        <w:tc>
          <w:tcPr>
            <w:tcW w:w="1671" w:type="dxa"/>
            <w:tcBorders>
              <w:top w:val="nil"/>
              <w:left w:val="nil"/>
              <w:bottom w:val="nil"/>
              <w:right w:val="nil"/>
            </w:tcBorders>
            <w:shd w:val="clear" w:color="auto" w:fill="auto"/>
            <w:noWrap/>
            <w:vAlign w:val="bottom"/>
          </w:tcPr>
          <w:p w14:paraId="066117B5" w14:textId="7E766E73" w:rsidR="006D1CAB" w:rsidRPr="00A4261C" w:rsidRDefault="00D51668" w:rsidP="001513C2">
            <w:pPr>
              <w:spacing w:line="360" w:lineRule="auto"/>
              <w:jc w:val="both"/>
            </w:pPr>
            <w:r w:rsidRPr="00A4261C">
              <w:t>-</w:t>
            </w:r>
            <w:r w:rsidR="00BF11B2" w:rsidRPr="00A4261C">
              <w:t>0</w:t>
            </w:r>
            <w:r w:rsidR="00C316D4">
              <w:t>.008(.004</w:t>
            </w:r>
            <w:r w:rsidR="006D1CAB" w:rsidRPr="00A4261C">
              <w:t>)</w:t>
            </w:r>
          </w:p>
        </w:tc>
        <w:tc>
          <w:tcPr>
            <w:tcW w:w="1017" w:type="dxa"/>
            <w:tcBorders>
              <w:top w:val="nil"/>
              <w:left w:val="nil"/>
              <w:bottom w:val="nil"/>
              <w:right w:val="nil"/>
            </w:tcBorders>
            <w:shd w:val="clear" w:color="auto" w:fill="auto"/>
            <w:noWrap/>
            <w:vAlign w:val="bottom"/>
          </w:tcPr>
          <w:p w14:paraId="55D73173" w14:textId="0DF8EB2B" w:rsidR="006D1CAB" w:rsidRPr="00A4261C" w:rsidRDefault="00D51668" w:rsidP="001513C2">
            <w:pPr>
              <w:spacing w:line="360" w:lineRule="auto"/>
              <w:jc w:val="both"/>
            </w:pPr>
            <w:r w:rsidRPr="00A4261C">
              <w:t>-</w:t>
            </w:r>
            <w:r w:rsidR="004F16B3">
              <w:t>0</w:t>
            </w:r>
            <w:r w:rsidRPr="00A4261C">
              <w:t>.1</w:t>
            </w:r>
            <w:r w:rsidR="0015052E">
              <w:t>0</w:t>
            </w:r>
          </w:p>
        </w:tc>
        <w:tc>
          <w:tcPr>
            <w:tcW w:w="1272" w:type="dxa"/>
            <w:tcBorders>
              <w:top w:val="nil"/>
              <w:left w:val="nil"/>
              <w:bottom w:val="nil"/>
              <w:right w:val="nil"/>
            </w:tcBorders>
            <w:shd w:val="clear" w:color="auto" w:fill="auto"/>
            <w:noWrap/>
            <w:vAlign w:val="bottom"/>
          </w:tcPr>
          <w:p w14:paraId="3B90F98C" w14:textId="5752148D" w:rsidR="006D1CAB" w:rsidRPr="00A4261C" w:rsidRDefault="00B30DE6" w:rsidP="001513C2">
            <w:pPr>
              <w:spacing w:line="360" w:lineRule="auto"/>
              <w:jc w:val="both"/>
            </w:pPr>
            <w:r>
              <w:t>-</w:t>
            </w:r>
            <w:r w:rsidR="00D51668" w:rsidRPr="00A4261C">
              <w:t>1.915</w:t>
            </w:r>
          </w:p>
        </w:tc>
        <w:tc>
          <w:tcPr>
            <w:tcW w:w="681" w:type="dxa"/>
            <w:tcBorders>
              <w:top w:val="nil"/>
              <w:left w:val="nil"/>
              <w:bottom w:val="nil"/>
              <w:right w:val="nil"/>
            </w:tcBorders>
            <w:shd w:val="clear" w:color="auto" w:fill="auto"/>
            <w:noWrap/>
            <w:vAlign w:val="bottom"/>
          </w:tcPr>
          <w:p w14:paraId="43C2317F" w14:textId="77777777" w:rsidR="006D1CAB" w:rsidRPr="00A4261C" w:rsidRDefault="006D1CAB" w:rsidP="001513C2">
            <w:pPr>
              <w:spacing w:line="360" w:lineRule="auto"/>
              <w:jc w:val="both"/>
            </w:pPr>
          </w:p>
        </w:tc>
        <w:tc>
          <w:tcPr>
            <w:tcW w:w="681" w:type="dxa"/>
            <w:tcBorders>
              <w:top w:val="nil"/>
              <w:left w:val="nil"/>
              <w:bottom w:val="nil"/>
              <w:right w:val="nil"/>
            </w:tcBorders>
            <w:shd w:val="clear" w:color="auto" w:fill="auto"/>
            <w:noWrap/>
            <w:vAlign w:val="bottom"/>
          </w:tcPr>
          <w:p w14:paraId="0BF1B37A" w14:textId="77777777" w:rsidR="006D1CAB" w:rsidRPr="00A4261C" w:rsidRDefault="006D1CAB" w:rsidP="001513C2">
            <w:pPr>
              <w:spacing w:line="360" w:lineRule="auto"/>
              <w:jc w:val="both"/>
            </w:pPr>
          </w:p>
        </w:tc>
        <w:tc>
          <w:tcPr>
            <w:tcW w:w="1639" w:type="dxa"/>
            <w:tcBorders>
              <w:top w:val="nil"/>
              <w:left w:val="nil"/>
              <w:bottom w:val="nil"/>
              <w:right w:val="nil"/>
            </w:tcBorders>
            <w:shd w:val="clear" w:color="auto" w:fill="auto"/>
            <w:noWrap/>
            <w:vAlign w:val="bottom"/>
          </w:tcPr>
          <w:p w14:paraId="527EF6BB" w14:textId="77777777" w:rsidR="006D1CAB" w:rsidRPr="00A4261C" w:rsidRDefault="006D1CAB" w:rsidP="001513C2">
            <w:pPr>
              <w:spacing w:line="360" w:lineRule="auto"/>
              <w:jc w:val="both"/>
            </w:pPr>
          </w:p>
        </w:tc>
        <w:tc>
          <w:tcPr>
            <w:tcW w:w="686" w:type="dxa"/>
            <w:tcBorders>
              <w:top w:val="nil"/>
              <w:left w:val="nil"/>
              <w:bottom w:val="nil"/>
              <w:right w:val="nil"/>
            </w:tcBorders>
            <w:shd w:val="clear" w:color="auto" w:fill="auto"/>
            <w:noWrap/>
            <w:vAlign w:val="bottom"/>
          </w:tcPr>
          <w:p w14:paraId="6BCC529A" w14:textId="77777777" w:rsidR="006D1CAB" w:rsidRPr="00A4261C" w:rsidRDefault="006D1CAB" w:rsidP="001513C2">
            <w:pPr>
              <w:spacing w:line="360" w:lineRule="auto"/>
              <w:jc w:val="both"/>
            </w:pPr>
          </w:p>
        </w:tc>
      </w:tr>
      <w:tr w:rsidR="00BF11B2" w:rsidRPr="00A4261C" w14:paraId="3F203B04" w14:textId="77777777" w:rsidTr="00165C37">
        <w:trPr>
          <w:gridAfter w:val="1"/>
          <w:wAfter w:w="316" w:type="dxa"/>
          <w:trHeight w:val="438"/>
        </w:trPr>
        <w:tc>
          <w:tcPr>
            <w:tcW w:w="1037" w:type="dxa"/>
            <w:tcBorders>
              <w:top w:val="nil"/>
              <w:left w:val="nil"/>
              <w:bottom w:val="nil"/>
              <w:right w:val="nil"/>
            </w:tcBorders>
            <w:shd w:val="clear" w:color="auto" w:fill="auto"/>
            <w:noWrap/>
            <w:vAlign w:val="bottom"/>
            <w:hideMark/>
          </w:tcPr>
          <w:p w14:paraId="77FD38F0" w14:textId="77777777" w:rsidR="001513C2" w:rsidRPr="00A4261C" w:rsidRDefault="001513C2" w:rsidP="001513C2">
            <w:pPr>
              <w:spacing w:line="360" w:lineRule="auto"/>
              <w:jc w:val="both"/>
            </w:pPr>
          </w:p>
        </w:tc>
        <w:tc>
          <w:tcPr>
            <w:tcW w:w="3832" w:type="dxa"/>
            <w:tcBorders>
              <w:top w:val="nil"/>
              <w:left w:val="nil"/>
              <w:bottom w:val="nil"/>
              <w:right w:val="nil"/>
            </w:tcBorders>
            <w:shd w:val="clear" w:color="auto" w:fill="auto"/>
            <w:noWrap/>
            <w:vAlign w:val="bottom"/>
            <w:hideMark/>
          </w:tcPr>
          <w:p w14:paraId="487E38D6" w14:textId="77777777" w:rsidR="001513C2" w:rsidRPr="00A4261C" w:rsidRDefault="001513C2" w:rsidP="001513C2">
            <w:pPr>
              <w:spacing w:line="360" w:lineRule="auto"/>
              <w:jc w:val="both"/>
            </w:pPr>
            <w:r w:rsidRPr="00A4261C">
              <w:t>Years of Service</w:t>
            </w:r>
          </w:p>
        </w:tc>
        <w:tc>
          <w:tcPr>
            <w:tcW w:w="1671" w:type="dxa"/>
            <w:tcBorders>
              <w:top w:val="nil"/>
              <w:left w:val="nil"/>
              <w:bottom w:val="nil"/>
              <w:right w:val="nil"/>
            </w:tcBorders>
            <w:shd w:val="clear" w:color="auto" w:fill="auto"/>
            <w:noWrap/>
            <w:vAlign w:val="bottom"/>
            <w:hideMark/>
          </w:tcPr>
          <w:p w14:paraId="2D574814" w14:textId="57624141" w:rsidR="001513C2" w:rsidRPr="00A4261C" w:rsidRDefault="00C316D4" w:rsidP="001513C2">
            <w:pPr>
              <w:spacing w:line="360" w:lineRule="auto"/>
              <w:jc w:val="both"/>
            </w:pPr>
            <w:r>
              <w:t>-0.006(.01</w:t>
            </w:r>
            <w:r w:rsidR="001513C2" w:rsidRPr="00A4261C">
              <w:t>)</w:t>
            </w:r>
          </w:p>
        </w:tc>
        <w:tc>
          <w:tcPr>
            <w:tcW w:w="1017" w:type="dxa"/>
            <w:tcBorders>
              <w:top w:val="nil"/>
              <w:left w:val="nil"/>
              <w:bottom w:val="nil"/>
              <w:right w:val="nil"/>
            </w:tcBorders>
            <w:shd w:val="clear" w:color="auto" w:fill="auto"/>
            <w:noWrap/>
            <w:vAlign w:val="bottom"/>
            <w:hideMark/>
          </w:tcPr>
          <w:p w14:paraId="0874F50B" w14:textId="6F11AA75" w:rsidR="001513C2" w:rsidRPr="00A4261C" w:rsidRDefault="004F16B3" w:rsidP="001513C2">
            <w:pPr>
              <w:spacing w:line="360" w:lineRule="auto"/>
              <w:jc w:val="both"/>
            </w:pPr>
            <w:r>
              <w:t>0</w:t>
            </w:r>
            <w:r w:rsidR="00D51668" w:rsidRPr="00A4261C">
              <w:t>.0</w:t>
            </w:r>
            <w:r w:rsidR="00B6726A">
              <w:t>7</w:t>
            </w:r>
          </w:p>
        </w:tc>
        <w:tc>
          <w:tcPr>
            <w:tcW w:w="1272" w:type="dxa"/>
            <w:tcBorders>
              <w:top w:val="nil"/>
              <w:left w:val="nil"/>
              <w:bottom w:val="nil"/>
              <w:right w:val="nil"/>
            </w:tcBorders>
            <w:shd w:val="clear" w:color="auto" w:fill="auto"/>
            <w:noWrap/>
            <w:vAlign w:val="bottom"/>
            <w:hideMark/>
          </w:tcPr>
          <w:p w14:paraId="09E96F4E" w14:textId="77777777" w:rsidR="001513C2" w:rsidRPr="00A4261C" w:rsidRDefault="00D51668" w:rsidP="001513C2">
            <w:pPr>
              <w:spacing w:line="360" w:lineRule="auto"/>
              <w:jc w:val="both"/>
            </w:pPr>
            <w:r w:rsidRPr="00A4261C">
              <w:t>1.30</w:t>
            </w:r>
          </w:p>
        </w:tc>
        <w:tc>
          <w:tcPr>
            <w:tcW w:w="681" w:type="dxa"/>
            <w:tcBorders>
              <w:top w:val="nil"/>
              <w:left w:val="nil"/>
              <w:bottom w:val="nil"/>
              <w:right w:val="nil"/>
            </w:tcBorders>
            <w:shd w:val="clear" w:color="auto" w:fill="auto"/>
            <w:noWrap/>
            <w:vAlign w:val="bottom"/>
            <w:hideMark/>
          </w:tcPr>
          <w:p w14:paraId="5B5FC1AD" w14:textId="77777777" w:rsidR="001513C2" w:rsidRPr="00A4261C" w:rsidRDefault="001513C2" w:rsidP="001513C2">
            <w:pPr>
              <w:spacing w:line="360" w:lineRule="auto"/>
              <w:jc w:val="both"/>
            </w:pPr>
          </w:p>
        </w:tc>
        <w:tc>
          <w:tcPr>
            <w:tcW w:w="681" w:type="dxa"/>
            <w:tcBorders>
              <w:top w:val="nil"/>
              <w:left w:val="nil"/>
              <w:bottom w:val="nil"/>
              <w:right w:val="nil"/>
            </w:tcBorders>
            <w:shd w:val="clear" w:color="auto" w:fill="auto"/>
            <w:noWrap/>
            <w:vAlign w:val="bottom"/>
            <w:hideMark/>
          </w:tcPr>
          <w:p w14:paraId="0395E87C" w14:textId="77777777" w:rsidR="001513C2" w:rsidRPr="00A4261C" w:rsidRDefault="001513C2" w:rsidP="001513C2">
            <w:pPr>
              <w:spacing w:line="360" w:lineRule="auto"/>
              <w:jc w:val="both"/>
            </w:pPr>
          </w:p>
        </w:tc>
        <w:tc>
          <w:tcPr>
            <w:tcW w:w="1639" w:type="dxa"/>
            <w:tcBorders>
              <w:top w:val="nil"/>
              <w:left w:val="nil"/>
              <w:bottom w:val="nil"/>
              <w:right w:val="nil"/>
            </w:tcBorders>
            <w:shd w:val="clear" w:color="auto" w:fill="auto"/>
            <w:noWrap/>
            <w:vAlign w:val="bottom"/>
            <w:hideMark/>
          </w:tcPr>
          <w:p w14:paraId="2904A056" w14:textId="77777777" w:rsidR="001513C2" w:rsidRPr="00A4261C" w:rsidRDefault="001513C2" w:rsidP="001513C2">
            <w:pPr>
              <w:spacing w:line="360" w:lineRule="auto"/>
              <w:jc w:val="both"/>
            </w:pPr>
          </w:p>
        </w:tc>
        <w:tc>
          <w:tcPr>
            <w:tcW w:w="686" w:type="dxa"/>
            <w:tcBorders>
              <w:top w:val="nil"/>
              <w:left w:val="nil"/>
              <w:bottom w:val="nil"/>
              <w:right w:val="nil"/>
            </w:tcBorders>
            <w:shd w:val="clear" w:color="auto" w:fill="auto"/>
            <w:noWrap/>
            <w:vAlign w:val="bottom"/>
            <w:hideMark/>
          </w:tcPr>
          <w:p w14:paraId="3187BB11" w14:textId="77777777" w:rsidR="001513C2" w:rsidRPr="00A4261C" w:rsidRDefault="001513C2" w:rsidP="001513C2">
            <w:pPr>
              <w:spacing w:line="360" w:lineRule="auto"/>
              <w:jc w:val="both"/>
            </w:pPr>
          </w:p>
        </w:tc>
      </w:tr>
      <w:tr w:rsidR="00BF11B2" w:rsidRPr="00A4261C" w14:paraId="255F506C" w14:textId="77777777" w:rsidTr="00165C37">
        <w:trPr>
          <w:gridAfter w:val="1"/>
          <w:wAfter w:w="316" w:type="dxa"/>
          <w:trHeight w:val="269"/>
        </w:trPr>
        <w:tc>
          <w:tcPr>
            <w:tcW w:w="1037" w:type="dxa"/>
            <w:tcBorders>
              <w:top w:val="nil"/>
              <w:left w:val="nil"/>
              <w:bottom w:val="nil"/>
              <w:right w:val="nil"/>
            </w:tcBorders>
            <w:shd w:val="clear" w:color="auto" w:fill="auto"/>
            <w:noWrap/>
            <w:vAlign w:val="bottom"/>
            <w:hideMark/>
          </w:tcPr>
          <w:p w14:paraId="5284D900" w14:textId="77777777" w:rsidR="001513C2" w:rsidRPr="00A4261C" w:rsidRDefault="001513C2" w:rsidP="001513C2">
            <w:pPr>
              <w:spacing w:line="360" w:lineRule="auto"/>
              <w:jc w:val="both"/>
            </w:pPr>
          </w:p>
        </w:tc>
        <w:tc>
          <w:tcPr>
            <w:tcW w:w="3832" w:type="dxa"/>
            <w:tcBorders>
              <w:top w:val="nil"/>
              <w:left w:val="nil"/>
              <w:bottom w:val="nil"/>
              <w:right w:val="nil"/>
            </w:tcBorders>
            <w:shd w:val="clear" w:color="auto" w:fill="auto"/>
            <w:noWrap/>
            <w:vAlign w:val="bottom"/>
            <w:hideMark/>
          </w:tcPr>
          <w:p w14:paraId="4D85B8F4" w14:textId="77777777" w:rsidR="001513C2" w:rsidRPr="00A4261C" w:rsidRDefault="006D1CAB" w:rsidP="001513C2">
            <w:pPr>
              <w:spacing w:line="360" w:lineRule="auto"/>
              <w:jc w:val="both"/>
            </w:pPr>
            <w:r w:rsidRPr="00A4261C">
              <w:t xml:space="preserve">Past </w:t>
            </w:r>
            <w:r w:rsidR="001513C2" w:rsidRPr="00A4261C">
              <w:t>Experience (SOIT/non-SOIT)</w:t>
            </w:r>
          </w:p>
        </w:tc>
        <w:tc>
          <w:tcPr>
            <w:tcW w:w="1671" w:type="dxa"/>
            <w:tcBorders>
              <w:top w:val="nil"/>
              <w:left w:val="nil"/>
              <w:bottom w:val="nil"/>
              <w:right w:val="nil"/>
            </w:tcBorders>
            <w:shd w:val="clear" w:color="auto" w:fill="auto"/>
            <w:noWrap/>
            <w:vAlign w:val="bottom"/>
            <w:hideMark/>
          </w:tcPr>
          <w:p w14:paraId="1E154E52" w14:textId="77777777" w:rsidR="001513C2" w:rsidRPr="00A4261C" w:rsidRDefault="00BF11B2" w:rsidP="001513C2">
            <w:pPr>
              <w:spacing w:line="360" w:lineRule="auto"/>
              <w:jc w:val="both"/>
            </w:pPr>
            <w:r w:rsidRPr="00A4261C">
              <w:t>0</w:t>
            </w:r>
            <w:r w:rsidR="00D51668" w:rsidRPr="00A4261C">
              <w:t>.21</w:t>
            </w:r>
            <w:r w:rsidR="001513C2" w:rsidRPr="00A4261C">
              <w:t>(.08)</w:t>
            </w:r>
          </w:p>
        </w:tc>
        <w:tc>
          <w:tcPr>
            <w:tcW w:w="1017" w:type="dxa"/>
            <w:tcBorders>
              <w:top w:val="nil"/>
              <w:left w:val="nil"/>
              <w:bottom w:val="nil"/>
              <w:right w:val="nil"/>
            </w:tcBorders>
            <w:shd w:val="clear" w:color="auto" w:fill="auto"/>
            <w:noWrap/>
            <w:vAlign w:val="bottom"/>
            <w:hideMark/>
          </w:tcPr>
          <w:p w14:paraId="326A65EC" w14:textId="77777777" w:rsidR="001513C2" w:rsidRPr="00A4261C" w:rsidRDefault="001513C2" w:rsidP="001513C2">
            <w:pPr>
              <w:spacing w:line="360" w:lineRule="auto"/>
              <w:jc w:val="both"/>
            </w:pPr>
            <w:r w:rsidRPr="00A4261C">
              <w:t>0.09</w:t>
            </w:r>
          </w:p>
        </w:tc>
        <w:tc>
          <w:tcPr>
            <w:tcW w:w="1272" w:type="dxa"/>
            <w:tcBorders>
              <w:top w:val="nil"/>
              <w:left w:val="nil"/>
              <w:bottom w:val="nil"/>
              <w:right w:val="nil"/>
            </w:tcBorders>
            <w:shd w:val="clear" w:color="auto" w:fill="auto"/>
            <w:noWrap/>
            <w:vAlign w:val="bottom"/>
            <w:hideMark/>
          </w:tcPr>
          <w:p w14:paraId="36D4E92C" w14:textId="68374E22" w:rsidR="001513C2" w:rsidRPr="00A4261C" w:rsidRDefault="00B6726A" w:rsidP="001513C2">
            <w:pPr>
              <w:spacing w:line="360" w:lineRule="auto"/>
              <w:jc w:val="both"/>
            </w:pPr>
            <w:r>
              <w:t>2.62</w:t>
            </w:r>
            <w:r w:rsidR="001513C2" w:rsidRPr="00A4261C">
              <w:t>**</w:t>
            </w:r>
          </w:p>
        </w:tc>
        <w:tc>
          <w:tcPr>
            <w:tcW w:w="681" w:type="dxa"/>
            <w:tcBorders>
              <w:top w:val="nil"/>
              <w:left w:val="nil"/>
              <w:bottom w:val="nil"/>
              <w:right w:val="nil"/>
            </w:tcBorders>
            <w:shd w:val="clear" w:color="auto" w:fill="auto"/>
            <w:noWrap/>
            <w:vAlign w:val="bottom"/>
            <w:hideMark/>
          </w:tcPr>
          <w:p w14:paraId="2102200B" w14:textId="77777777" w:rsidR="001513C2" w:rsidRPr="00A4261C" w:rsidRDefault="001513C2" w:rsidP="001513C2">
            <w:pPr>
              <w:spacing w:line="360" w:lineRule="auto"/>
              <w:jc w:val="both"/>
            </w:pPr>
          </w:p>
        </w:tc>
        <w:tc>
          <w:tcPr>
            <w:tcW w:w="681" w:type="dxa"/>
            <w:tcBorders>
              <w:top w:val="nil"/>
              <w:left w:val="nil"/>
              <w:bottom w:val="nil"/>
              <w:right w:val="nil"/>
            </w:tcBorders>
            <w:shd w:val="clear" w:color="auto" w:fill="auto"/>
            <w:noWrap/>
            <w:vAlign w:val="bottom"/>
            <w:hideMark/>
          </w:tcPr>
          <w:p w14:paraId="6993FE6A" w14:textId="77777777" w:rsidR="001513C2" w:rsidRPr="00A4261C" w:rsidRDefault="001513C2" w:rsidP="001513C2">
            <w:pPr>
              <w:spacing w:line="360" w:lineRule="auto"/>
              <w:jc w:val="both"/>
            </w:pPr>
          </w:p>
        </w:tc>
        <w:tc>
          <w:tcPr>
            <w:tcW w:w="1639" w:type="dxa"/>
            <w:tcBorders>
              <w:top w:val="nil"/>
              <w:left w:val="nil"/>
              <w:bottom w:val="nil"/>
              <w:right w:val="nil"/>
            </w:tcBorders>
            <w:shd w:val="clear" w:color="auto" w:fill="auto"/>
            <w:noWrap/>
            <w:vAlign w:val="bottom"/>
            <w:hideMark/>
          </w:tcPr>
          <w:p w14:paraId="6D942017" w14:textId="77777777" w:rsidR="001513C2" w:rsidRPr="00A4261C" w:rsidRDefault="001513C2" w:rsidP="001513C2">
            <w:pPr>
              <w:spacing w:line="360" w:lineRule="auto"/>
              <w:jc w:val="both"/>
            </w:pPr>
          </w:p>
        </w:tc>
        <w:tc>
          <w:tcPr>
            <w:tcW w:w="686" w:type="dxa"/>
            <w:tcBorders>
              <w:top w:val="nil"/>
              <w:left w:val="nil"/>
              <w:bottom w:val="nil"/>
              <w:right w:val="nil"/>
            </w:tcBorders>
            <w:shd w:val="clear" w:color="auto" w:fill="auto"/>
            <w:noWrap/>
            <w:vAlign w:val="bottom"/>
            <w:hideMark/>
          </w:tcPr>
          <w:p w14:paraId="66A00EA9" w14:textId="77777777" w:rsidR="001513C2" w:rsidRPr="00A4261C" w:rsidRDefault="001513C2" w:rsidP="001513C2">
            <w:pPr>
              <w:spacing w:line="360" w:lineRule="auto"/>
              <w:jc w:val="both"/>
            </w:pPr>
          </w:p>
        </w:tc>
      </w:tr>
      <w:tr w:rsidR="00BF11B2" w:rsidRPr="00A4261C" w14:paraId="28DB466F" w14:textId="77777777" w:rsidTr="00165C37">
        <w:trPr>
          <w:gridAfter w:val="1"/>
          <w:wAfter w:w="316" w:type="dxa"/>
          <w:trHeight w:val="269"/>
        </w:trPr>
        <w:tc>
          <w:tcPr>
            <w:tcW w:w="1037" w:type="dxa"/>
            <w:tcBorders>
              <w:top w:val="nil"/>
              <w:left w:val="nil"/>
              <w:bottom w:val="nil"/>
              <w:right w:val="nil"/>
            </w:tcBorders>
            <w:shd w:val="clear" w:color="auto" w:fill="auto"/>
            <w:noWrap/>
            <w:vAlign w:val="bottom"/>
            <w:hideMark/>
          </w:tcPr>
          <w:p w14:paraId="549D0FB5" w14:textId="77777777" w:rsidR="001513C2" w:rsidRPr="00A4261C" w:rsidRDefault="001513C2" w:rsidP="001513C2">
            <w:pPr>
              <w:spacing w:line="360" w:lineRule="auto"/>
              <w:jc w:val="both"/>
            </w:pPr>
          </w:p>
        </w:tc>
        <w:tc>
          <w:tcPr>
            <w:tcW w:w="3832" w:type="dxa"/>
            <w:tcBorders>
              <w:top w:val="nil"/>
              <w:left w:val="nil"/>
              <w:bottom w:val="nil"/>
              <w:right w:val="nil"/>
            </w:tcBorders>
            <w:shd w:val="clear" w:color="auto" w:fill="auto"/>
            <w:noWrap/>
            <w:vAlign w:val="bottom"/>
            <w:hideMark/>
          </w:tcPr>
          <w:p w14:paraId="28706FBE" w14:textId="77777777" w:rsidR="001513C2" w:rsidRPr="00A4261C" w:rsidRDefault="001513C2" w:rsidP="001513C2">
            <w:pPr>
              <w:spacing w:line="360" w:lineRule="auto"/>
              <w:jc w:val="both"/>
            </w:pPr>
            <w:r w:rsidRPr="00A4261C">
              <w:t>Intercept</w:t>
            </w:r>
          </w:p>
        </w:tc>
        <w:tc>
          <w:tcPr>
            <w:tcW w:w="1671" w:type="dxa"/>
            <w:tcBorders>
              <w:top w:val="nil"/>
              <w:left w:val="nil"/>
              <w:bottom w:val="nil"/>
              <w:right w:val="nil"/>
            </w:tcBorders>
            <w:shd w:val="clear" w:color="auto" w:fill="auto"/>
            <w:noWrap/>
            <w:vAlign w:val="bottom"/>
            <w:hideMark/>
          </w:tcPr>
          <w:p w14:paraId="7C7B8F75" w14:textId="696676CA" w:rsidR="001513C2" w:rsidRPr="00A4261C" w:rsidRDefault="0015052E" w:rsidP="001513C2">
            <w:pPr>
              <w:spacing w:line="360" w:lineRule="auto"/>
              <w:jc w:val="both"/>
            </w:pPr>
            <w:r>
              <w:t>3</w:t>
            </w:r>
            <w:r w:rsidR="001513C2" w:rsidRPr="00A4261C">
              <w:t>.</w:t>
            </w:r>
            <w:r>
              <w:t>19(.15</w:t>
            </w:r>
            <w:r w:rsidR="001513C2" w:rsidRPr="00A4261C">
              <w:t>)</w:t>
            </w:r>
          </w:p>
        </w:tc>
        <w:tc>
          <w:tcPr>
            <w:tcW w:w="1017" w:type="dxa"/>
            <w:tcBorders>
              <w:top w:val="nil"/>
              <w:left w:val="nil"/>
              <w:bottom w:val="nil"/>
              <w:right w:val="nil"/>
            </w:tcBorders>
            <w:shd w:val="clear" w:color="auto" w:fill="auto"/>
            <w:noWrap/>
            <w:vAlign w:val="bottom"/>
            <w:hideMark/>
          </w:tcPr>
          <w:p w14:paraId="2B3B67A1" w14:textId="77777777" w:rsidR="001513C2" w:rsidRPr="00A4261C" w:rsidRDefault="001513C2" w:rsidP="001513C2">
            <w:pPr>
              <w:spacing w:line="360" w:lineRule="auto"/>
              <w:jc w:val="both"/>
            </w:pPr>
          </w:p>
        </w:tc>
        <w:tc>
          <w:tcPr>
            <w:tcW w:w="1272" w:type="dxa"/>
            <w:tcBorders>
              <w:top w:val="nil"/>
              <w:left w:val="nil"/>
              <w:bottom w:val="nil"/>
              <w:right w:val="nil"/>
            </w:tcBorders>
            <w:shd w:val="clear" w:color="auto" w:fill="auto"/>
            <w:noWrap/>
            <w:vAlign w:val="bottom"/>
            <w:hideMark/>
          </w:tcPr>
          <w:p w14:paraId="2103432A" w14:textId="011175BC" w:rsidR="001513C2" w:rsidRPr="00A4261C" w:rsidRDefault="0015052E" w:rsidP="001513C2">
            <w:pPr>
              <w:spacing w:line="360" w:lineRule="auto"/>
              <w:jc w:val="both"/>
            </w:pPr>
            <w:r>
              <w:t>21.20</w:t>
            </w:r>
            <w:r w:rsidR="001513C2" w:rsidRPr="00A4261C">
              <w:t>***</w:t>
            </w:r>
          </w:p>
        </w:tc>
        <w:tc>
          <w:tcPr>
            <w:tcW w:w="681" w:type="dxa"/>
            <w:tcBorders>
              <w:top w:val="nil"/>
              <w:left w:val="nil"/>
              <w:bottom w:val="nil"/>
              <w:right w:val="nil"/>
            </w:tcBorders>
            <w:shd w:val="clear" w:color="auto" w:fill="auto"/>
            <w:noWrap/>
            <w:vAlign w:val="bottom"/>
            <w:hideMark/>
          </w:tcPr>
          <w:p w14:paraId="1534542A" w14:textId="77777777" w:rsidR="001513C2" w:rsidRPr="00A4261C" w:rsidRDefault="001513C2" w:rsidP="001513C2">
            <w:pPr>
              <w:spacing w:line="360" w:lineRule="auto"/>
              <w:jc w:val="both"/>
            </w:pPr>
          </w:p>
        </w:tc>
        <w:tc>
          <w:tcPr>
            <w:tcW w:w="681" w:type="dxa"/>
            <w:tcBorders>
              <w:top w:val="nil"/>
              <w:left w:val="nil"/>
              <w:bottom w:val="nil"/>
              <w:right w:val="nil"/>
            </w:tcBorders>
            <w:shd w:val="clear" w:color="auto" w:fill="auto"/>
            <w:noWrap/>
            <w:vAlign w:val="bottom"/>
            <w:hideMark/>
          </w:tcPr>
          <w:p w14:paraId="138D81B0" w14:textId="77777777" w:rsidR="001513C2" w:rsidRPr="00A4261C" w:rsidRDefault="001513C2" w:rsidP="001513C2">
            <w:pPr>
              <w:spacing w:line="360" w:lineRule="auto"/>
              <w:jc w:val="both"/>
            </w:pPr>
          </w:p>
        </w:tc>
        <w:tc>
          <w:tcPr>
            <w:tcW w:w="1639" w:type="dxa"/>
            <w:tcBorders>
              <w:top w:val="nil"/>
              <w:left w:val="nil"/>
              <w:bottom w:val="nil"/>
              <w:right w:val="nil"/>
            </w:tcBorders>
            <w:shd w:val="clear" w:color="auto" w:fill="auto"/>
            <w:noWrap/>
            <w:vAlign w:val="bottom"/>
            <w:hideMark/>
          </w:tcPr>
          <w:p w14:paraId="36B4F9C8" w14:textId="77777777" w:rsidR="001513C2" w:rsidRPr="00A4261C" w:rsidRDefault="001513C2" w:rsidP="001513C2">
            <w:pPr>
              <w:spacing w:line="360" w:lineRule="auto"/>
              <w:jc w:val="both"/>
            </w:pPr>
          </w:p>
        </w:tc>
        <w:tc>
          <w:tcPr>
            <w:tcW w:w="686" w:type="dxa"/>
            <w:tcBorders>
              <w:top w:val="nil"/>
              <w:left w:val="nil"/>
              <w:bottom w:val="nil"/>
              <w:right w:val="nil"/>
            </w:tcBorders>
            <w:shd w:val="clear" w:color="auto" w:fill="auto"/>
            <w:noWrap/>
            <w:vAlign w:val="bottom"/>
            <w:hideMark/>
          </w:tcPr>
          <w:p w14:paraId="57DF3403" w14:textId="77777777" w:rsidR="001513C2" w:rsidRPr="00A4261C" w:rsidRDefault="001513C2" w:rsidP="001513C2">
            <w:pPr>
              <w:spacing w:line="360" w:lineRule="auto"/>
              <w:jc w:val="both"/>
            </w:pPr>
          </w:p>
        </w:tc>
      </w:tr>
      <w:tr w:rsidR="00BF11B2" w:rsidRPr="00A4261C" w14:paraId="14EEE306" w14:textId="77777777" w:rsidTr="00165C37">
        <w:trPr>
          <w:gridAfter w:val="1"/>
          <w:wAfter w:w="316" w:type="dxa"/>
          <w:trHeight w:val="269"/>
        </w:trPr>
        <w:tc>
          <w:tcPr>
            <w:tcW w:w="1037" w:type="dxa"/>
            <w:tcBorders>
              <w:top w:val="nil"/>
              <w:left w:val="nil"/>
              <w:bottom w:val="nil"/>
              <w:right w:val="nil"/>
            </w:tcBorders>
            <w:shd w:val="clear" w:color="auto" w:fill="auto"/>
            <w:noWrap/>
            <w:vAlign w:val="bottom"/>
            <w:hideMark/>
          </w:tcPr>
          <w:p w14:paraId="7F29E703" w14:textId="77777777" w:rsidR="001513C2" w:rsidRPr="00A4261C" w:rsidRDefault="001513C2" w:rsidP="001513C2">
            <w:pPr>
              <w:spacing w:line="360" w:lineRule="auto"/>
              <w:jc w:val="both"/>
            </w:pPr>
            <w:r w:rsidRPr="00A4261C">
              <w:t>Block 2</w:t>
            </w:r>
          </w:p>
        </w:tc>
        <w:tc>
          <w:tcPr>
            <w:tcW w:w="3832" w:type="dxa"/>
            <w:tcBorders>
              <w:top w:val="nil"/>
              <w:left w:val="nil"/>
              <w:bottom w:val="nil"/>
              <w:right w:val="nil"/>
            </w:tcBorders>
            <w:shd w:val="clear" w:color="auto" w:fill="auto"/>
            <w:noWrap/>
            <w:vAlign w:val="bottom"/>
            <w:hideMark/>
          </w:tcPr>
          <w:p w14:paraId="0590645D" w14:textId="77777777" w:rsidR="001513C2" w:rsidRPr="00A4261C" w:rsidRDefault="001513C2" w:rsidP="001513C2">
            <w:pPr>
              <w:spacing w:line="360" w:lineRule="auto"/>
              <w:jc w:val="both"/>
            </w:pPr>
            <w:r w:rsidRPr="00A4261C">
              <w:t>Covariates + Predictors</w:t>
            </w:r>
          </w:p>
        </w:tc>
        <w:tc>
          <w:tcPr>
            <w:tcW w:w="1671" w:type="dxa"/>
            <w:tcBorders>
              <w:top w:val="nil"/>
              <w:left w:val="nil"/>
              <w:bottom w:val="nil"/>
              <w:right w:val="nil"/>
            </w:tcBorders>
            <w:shd w:val="clear" w:color="auto" w:fill="auto"/>
            <w:noWrap/>
            <w:vAlign w:val="bottom"/>
            <w:hideMark/>
          </w:tcPr>
          <w:p w14:paraId="0F670A72" w14:textId="77777777" w:rsidR="001513C2" w:rsidRPr="00A4261C" w:rsidRDefault="001513C2" w:rsidP="001513C2">
            <w:pPr>
              <w:spacing w:line="360" w:lineRule="auto"/>
              <w:jc w:val="both"/>
            </w:pPr>
          </w:p>
        </w:tc>
        <w:tc>
          <w:tcPr>
            <w:tcW w:w="1017" w:type="dxa"/>
            <w:tcBorders>
              <w:top w:val="nil"/>
              <w:left w:val="nil"/>
              <w:bottom w:val="nil"/>
              <w:right w:val="nil"/>
            </w:tcBorders>
            <w:shd w:val="clear" w:color="auto" w:fill="auto"/>
            <w:noWrap/>
            <w:vAlign w:val="bottom"/>
            <w:hideMark/>
          </w:tcPr>
          <w:p w14:paraId="7F0875E7" w14:textId="77777777" w:rsidR="001513C2" w:rsidRPr="00A4261C" w:rsidRDefault="001513C2" w:rsidP="001513C2">
            <w:pPr>
              <w:spacing w:line="360" w:lineRule="auto"/>
              <w:jc w:val="both"/>
            </w:pPr>
          </w:p>
        </w:tc>
        <w:tc>
          <w:tcPr>
            <w:tcW w:w="1272" w:type="dxa"/>
            <w:tcBorders>
              <w:top w:val="nil"/>
              <w:left w:val="nil"/>
              <w:bottom w:val="nil"/>
              <w:right w:val="nil"/>
            </w:tcBorders>
            <w:shd w:val="clear" w:color="auto" w:fill="auto"/>
            <w:noWrap/>
            <w:vAlign w:val="bottom"/>
            <w:hideMark/>
          </w:tcPr>
          <w:p w14:paraId="02A00B7E" w14:textId="77777777" w:rsidR="001513C2" w:rsidRPr="00A4261C" w:rsidRDefault="001513C2" w:rsidP="001513C2">
            <w:pPr>
              <w:spacing w:line="360" w:lineRule="auto"/>
              <w:jc w:val="both"/>
            </w:pPr>
          </w:p>
        </w:tc>
        <w:tc>
          <w:tcPr>
            <w:tcW w:w="681" w:type="dxa"/>
            <w:tcBorders>
              <w:top w:val="nil"/>
              <w:left w:val="nil"/>
              <w:bottom w:val="nil"/>
              <w:right w:val="nil"/>
            </w:tcBorders>
            <w:shd w:val="clear" w:color="auto" w:fill="auto"/>
            <w:noWrap/>
            <w:vAlign w:val="bottom"/>
            <w:hideMark/>
          </w:tcPr>
          <w:p w14:paraId="50E59BE4" w14:textId="77777777" w:rsidR="001513C2" w:rsidRPr="00A4261C" w:rsidRDefault="001513C2" w:rsidP="001513C2">
            <w:pPr>
              <w:spacing w:line="360" w:lineRule="auto"/>
              <w:jc w:val="both"/>
            </w:pPr>
            <w:r w:rsidRPr="00A4261C">
              <w:t>0.66</w:t>
            </w:r>
          </w:p>
        </w:tc>
        <w:tc>
          <w:tcPr>
            <w:tcW w:w="681" w:type="dxa"/>
            <w:tcBorders>
              <w:top w:val="nil"/>
              <w:left w:val="nil"/>
              <w:bottom w:val="nil"/>
              <w:right w:val="nil"/>
            </w:tcBorders>
            <w:shd w:val="clear" w:color="auto" w:fill="auto"/>
            <w:noWrap/>
            <w:vAlign w:val="bottom"/>
            <w:hideMark/>
          </w:tcPr>
          <w:p w14:paraId="139A5FBC" w14:textId="77777777" w:rsidR="001513C2" w:rsidRPr="00A4261C" w:rsidRDefault="001513C2" w:rsidP="001513C2">
            <w:pPr>
              <w:spacing w:line="360" w:lineRule="auto"/>
              <w:jc w:val="both"/>
            </w:pPr>
            <w:r w:rsidRPr="00A4261C">
              <w:t>0.44</w:t>
            </w:r>
          </w:p>
        </w:tc>
        <w:tc>
          <w:tcPr>
            <w:tcW w:w="1639" w:type="dxa"/>
            <w:tcBorders>
              <w:top w:val="nil"/>
              <w:left w:val="nil"/>
              <w:bottom w:val="nil"/>
              <w:right w:val="nil"/>
            </w:tcBorders>
            <w:shd w:val="clear" w:color="auto" w:fill="auto"/>
            <w:noWrap/>
            <w:vAlign w:val="bottom"/>
            <w:hideMark/>
          </w:tcPr>
          <w:p w14:paraId="24577AFA" w14:textId="77777777" w:rsidR="001513C2" w:rsidRPr="00A4261C" w:rsidRDefault="001513C2" w:rsidP="001513C2">
            <w:pPr>
              <w:spacing w:line="360" w:lineRule="auto"/>
              <w:jc w:val="both"/>
            </w:pPr>
            <w:r w:rsidRPr="00A4261C">
              <w:t>0.44</w:t>
            </w:r>
          </w:p>
        </w:tc>
        <w:tc>
          <w:tcPr>
            <w:tcW w:w="686" w:type="dxa"/>
            <w:tcBorders>
              <w:top w:val="nil"/>
              <w:left w:val="nil"/>
              <w:bottom w:val="nil"/>
              <w:right w:val="nil"/>
            </w:tcBorders>
            <w:shd w:val="clear" w:color="auto" w:fill="auto"/>
            <w:noWrap/>
            <w:vAlign w:val="bottom"/>
            <w:hideMark/>
          </w:tcPr>
          <w:p w14:paraId="4B158DD4" w14:textId="77777777" w:rsidR="001513C2" w:rsidRPr="00A4261C" w:rsidRDefault="001513C2" w:rsidP="001513C2">
            <w:pPr>
              <w:spacing w:line="360" w:lineRule="auto"/>
              <w:jc w:val="both"/>
            </w:pPr>
            <w:r w:rsidRPr="00A4261C">
              <w:t>0.42</w:t>
            </w:r>
          </w:p>
        </w:tc>
      </w:tr>
      <w:tr w:rsidR="00BF11B2" w:rsidRPr="00A4261C" w14:paraId="31698294" w14:textId="77777777" w:rsidTr="00165C37">
        <w:trPr>
          <w:gridAfter w:val="1"/>
          <w:wAfter w:w="316" w:type="dxa"/>
          <w:trHeight w:val="269"/>
        </w:trPr>
        <w:tc>
          <w:tcPr>
            <w:tcW w:w="1037" w:type="dxa"/>
            <w:tcBorders>
              <w:top w:val="nil"/>
              <w:left w:val="nil"/>
              <w:bottom w:val="nil"/>
              <w:right w:val="nil"/>
            </w:tcBorders>
            <w:shd w:val="clear" w:color="auto" w:fill="auto"/>
            <w:noWrap/>
            <w:vAlign w:val="bottom"/>
            <w:hideMark/>
          </w:tcPr>
          <w:p w14:paraId="2B880AF6" w14:textId="77777777" w:rsidR="001513C2" w:rsidRPr="00A4261C" w:rsidRDefault="001513C2" w:rsidP="001513C2">
            <w:pPr>
              <w:spacing w:line="360" w:lineRule="auto"/>
              <w:jc w:val="both"/>
            </w:pPr>
          </w:p>
        </w:tc>
        <w:tc>
          <w:tcPr>
            <w:tcW w:w="3832" w:type="dxa"/>
            <w:tcBorders>
              <w:top w:val="nil"/>
              <w:left w:val="nil"/>
              <w:bottom w:val="nil"/>
              <w:right w:val="nil"/>
            </w:tcBorders>
            <w:shd w:val="clear" w:color="auto" w:fill="auto"/>
            <w:noWrap/>
            <w:vAlign w:val="bottom"/>
            <w:hideMark/>
          </w:tcPr>
          <w:p w14:paraId="1D195889" w14:textId="77777777" w:rsidR="001513C2" w:rsidRPr="00A4261C" w:rsidRDefault="001513C2" w:rsidP="001513C2">
            <w:pPr>
              <w:spacing w:line="360" w:lineRule="auto"/>
              <w:jc w:val="both"/>
            </w:pPr>
            <w:r w:rsidRPr="00A4261C">
              <w:t>Gender</w:t>
            </w:r>
          </w:p>
        </w:tc>
        <w:tc>
          <w:tcPr>
            <w:tcW w:w="1671" w:type="dxa"/>
            <w:tcBorders>
              <w:top w:val="nil"/>
              <w:left w:val="nil"/>
              <w:bottom w:val="nil"/>
              <w:right w:val="nil"/>
            </w:tcBorders>
            <w:shd w:val="clear" w:color="auto" w:fill="auto"/>
            <w:noWrap/>
            <w:vAlign w:val="bottom"/>
            <w:hideMark/>
          </w:tcPr>
          <w:p w14:paraId="70663916" w14:textId="7371A107" w:rsidR="001513C2" w:rsidRPr="00A4261C" w:rsidRDefault="00B6726A" w:rsidP="001513C2">
            <w:pPr>
              <w:spacing w:line="360" w:lineRule="auto"/>
              <w:jc w:val="both"/>
            </w:pPr>
            <w:r>
              <w:t>-0.06</w:t>
            </w:r>
            <w:r w:rsidR="001513C2" w:rsidRPr="00A4261C">
              <w:t>(.05)</w:t>
            </w:r>
          </w:p>
        </w:tc>
        <w:tc>
          <w:tcPr>
            <w:tcW w:w="1017" w:type="dxa"/>
            <w:tcBorders>
              <w:top w:val="nil"/>
              <w:left w:val="nil"/>
              <w:bottom w:val="nil"/>
              <w:right w:val="nil"/>
            </w:tcBorders>
            <w:shd w:val="clear" w:color="auto" w:fill="auto"/>
            <w:noWrap/>
            <w:vAlign w:val="bottom"/>
            <w:hideMark/>
          </w:tcPr>
          <w:p w14:paraId="1CA8FF79" w14:textId="5F299FD6" w:rsidR="001513C2" w:rsidRPr="00A4261C" w:rsidRDefault="001513C2" w:rsidP="001513C2">
            <w:pPr>
              <w:spacing w:line="360" w:lineRule="auto"/>
              <w:jc w:val="both"/>
            </w:pPr>
            <w:r w:rsidRPr="00A4261C">
              <w:t>-</w:t>
            </w:r>
            <w:r w:rsidR="004F16B3">
              <w:t>0</w:t>
            </w:r>
            <w:r w:rsidRPr="00A4261C">
              <w:t>.04</w:t>
            </w:r>
          </w:p>
        </w:tc>
        <w:tc>
          <w:tcPr>
            <w:tcW w:w="1272" w:type="dxa"/>
            <w:tcBorders>
              <w:top w:val="nil"/>
              <w:left w:val="nil"/>
              <w:bottom w:val="nil"/>
              <w:right w:val="nil"/>
            </w:tcBorders>
            <w:shd w:val="clear" w:color="auto" w:fill="auto"/>
            <w:noWrap/>
            <w:vAlign w:val="bottom"/>
            <w:hideMark/>
          </w:tcPr>
          <w:p w14:paraId="1A5D8FD0" w14:textId="0108C3B9" w:rsidR="001513C2" w:rsidRPr="00A4261C" w:rsidRDefault="00BF11B2" w:rsidP="001513C2">
            <w:pPr>
              <w:spacing w:line="360" w:lineRule="auto"/>
              <w:jc w:val="both"/>
            </w:pPr>
            <w:r w:rsidRPr="00A4261C">
              <w:t>-1.4</w:t>
            </w:r>
            <w:r w:rsidR="00B6726A">
              <w:t>1</w:t>
            </w:r>
          </w:p>
        </w:tc>
        <w:tc>
          <w:tcPr>
            <w:tcW w:w="681" w:type="dxa"/>
            <w:tcBorders>
              <w:top w:val="nil"/>
              <w:left w:val="nil"/>
              <w:bottom w:val="nil"/>
              <w:right w:val="nil"/>
            </w:tcBorders>
            <w:shd w:val="clear" w:color="auto" w:fill="auto"/>
            <w:noWrap/>
            <w:vAlign w:val="bottom"/>
            <w:hideMark/>
          </w:tcPr>
          <w:p w14:paraId="1262E3A6" w14:textId="77777777" w:rsidR="001513C2" w:rsidRPr="00A4261C" w:rsidRDefault="001513C2" w:rsidP="001513C2">
            <w:pPr>
              <w:spacing w:line="360" w:lineRule="auto"/>
              <w:jc w:val="both"/>
            </w:pPr>
          </w:p>
        </w:tc>
        <w:tc>
          <w:tcPr>
            <w:tcW w:w="681" w:type="dxa"/>
            <w:tcBorders>
              <w:top w:val="nil"/>
              <w:left w:val="nil"/>
              <w:bottom w:val="nil"/>
              <w:right w:val="nil"/>
            </w:tcBorders>
            <w:shd w:val="clear" w:color="auto" w:fill="auto"/>
            <w:noWrap/>
            <w:vAlign w:val="bottom"/>
            <w:hideMark/>
          </w:tcPr>
          <w:p w14:paraId="76C41CE9" w14:textId="77777777" w:rsidR="001513C2" w:rsidRPr="00A4261C" w:rsidRDefault="001513C2" w:rsidP="001513C2">
            <w:pPr>
              <w:spacing w:line="360" w:lineRule="auto"/>
              <w:jc w:val="both"/>
            </w:pPr>
          </w:p>
        </w:tc>
        <w:tc>
          <w:tcPr>
            <w:tcW w:w="1639" w:type="dxa"/>
            <w:tcBorders>
              <w:top w:val="nil"/>
              <w:left w:val="nil"/>
              <w:bottom w:val="nil"/>
              <w:right w:val="nil"/>
            </w:tcBorders>
            <w:shd w:val="clear" w:color="auto" w:fill="auto"/>
            <w:noWrap/>
            <w:vAlign w:val="bottom"/>
            <w:hideMark/>
          </w:tcPr>
          <w:p w14:paraId="5C960D08" w14:textId="77777777" w:rsidR="001513C2" w:rsidRPr="00A4261C" w:rsidRDefault="001513C2" w:rsidP="001513C2">
            <w:pPr>
              <w:spacing w:line="360" w:lineRule="auto"/>
              <w:jc w:val="both"/>
            </w:pPr>
          </w:p>
        </w:tc>
        <w:tc>
          <w:tcPr>
            <w:tcW w:w="686" w:type="dxa"/>
            <w:tcBorders>
              <w:top w:val="nil"/>
              <w:left w:val="nil"/>
              <w:bottom w:val="nil"/>
              <w:right w:val="nil"/>
            </w:tcBorders>
            <w:shd w:val="clear" w:color="auto" w:fill="auto"/>
            <w:noWrap/>
            <w:vAlign w:val="bottom"/>
            <w:hideMark/>
          </w:tcPr>
          <w:p w14:paraId="037EC573" w14:textId="77777777" w:rsidR="001513C2" w:rsidRPr="00A4261C" w:rsidRDefault="001513C2" w:rsidP="001513C2">
            <w:pPr>
              <w:spacing w:line="360" w:lineRule="auto"/>
              <w:jc w:val="both"/>
            </w:pPr>
          </w:p>
        </w:tc>
      </w:tr>
      <w:tr w:rsidR="00BF11B2" w:rsidRPr="00A4261C" w14:paraId="2917370F" w14:textId="77777777" w:rsidTr="00165C37">
        <w:trPr>
          <w:gridAfter w:val="1"/>
          <w:wAfter w:w="316" w:type="dxa"/>
          <w:trHeight w:val="452"/>
        </w:trPr>
        <w:tc>
          <w:tcPr>
            <w:tcW w:w="1037" w:type="dxa"/>
            <w:tcBorders>
              <w:top w:val="nil"/>
              <w:left w:val="nil"/>
              <w:bottom w:val="nil"/>
              <w:right w:val="nil"/>
            </w:tcBorders>
            <w:shd w:val="clear" w:color="auto" w:fill="auto"/>
            <w:noWrap/>
            <w:vAlign w:val="bottom"/>
          </w:tcPr>
          <w:p w14:paraId="37C32B47" w14:textId="77777777" w:rsidR="00BF11B2" w:rsidRPr="00A4261C" w:rsidRDefault="00BF11B2" w:rsidP="001513C2">
            <w:pPr>
              <w:spacing w:line="360" w:lineRule="auto"/>
              <w:jc w:val="both"/>
            </w:pPr>
          </w:p>
        </w:tc>
        <w:tc>
          <w:tcPr>
            <w:tcW w:w="3832" w:type="dxa"/>
            <w:tcBorders>
              <w:top w:val="nil"/>
              <w:left w:val="nil"/>
              <w:bottom w:val="nil"/>
              <w:right w:val="nil"/>
            </w:tcBorders>
            <w:shd w:val="clear" w:color="auto" w:fill="auto"/>
            <w:noWrap/>
            <w:vAlign w:val="bottom"/>
          </w:tcPr>
          <w:p w14:paraId="55600F85" w14:textId="77777777" w:rsidR="00BF11B2" w:rsidRPr="00A4261C" w:rsidRDefault="00BF11B2" w:rsidP="001513C2">
            <w:pPr>
              <w:spacing w:line="360" w:lineRule="auto"/>
              <w:jc w:val="both"/>
            </w:pPr>
            <w:r w:rsidRPr="00A4261C">
              <w:t>Age</w:t>
            </w:r>
          </w:p>
        </w:tc>
        <w:tc>
          <w:tcPr>
            <w:tcW w:w="1671" w:type="dxa"/>
            <w:tcBorders>
              <w:top w:val="nil"/>
              <w:left w:val="nil"/>
              <w:bottom w:val="nil"/>
              <w:right w:val="nil"/>
            </w:tcBorders>
            <w:shd w:val="clear" w:color="auto" w:fill="auto"/>
            <w:noWrap/>
            <w:vAlign w:val="bottom"/>
          </w:tcPr>
          <w:p w14:paraId="61403B27" w14:textId="1B6EA32B" w:rsidR="00BF11B2" w:rsidRPr="00A4261C" w:rsidRDefault="00C316D4" w:rsidP="001513C2">
            <w:pPr>
              <w:spacing w:line="360" w:lineRule="auto"/>
              <w:jc w:val="both"/>
            </w:pPr>
            <w:r>
              <w:t>-0.002(.003</w:t>
            </w:r>
            <w:r w:rsidR="00BF11B2" w:rsidRPr="00A4261C">
              <w:t>)</w:t>
            </w:r>
          </w:p>
        </w:tc>
        <w:tc>
          <w:tcPr>
            <w:tcW w:w="1017" w:type="dxa"/>
            <w:tcBorders>
              <w:top w:val="nil"/>
              <w:left w:val="nil"/>
              <w:bottom w:val="nil"/>
              <w:right w:val="nil"/>
            </w:tcBorders>
            <w:shd w:val="clear" w:color="auto" w:fill="auto"/>
            <w:noWrap/>
            <w:vAlign w:val="bottom"/>
          </w:tcPr>
          <w:p w14:paraId="782A3F33" w14:textId="316139E0" w:rsidR="00BF11B2" w:rsidRPr="00A4261C" w:rsidRDefault="00B6726A" w:rsidP="001513C2">
            <w:pPr>
              <w:spacing w:line="360" w:lineRule="auto"/>
              <w:jc w:val="both"/>
            </w:pPr>
            <w:r>
              <w:t>-0.03</w:t>
            </w:r>
          </w:p>
        </w:tc>
        <w:tc>
          <w:tcPr>
            <w:tcW w:w="1272" w:type="dxa"/>
            <w:tcBorders>
              <w:top w:val="nil"/>
              <w:left w:val="nil"/>
              <w:bottom w:val="nil"/>
              <w:right w:val="nil"/>
            </w:tcBorders>
            <w:shd w:val="clear" w:color="auto" w:fill="auto"/>
            <w:noWrap/>
            <w:vAlign w:val="bottom"/>
          </w:tcPr>
          <w:p w14:paraId="07C78749" w14:textId="7F7D947D" w:rsidR="00BF11B2" w:rsidRPr="00A4261C" w:rsidRDefault="00B6726A" w:rsidP="001513C2">
            <w:pPr>
              <w:spacing w:line="360" w:lineRule="auto"/>
              <w:jc w:val="both"/>
            </w:pPr>
            <w:r>
              <w:t>-0.77</w:t>
            </w:r>
          </w:p>
        </w:tc>
        <w:tc>
          <w:tcPr>
            <w:tcW w:w="681" w:type="dxa"/>
            <w:tcBorders>
              <w:top w:val="nil"/>
              <w:left w:val="nil"/>
              <w:bottom w:val="nil"/>
              <w:right w:val="nil"/>
            </w:tcBorders>
            <w:shd w:val="clear" w:color="auto" w:fill="auto"/>
            <w:noWrap/>
            <w:vAlign w:val="bottom"/>
          </w:tcPr>
          <w:p w14:paraId="0C9DA376" w14:textId="77777777" w:rsidR="00BF11B2" w:rsidRPr="00A4261C" w:rsidRDefault="00BF11B2" w:rsidP="001513C2">
            <w:pPr>
              <w:spacing w:line="360" w:lineRule="auto"/>
              <w:jc w:val="both"/>
            </w:pPr>
          </w:p>
        </w:tc>
        <w:tc>
          <w:tcPr>
            <w:tcW w:w="681" w:type="dxa"/>
            <w:tcBorders>
              <w:top w:val="nil"/>
              <w:left w:val="nil"/>
              <w:bottom w:val="nil"/>
              <w:right w:val="nil"/>
            </w:tcBorders>
            <w:shd w:val="clear" w:color="auto" w:fill="auto"/>
            <w:noWrap/>
            <w:vAlign w:val="bottom"/>
          </w:tcPr>
          <w:p w14:paraId="1694923A" w14:textId="77777777" w:rsidR="00BF11B2" w:rsidRPr="00A4261C" w:rsidRDefault="00BF11B2" w:rsidP="001513C2">
            <w:pPr>
              <w:spacing w:line="360" w:lineRule="auto"/>
              <w:jc w:val="both"/>
            </w:pPr>
          </w:p>
        </w:tc>
        <w:tc>
          <w:tcPr>
            <w:tcW w:w="1639" w:type="dxa"/>
            <w:tcBorders>
              <w:top w:val="nil"/>
              <w:left w:val="nil"/>
              <w:bottom w:val="nil"/>
              <w:right w:val="nil"/>
            </w:tcBorders>
            <w:shd w:val="clear" w:color="auto" w:fill="auto"/>
            <w:noWrap/>
            <w:vAlign w:val="bottom"/>
          </w:tcPr>
          <w:p w14:paraId="5CBA82ED" w14:textId="77777777" w:rsidR="00BF11B2" w:rsidRPr="00A4261C" w:rsidRDefault="00BF11B2" w:rsidP="001513C2">
            <w:pPr>
              <w:spacing w:line="360" w:lineRule="auto"/>
              <w:jc w:val="both"/>
            </w:pPr>
          </w:p>
        </w:tc>
        <w:tc>
          <w:tcPr>
            <w:tcW w:w="686" w:type="dxa"/>
            <w:tcBorders>
              <w:top w:val="nil"/>
              <w:left w:val="nil"/>
              <w:bottom w:val="nil"/>
              <w:right w:val="nil"/>
            </w:tcBorders>
            <w:shd w:val="clear" w:color="auto" w:fill="auto"/>
            <w:noWrap/>
            <w:vAlign w:val="bottom"/>
          </w:tcPr>
          <w:p w14:paraId="7A3D9F5A" w14:textId="77777777" w:rsidR="00BF11B2" w:rsidRPr="00A4261C" w:rsidRDefault="00BF11B2" w:rsidP="001513C2">
            <w:pPr>
              <w:spacing w:line="360" w:lineRule="auto"/>
              <w:jc w:val="both"/>
            </w:pPr>
          </w:p>
        </w:tc>
      </w:tr>
      <w:tr w:rsidR="00BF11B2" w:rsidRPr="00A4261C" w14:paraId="3F81BF92" w14:textId="77777777" w:rsidTr="00165C37">
        <w:trPr>
          <w:gridAfter w:val="1"/>
          <w:wAfter w:w="316" w:type="dxa"/>
          <w:trHeight w:val="269"/>
        </w:trPr>
        <w:tc>
          <w:tcPr>
            <w:tcW w:w="1037" w:type="dxa"/>
            <w:tcBorders>
              <w:top w:val="nil"/>
              <w:left w:val="nil"/>
              <w:bottom w:val="nil"/>
              <w:right w:val="nil"/>
            </w:tcBorders>
            <w:shd w:val="clear" w:color="auto" w:fill="auto"/>
            <w:noWrap/>
            <w:vAlign w:val="bottom"/>
            <w:hideMark/>
          </w:tcPr>
          <w:p w14:paraId="7AA7FB8F" w14:textId="77777777" w:rsidR="001513C2" w:rsidRPr="00A4261C" w:rsidRDefault="001513C2" w:rsidP="001513C2">
            <w:pPr>
              <w:spacing w:line="360" w:lineRule="auto"/>
              <w:jc w:val="both"/>
            </w:pPr>
          </w:p>
        </w:tc>
        <w:tc>
          <w:tcPr>
            <w:tcW w:w="3832" w:type="dxa"/>
            <w:tcBorders>
              <w:top w:val="nil"/>
              <w:left w:val="nil"/>
              <w:bottom w:val="nil"/>
              <w:right w:val="nil"/>
            </w:tcBorders>
            <w:shd w:val="clear" w:color="auto" w:fill="auto"/>
            <w:noWrap/>
            <w:vAlign w:val="bottom"/>
            <w:hideMark/>
          </w:tcPr>
          <w:p w14:paraId="196A973C" w14:textId="77777777" w:rsidR="001513C2" w:rsidRPr="00A4261C" w:rsidRDefault="001513C2" w:rsidP="001513C2">
            <w:pPr>
              <w:spacing w:line="360" w:lineRule="auto"/>
              <w:jc w:val="both"/>
            </w:pPr>
            <w:r w:rsidRPr="00A4261C">
              <w:t>Years of Service</w:t>
            </w:r>
          </w:p>
        </w:tc>
        <w:tc>
          <w:tcPr>
            <w:tcW w:w="1671" w:type="dxa"/>
            <w:tcBorders>
              <w:top w:val="nil"/>
              <w:left w:val="nil"/>
              <w:bottom w:val="nil"/>
              <w:right w:val="nil"/>
            </w:tcBorders>
            <w:shd w:val="clear" w:color="auto" w:fill="auto"/>
            <w:noWrap/>
            <w:vAlign w:val="bottom"/>
            <w:hideMark/>
          </w:tcPr>
          <w:p w14:paraId="29389D0F" w14:textId="43547DE5" w:rsidR="001513C2" w:rsidRPr="00A4261C" w:rsidRDefault="00BF11B2" w:rsidP="001513C2">
            <w:pPr>
              <w:spacing w:line="360" w:lineRule="auto"/>
              <w:jc w:val="both"/>
            </w:pPr>
            <w:r w:rsidRPr="00A4261C">
              <w:t>0.005</w:t>
            </w:r>
            <w:r w:rsidR="001513C2" w:rsidRPr="00A4261C">
              <w:t>(</w:t>
            </w:r>
            <w:r w:rsidRPr="00A4261C">
              <w:t>.004</w:t>
            </w:r>
            <w:r w:rsidR="001513C2" w:rsidRPr="00A4261C">
              <w:t>)</w:t>
            </w:r>
          </w:p>
        </w:tc>
        <w:tc>
          <w:tcPr>
            <w:tcW w:w="1017" w:type="dxa"/>
            <w:tcBorders>
              <w:top w:val="nil"/>
              <w:left w:val="nil"/>
              <w:bottom w:val="nil"/>
              <w:right w:val="nil"/>
            </w:tcBorders>
            <w:shd w:val="clear" w:color="auto" w:fill="auto"/>
            <w:noWrap/>
            <w:vAlign w:val="bottom"/>
            <w:hideMark/>
          </w:tcPr>
          <w:p w14:paraId="7BEE0E21" w14:textId="64892D3C" w:rsidR="001513C2" w:rsidRPr="00A4261C" w:rsidRDefault="001513C2" w:rsidP="001513C2">
            <w:pPr>
              <w:spacing w:line="360" w:lineRule="auto"/>
              <w:jc w:val="both"/>
            </w:pPr>
            <w:r w:rsidRPr="00A4261C">
              <w:t>0.0</w:t>
            </w:r>
            <w:r w:rsidR="00B6726A">
              <w:t>5</w:t>
            </w:r>
          </w:p>
        </w:tc>
        <w:tc>
          <w:tcPr>
            <w:tcW w:w="1272" w:type="dxa"/>
            <w:tcBorders>
              <w:top w:val="nil"/>
              <w:left w:val="nil"/>
              <w:bottom w:val="nil"/>
              <w:right w:val="nil"/>
            </w:tcBorders>
            <w:shd w:val="clear" w:color="auto" w:fill="auto"/>
            <w:noWrap/>
            <w:vAlign w:val="bottom"/>
            <w:hideMark/>
          </w:tcPr>
          <w:p w14:paraId="76A10557" w14:textId="5280DCFF" w:rsidR="001513C2" w:rsidRPr="00A4261C" w:rsidRDefault="00BF11B2" w:rsidP="001513C2">
            <w:pPr>
              <w:spacing w:line="360" w:lineRule="auto"/>
              <w:jc w:val="both"/>
            </w:pPr>
            <w:r w:rsidRPr="00A4261C">
              <w:t>1.</w:t>
            </w:r>
            <w:r w:rsidR="00B6726A">
              <w:t>41</w:t>
            </w:r>
          </w:p>
        </w:tc>
        <w:tc>
          <w:tcPr>
            <w:tcW w:w="681" w:type="dxa"/>
            <w:tcBorders>
              <w:top w:val="nil"/>
              <w:left w:val="nil"/>
              <w:bottom w:val="nil"/>
              <w:right w:val="nil"/>
            </w:tcBorders>
            <w:shd w:val="clear" w:color="auto" w:fill="auto"/>
            <w:noWrap/>
            <w:vAlign w:val="bottom"/>
            <w:hideMark/>
          </w:tcPr>
          <w:p w14:paraId="1A56D677" w14:textId="77777777" w:rsidR="001513C2" w:rsidRPr="00A4261C" w:rsidRDefault="001513C2" w:rsidP="001513C2">
            <w:pPr>
              <w:spacing w:line="360" w:lineRule="auto"/>
              <w:jc w:val="both"/>
            </w:pPr>
          </w:p>
        </w:tc>
        <w:tc>
          <w:tcPr>
            <w:tcW w:w="681" w:type="dxa"/>
            <w:tcBorders>
              <w:top w:val="nil"/>
              <w:left w:val="nil"/>
              <w:bottom w:val="nil"/>
              <w:right w:val="nil"/>
            </w:tcBorders>
            <w:shd w:val="clear" w:color="auto" w:fill="auto"/>
            <w:noWrap/>
            <w:vAlign w:val="bottom"/>
            <w:hideMark/>
          </w:tcPr>
          <w:p w14:paraId="106E5073" w14:textId="77777777" w:rsidR="001513C2" w:rsidRPr="00A4261C" w:rsidRDefault="001513C2" w:rsidP="001513C2">
            <w:pPr>
              <w:spacing w:line="360" w:lineRule="auto"/>
              <w:jc w:val="both"/>
            </w:pPr>
          </w:p>
        </w:tc>
        <w:tc>
          <w:tcPr>
            <w:tcW w:w="1639" w:type="dxa"/>
            <w:tcBorders>
              <w:top w:val="nil"/>
              <w:left w:val="nil"/>
              <w:bottom w:val="nil"/>
              <w:right w:val="nil"/>
            </w:tcBorders>
            <w:shd w:val="clear" w:color="auto" w:fill="auto"/>
            <w:noWrap/>
            <w:vAlign w:val="bottom"/>
            <w:hideMark/>
          </w:tcPr>
          <w:p w14:paraId="73110E9C" w14:textId="77777777" w:rsidR="001513C2" w:rsidRPr="00A4261C" w:rsidRDefault="001513C2" w:rsidP="001513C2">
            <w:pPr>
              <w:spacing w:line="360" w:lineRule="auto"/>
              <w:jc w:val="both"/>
            </w:pPr>
          </w:p>
        </w:tc>
        <w:tc>
          <w:tcPr>
            <w:tcW w:w="686" w:type="dxa"/>
            <w:tcBorders>
              <w:top w:val="nil"/>
              <w:left w:val="nil"/>
              <w:bottom w:val="nil"/>
              <w:right w:val="nil"/>
            </w:tcBorders>
            <w:shd w:val="clear" w:color="auto" w:fill="auto"/>
            <w:noWrap/>
            <w:vAlign w:val="bottom"/>
            <w:hideMark/>
          </w:tcPr>
          <w:p w14:paraId="706A77C5" w14:textId="77777777" w:rsidR="001513C2" w:rsidRPr="00A4261C" w:rsidRDefault="001513C2" w:rsidP="001513C2">
            <w:pPr>
              <w:spacing w:line="360" w:lineRule="auto"/>
              <w:jc w:val="both"/>
            </w:pPr>
          </w:p>
        </w:tc>
      </w:tr>
      <w:tr w:rsidR="00BF11B2" w:rsidRPr="00A4261C" w14:paraId="2193F0DD" w14:textId="77777777" w:rsidTr="00165C37">
        <w:trPr>
          <w:gridAfter w:val="1"/>
          <w:wAfter w:w="316" w:type="dxa"/>
          <w:trHeight w:val="269"/>
        </w:trPr>
        <w:tc>
          <w:tcPr>
            <w:tcW w:w="1037" w:type="dxa"/>
            <w:tcBorders>
              <w:top w:val="nil"/>
              <w:left w:val="nil"/>
              <w:bottom w:val="nil"/>
              <w:right w:val="nil"/>
            </w:tcBorders>
            <w:shd w:val="clear" w:color="auto" w:fill="auto"/>
            <w:noWrap/>
            <w:vAlign w:val="bottom"/>
            <w:hideMark/>
          </w:tcPr>
          <w:p w14:paraId="6F9F1961" w14:textId="77777777" w:rsidR="001513C2" w:rsidRPr="00A4261C" w:rsidRDefault="001513C2" w:rsidP="001513C2">
            <w:pPr>
              <w:spacing w:line="360" w:lineRule="auto"/>
              <w:jc w:val="both"/>
            </w:pPr>
          </w:p>
        </w:tc>
        <w:tc>
          <w:tcPr>
            <w:tcW w:w="3832" w:type="dxa"/>
            <w:tcBorders>
              <w:top w:val="nil"/>
              <w:left w:val="nil"/>
              <w:bottom w:val="nil"/>
              <w:right w:val="nil"/>
            </w:tcBorders>
            <w:shd w:val="clear" w:color="auto" w:fill="auto"/>
            <w:noWrap/>
            <w:vAlign w:val="bottom"/>
            <w:hideMark/>
          </w:tcPr>
          <w:p w14:paraId="459D9A2B" w14:textId="77777777" w:rsidR="001513C2" w:rsidRPr="00A4261C" w:rsidRDefault="001513C2" w:rsidP="001513C2">
            <w:pPr>
              <w:spacing w:line="360" w:lineRule="auto"/>
              <w:jc w:val="both"/>
            </w:pPr>
            <w:r w:rsidRPr="00A4261C">
              <w:t>Past Experience (SOIT/non-SOIT)</w:t>
            </w:r>
          </w:p>
        </w:tc>
        <w:tc>
          <w:tcPr>
            <w:tcW w:w="1671" w:type="dxa"/>
            <w:tcBorders>
              <w:top w:val="nil"/>
              <w:left w:val="nil"/>
              <w:bottom w:val="nil"/>
              <w:right w:val="nil"/>
            </w:tcBorders>
            <w:shd w:val="clear" w:color="auto" w:fill="auto"/>
            <w:noWrap/>
            <w:vAlign w:val="bottom"/>
            <w:hideMark/>
          </w:tcPr>
          <w:p w14:paraId="4A304E3E" w14:textId="77777777" w:rsidR="001513C2" w:rsidRPr="00A4261C" w:rsidRDefault="001513C2" w:rsidP="001513C2">
            <w:pPr>
              <w:spacing w:line="360" w:lineRule="auto"/>
              <w:jc w:val="both"/>
            </w:pPr>
            <w:r w:rsidRPr="00A4261C">
              <w:t>0.14(.06)</w:t>
            </w:r>
          </w:p>
        </w:tc>
        <w:tc>
          <w:tcPr>
            <w:tcW w:w="1017" w:type="dxa"/>
            <w:tcBorders>
              <w:top w:val="nil"/>
              <w:left w:val="nil"/>
              <w:bottom w:val="nil"/>
              <w:right w:val="nil"/>
            </w:tcBorders>
            <w:shd w:val="clear" w:color="auto" w:fill="auto"/>
            <w:noWrap/>
            <w:vAlign w:val="bottom"/>
            <w:hideMark/>
          </w:tcPr>
          <w:p w14:paraId="3A368C92" w14:textId="77777777" w:rsidR="001513C2" w:rsidRPr="00A4261C" w:rsidRDefault="001513C2" w:rsidP="001513C2">
            <w:pPr>
              <w:spacing w:line="360" w:lineRule="auto"/>
              <w:jc w:val="both"/>
            </w:pPr>
            <w:r w:rsidRPr="00A4261C">
              <w:t>0.06</w:t>
            </w:r>
          </w:p>
        </w:tc>
        <w:tc>
          <w:tcPr>
            <w:tcW w:w="1272" w:type="dxa"/>
            <w:tcBorders>
              <w:top w:val="nil"/>
              <w:left w:val="nil"/>
              <w:bottom w:val="nil"/>
              <w:right w:val="nil"/>
            </w:tcBorders>
            <w:shd w:val="clear" w:color="auto" w:fill="auto"/>
            <w:noWrap/>
            <w:vAlign w:val="bottom"/>
            <w:hideMark/>
          </w:tcPr>
          <w:p w14:paraId="59BB9408" w14:textId="09CF743C" w:rsidR="001513C2" w:rsidRPr="00A4261C" w:rsidRDefault="00B6726A" w:rsidP="001513C2">
            <w:pPr>
              <w:spacing w:line="360" w:lineRule="auto"/>
              <w:jc w:val="both"/>
            </w:pPr>
            <w:r>
              <w:t>2.26</w:t>
            </w:r>
            <w:r w:rsidR="001513C2" w:rsidRPr="00A4261C">
              <w:t>*</w:t>
            </w:r>
          </w:p>
        </w:tc>
        <w:tc>
          <w:tcPr>
            <w:tcW w:w="681" w:type="dxa"/>
            <w:tcBorders>
              <w:top w:val="nil"/>
              <w:left w:val="nil"/>
              <w:bottom w:val="nil"/>
              <w:right w:val="nil"/>
            </w:tcBorders>
            <w:shd w:val="clear" w:color="auto" w:fill="auto"/>
            <w:noWrap/>
            <w:vAlign w:val="bottom"/>
            <w:hideMark/>
          </w:tcPr>
          <w:p w14:paraId="0C2ACC54" w14:textId="77777777" w:rsidR="001513C2" w:rsidRPr="00A4261C" w:rsidRDefault="001513C2" w:rsidP="001513C2">
            <w:pPr>
              <w:spacing w:line="360" w:lineRule="auto"/>
              <w:jc w:val="both"/>
            </w:pPr>
          </w:p>
        </w:tc>
        <w:tc>
          <w:tcPr>
            <w:tcW w:w="681" w:type="dxa"/>
            <w:tcBorders>
              <w:top w:val="nil"/>
              <w:left w:val="nil"/>
              <w:bottom w:val="nil"/>
              <w:right w:val="nil"/>
            </w:tcBorders>
            <w:shd w:val="clear" w:color="auto" w:fill="auto"/>
            <w:noWrap/>
            <w:vAlign w:val="bottom"/>
            <w:hideMark/>
          </w:tcPr>
          <w:p w14:paraId="60ED68B0" w14:textId="77777777" w:rsidR="001513C2" w:rsidRPr="00A4261C" w:rsidRDefault="001513C2" w:rsidP="001513C2">
            <w:pPr>
              <w:spacing w:line="360" w:lineRule="auto"/>
              <w:jc w:val="both"/>
            </w:pPr>
          </w:p>
        </w:tc>
        <w:tc>
          <w:tcPr>
            <w:tcW w:w="1639" w:type="dxa"/>
            <w:tcBorders>
              <w:top w:val="nil"/>
              <w:left w:val="nil"/>
              <w:bottom w:val="nil"/>
              <w:right w:val="nil"/>
            </w:tcBorders>
            <w:shd w:val="clear" w:color="auto" w:fill="auto"/>
            <w:noWrap/>
            <w:vAlign w:val="bottom"/>
            <w:hideMark/>
          </w:tcPr>
          <w:p w14:paraId="0ED60E4B" w14:textId="77777777" w:rsidR="001513C2" w:rsidRPr="00A4261C" w:rsidRDefault="001513C2" w:rsidP="001513C2">
            <w:pPr>
              <w:spacing w:line="360" w:lineRule="auto"/>
              <w:jc w:val="both"/>
            </w:pPr>
          </w:p>
        </w:tc>
        <w:tc>
          <w:tcPr>
            <w:tcW w:w="686" w:type="dxa"/>
            <w:tcBorders>
              <w:top w:val="nil"/>
              <w:left w:val="nil"/>
              <w:bottom w:val="nil"/>
              <w:right w:val="nil"/>
            </w:tcBorders>
            <w:shd w:val="clear" w:color="auto" w:fill="auto"/>
            <w:noWrap/>
            <w:vAlign w:val="bottom"/>
            <w:hideMark/>
          </w:tcPr>
          <w:p w14:paraId="44EF0B5E" w14:textId="77777777" w:rsidR="001513C2" w:rsidRPr="00A4261C" w:rsidRDefault="001513C2" w:rsidP="001513C2">
            <w:pPr>
              <w:spacing w:line="360" w:lineRule="auto"/>
              <w:jc w:val="both"/>
            </w:pPr>
          </w:p>
        </w:tc>
      </w:tr>
      <w:tr w:rsidR="00BF11B2" w:rsidRPr="00A4261C" w14:paraId="1E7AE8EB" w14:textId="77777777" w:rsidTr="00165C37">
        <w:trPr>
          <w:gridAfter w:val="1"/>
          <w:wAfter w:w="316" w:type="dxa"/>
          <w:trHeight w:val="269"/>
        </w:trPr>
        <w:tc>
          <w:tcPr>
            <w:tcW w:w="1037" w:type="dxa"/>
            <w:tcBorders>
              <w:top w:val="nil"/>
              <w:left w:val="nil"/>
              <w:bottom w:val="nil"/>
              <w:right w:val="nil"/>
            </w:tcBorders>
            <w:shd w:val="clear" w:color="auto" w:fill="auto"/>
            <w:noWrap/>
            <w:vAlign w:val="bottom"/>
            <w:hideMark/>
          </w:tcPr>
          <w:p w14:paraId="438C0E59" w14:textId="77777777" w:rsidR="001513C2" w:rsidRPr="00A4261C" w:rsidRDefault="001513C2" w:rsidP="001513C2">
            <w:pPr>
              <w:spacing w:line="360" w:lineRule="auto"/>
              <w:jc w:val="both"/>
            </w:pPr>
          </w:p>
        </w:tc>
        <w:tc>
          <w:tcPr>
            <w:tcW w:w="3832" w:type="dxa"/>
            <w:tcBorders>
              <w:top w:val="nil"/>
              <w:left w:val="nil"/>
              <w:bottom w:val="nil"/>
              <w:right w:val="nil"/>
            </w:tcBorders>
            <w:shd w:val="clear" w:color="auto" w:fill="auto"/>
            <w:noWrap/>
            <w:vAlign w:val="bottom"/>
            <w:hideMark/>
          </w:tcPr>
          <w:p w14:paraId="6F0F51C8" w14:textId="77777777" w:rsidR="001513C2" w:rsidRPr="00A4261C" w:rsidRDefault="001513C2" w:rsidP="001513C2">
            <w:pPr>
              <w:spacing w:line="360" w:lineRule="auto"/>
              <w:jc w:val="both"/>
            </w:pPr>
            <w:r w:rsidRPr="00A4261C">
              <w:t>HTWS</w:t>
            </w:r>
          </w:p>
        </w:tc>
        <w:tc>
          <w:tcPr>
            <w:tcW w:w="1671" w:type="dxa"/>
            <w:tcBorders>
              <w:top w:val="nil"/>
              <w:left w:val="nil"/>
              <w:bottom w:val="nil"/>
              <w:right w:val="nil"/>
            </w:tcBorders>
            <w:shd w:val="clear" w:color="auto" w:fill="auto"/>
            <w:noWrap/>
            <w:vAlign w:val="bottom"/>
            <w:hideMark/>
          </w:tcPr>
          <w:p w14:paraId="39C1639D" w14:textId="77777777" w:rsidR="001513C2" w:rsidRPr="00A4261C" w:rsidRDefault="001513C2" w:rsidP="001513C2">
            <w:pPr>
              <w:spacing w:line="360" w:lineRule="auto"/>
              <w:jc w:val="both"/>
            </w:pPr>
            <w:r w:rsidRPr="00A4261C">
              <w:t>0.21(.03)</w:t>
            </w:r>
          </w:p>
        </w:tc>
        <w:tc>
          <w:tcPr>
            <w:tcW w:w="1017" w:type="dxa"/>
            <w:tcBorders>
              <w:top w:val="nil"/>
              <w:left w:val="nil"/>
              <w:bottom w:val="nil"/>
              <w:right w:val="nil"/>
            </w:tcBorders>
            <w:shd w:val="clear" w:color="auto" w:fill="auto"/>
            <w:noWrap/>
            <w:vAlign w:val="bottom"/>
            <w:hideMark/>
          </w:tcPr>
          <w:p w14:paraId="4B173E8C" w14:textId="77777777" w:rsidR="001513C2" w:rsidRPr="00A4261C" w:rsidRDefault="001513C2" w:rsidP="001513C2">
            <w:pPr>
              <w:spacing w:line="360" w:lineRule="auto"/>
              <w:jc w:val="both"/>
            </w:pPr>
            <w:r w:rsidRPr="00A4261C">
              <w:t>0.22</w:t>
            </w:r>
          </w:p>
        </w:tc>
        <w:tc>
          <w:tcPr>
            <w:tcW w:w="1272" w:type="dxa"/>
            <w:tcBorders>
              <w:top w:val="nil"/>
              <w:left w:val="nil"/>
              <w:bottom w:val="nil"/>
              <w:right w:val="nil"/>
            </w:tcBorders>
            <w:shd w:val="clear" w:color="auto" w:fill="auto"/>
            <w:noWrap/>
            <w:vAlign w:val="bottom"/>
            <w:hideMark/>
          </w:tcPr>
          <w:p w14:paraId="55C769C2" w14:textId="4191B4FF" w:rsidR="001513C2" w:rsidRPr="00A4261C" w:rsidRDefault="00DF41FB" w:rsidP="001513C2">
            <w:pPr>
              <w:spacing w:line="360" w:lineRule="auto"/>
              <w:jc w:val="both"/>
            </w:pPr>
            <w:r>
              <w:t>6.90</w:t>
            </w:r>
            <w:r w:rsidR="001513C2" w:rsidRPr="00A4261C">
              <w:t>***</w:t>
            </w:r>
          </w:p>
        </w:tc>
        <w:tc>
          <w:tcPr>
            <w:tcW w:w="681" w:type="dxa"/>
            <w:tcBorders>
              <w:top w:val="nil"/>
              <w:left w:val="nil"/>
              <w:bottom w:val="nil"/>
              <w:right w:val="nil"/>
            </w:tcBorders>
            <w:shd w:val="clear" w:color="auto" w:fill="auto"/>
            <w:noWrap/>
            <w:vAlign w:val="bottom"/>
            <w:hideMark/>
          </w:tcPr>
          <w:p w14:paraId="5E311CB4" w14:textId="77777777" w:rsidR="001513C2" w:rsidRPr="00A4261C" w:rsidRDefault="001513C2" w:rsidP="001513C2">
            <w:pPr>
              <w:spacing w:line="360" w:lineRule="auto"/>
              <w:jc w:val="both"/>
            </w:pPr>
          </w:p>
        </w:tc>
        <w:tc>
          <w:tcPr>
            <w:tcW w:w="681" w:type="dxa"/>
            <w:tcBorders>
              <w:top w:val="nil"/>
              <w:left w:val="nil"/>
              <w:bottom w:val="nil"/>
              <w:right w:val="nil"/>
            </w:tcBorders>
            <w:shd w:val="clear" w:color="auto" w:fill="auto"/>
            <w:noWrap/>
            <w:vAlign w:val="bottom"/>
            <w:hideMark/>
          </w:tcPr>
          <w:p w14:paraId="1D270E71" w14:textId="77777777" w:rsidR="001513C2" w:rsidRPr="00A4261C" w:rsidRDefault="001513C2" w:rsidP="001513C2">
            <w:pPr>
              <w:spacing w:line="360" w:lineRule="auto"/>
              <w:jc w:val="both"/>
            </w:pPr>
          </w:p>
        </w:tc>
        <w:tc>
          <w:tcPr>
            <w:tcW w:w="1639" w:type="dxa"/>
            <w:tcBorders>
              <w:top w:val="nil"/>
              <w:left w:val="nil"/>
              <w:bottom w:val="nil"/>
              <w:right w:val="nil"/>
            </w:tcBorders>
            <w:shd w:val="clear" w:color="auto" w:fill="auto"/>
            <w:noWrap/>
            <w:vAlign w:val="bottom"/>
            <w:hideMark/>
          </w:tcPr>
          <w:p w14:paraId="7E61D1D9" w14:textId="77777777" w:rsidR="001513C2" w:rsidRPr="00A4261C" w:rsidRDefault="001513C2" w:rsidP="001513C2">
            <w:pPr>
              <w:spacing w:line="360" w:lineRule="auto"/>
              <w:jc w:val="both"/>
            </w:pPr>
          </w:p>
        </w:tc>
        <w:tc>
          <w:tcPr>
            <w:tcW w:w="686" w:type="dxa"/>
            <w:tcBorders>
              <w:top w:val="nil"/>
              <w:left w:val="nil"/>
              <w:bottom w:val="nil"/>
              <w:right w:val="nil"/>
            </w:tcBorders>
            <w:shd w:val="clear" w:color="auto" w:fill="auto"/>
            <w:noWrap/>
            <w:vAlign w:val="bottom"/>
            <w:hideMark/>
          </w:tcPr>
          <w:p w14:paraId="09BC7902" w14:textId="77777777" w:rsidR="001513C2" w:rsidRPr="00A4261C" w:rsidRDefault="001513C2" w:rsidP="001513C2">
            <w:pPr>
              <w:spacing w:line="360" w:lineRule="auto"/>
              <w:jc w:val="both"/>
            </w:pPr>
          </w:p>
        </w:tc>
      </w:tr>
      <w:tr w:rsidR="00BF11B2" w:rsidRPr="00A4261C" w14:paraId="04DCE116" w14:textId="77777777" w:rsidTr="00165C37">
        <w:trPr>
          <w:gridAfter w:val="1"/>
          <w:wAfter w:w="316" w:type="dxa"/>
          <w:trHeight w:val="269"/>
        </w:trPr>
        <w:tc>
          <w:tcPr>
            <w:tcW w:w="1037" w:type="dxa"/>
            <w:tcBorders>
              <w:top w:val="nil"/>
              <w:left w:val="nil"/>
              <w:bottom w:val="nil"/>
              <w:right w:val="nil"/>
            </w:tcBorders>
            <w:shd w:val="clear" w:color="auto" w:fill="auto"/>
            <w:noWrap/>
            <w:vAlign w:val="bottom"/>
            <w:hideMark/>
          </w:tcPr>
          <w:p w14:paraId="6C4632C5" w14:textId="77777777" w:rsidR="001513C2" w:rsidRPr="00A4261C" w:rsidRDefault="001513C2" w:rsidP="001513C2">
            <w:pPr>
              <w:spacing w:line="360" w:lineRule="auto"/>
              <w:jc w:val="both"/>
            </w:pPr>
          </w:p>
        </w:tc>
        <w:tc>
          <w:tcPr>
            <w:tcW w:w="3832" w:type="dxa"/>
            <w:tcBorders>
              <w:top w:val="nil"/>
              <w:left w:val="nil"/>
              <w:bottom w:val="nil"/>
              <w:right w:val="nil"/>
            </w:tcBorders>
            <w:shd w:val="clear" w:color="auto" w:fill="auto"/>
            <w:noWrap/>
            <w:vAlign w:val="bottom"/>
            <w:hideMark/>
          </w:tcPr>
          <w:p w14:paraId="5C16A0A2" w14:textId="77777777" w:rsidR="001513C2" w:rsidRPr="00A4261C" w:rsidRDefault="001513C2" w:rsidP="001513C2">
            <w:pPr>
              <w:spacing w:line="360" w:lineRule="auto"/>
              <w:jc w:val="both"/>
            </w:pPr>
            <w:r w:rsidRPr="00A4261C">
              <w:t>ASI Hostile</w:t>
            </w:r>
          </w:p>
        </w:tc>
        <w:tc>
          <w:tcPr>
            <w:tcW w:w="1671" w:type="dxa"/>
            <w:tcBorders>
              <w:top w:val="nil"/>
              <w:left w:val="nil"/>
              <w:bottom w:val="nil"/>
              <w:right w:val="nil"/>
            </w:tcBorders>
            <w:shd w:val="clear" w:color="auto" w:fill="auto"/>
            <w:noWrap/>
            <w:vAlign w:val="bottom"/>
            <w:hideMark/>
          </w:tcPr>
          <w:p w14:paraId="6B1D446F" w14:textId="5D1911BE" w:rsidR="001513C2" w:rsidRPr="00A4261C" w:rsidRDefault="004F16B3" w:rsidP="001513C2">
            <w:pPr>
              <w:spacing w:line="360" w:lineRule="auto"/>
              <w:jc w:val="both"/>
            </w:pPr>
            <w:r>
              <w:t>0.36</w:t>
            </w:r>
            <w:r w:rsidR="001513C2" w:rsidRPr="00A4261C">
              <w:t>(.03)</w:t>
            </w:r>
          </w:p>
        </w:tc>
        <w:tc>
          <w:tcPr>
            <w:tcW w:w="1017" w:type="dxa"/>
            <w:tcBorders>
              <w:top w:val="nil"/>
              <w:left w:val="nil"/>
              <w:bottom w:val="nil"/>
              <w:right w:val="nil"/>
            </w:tcBorders>
            <w:shd w:val="clear" w:color="auto" w:fill="auto"/>
            <w:noWrap/>
            <w:vAlign w:val="bottom"/>
            <w:hideMark/>
          </w:tcPr>
          <w:p w14:paraId="5CD75181" w14:textId="77777777" w:rsidR="001513C2" w:rsidRPr="00A4261C" w:rsidRDefault="001513C2" w:rsidP="001513C2">
            <w:pPr>
              <w:spacing w:line="360" w:lineRule="auto"/>
              <w:jc w:val="both"/>
            </w:pPr>
            <w:r w:rsidRPr="00A4261C">
              <w:t>0.39</w:t>
            </w:r>
          </w:p>
        </w:tc>
        <w:tc>
          <w:tcPr>
            <w:tcW w:w="1272" w:type="dxa"/>
            <w:tcBorders>
              <w:top w:val="nil"/>
              <w:left w:val="nil"/>
              <w:bottom w:val="nil"/>
              <w:right w:val="nil"/>
            </w:tcBorders>
            <w:shd w:val="clear" w:color="auto" w:fill="auto"/>
            <w:noWrap/>
            <w:vAlign w:val="bottom"/>
            <w:hideMark/>
          </w:tcPr>
          <w:p w14:paraId="4B5EB361" w14:textId="29C3C60D" w:rsidR="001513C2" w:rsidRPr="00A4261C" w:rsidRDefault="00BF11B2" w:rsidP="001513C2">
            <w:pPr>
              <w:spacing w:line="360" w:lineRule="auto"/>
              <w:jc w:val="both"/>
            </w:pPr>
            <w:r w:rsidRPr="00A4261C">
              <w:t>11.</w:t>
            </w:r>
            <w:r w:rsidR="00B6726A">
              <w:t>24</w:t>
            </w:r>
            <w:r w:rsidR="001513C2" w:rsidRPr="00A4261C">
              <w:t>***</w:t>
            </w:r>
          </w:p>
        </w:tc>
        <w:tc>
          <w:tcPr>
            <w:tcW w:w="681" w:type="dxa"/>
            <w:tcBorders>
              <w:top w:val="nil"/>
              <w:left w:val="nil"/>
              <w:bottom w:val="nil"/>
              <w:right w:val="nil"/>
            </w:tcBorders>
            <w:shd w:val="clear" w:color="auto" w:fill="auto"/>
            <w:noWrap/>
            <w:vAlign w:val="bottom"/>
            <w:hideMark/>
          </w:tcPr>
          <w:p w14:paraId="0B147133" w14:textId="77777777" w:rsidR="001513C2" w:rsidRPr="00A4261C" w:rsidRDefault="001513C2" w:rsidP="001513C2">
            <w:pPr>
              <w:spacing w:line="360" w:lineRule="auto"/>
              <w:jc w:val="both"/>
            </w:pPr>
          </w:p>
        </w:tc>
        <w:tc>
          <w:tcPr>
            <w:tcW w:w="681" w:type="dxa"/>
            <w:tcBorders>
              <w:top w:val="nil"/>
              <w:left w:val="nil"/>
              <w:bottom w:val="nil"/>
              <w:right w:val="nil"/>
            </w:tcBorders>
            <w:shd w:val="clear" w:color="auto" w:fill="auto"/>
            <w:noWrap/>
            <w:vAlign w:val="bottom"/>
            <w:hideMark/>
          </w:tcPr>
          <w:p w14:paraId="2A4766A7" w14:textId="77777777" w:rsidR="001513C2" w:rsidRPr="00A4261C" w:rsidRDefault="001513C2" w:rsidP="001513C2">
            <w:pPr>
              <w:spacing w:line="360" w:lineRule="auto"/>
              <w:jc w:val="both"/>
            </w:pPr>
          </w:p>
        </w:tc>
        <w:tc>
          <w:tcPr>
            <w:tcW w:w="1639" w:type="dxa"/>
            <w:tcBorders>
              <w:top w:val="nil"/>
              <w:left w:val="nil"/>
              <w:bottom w:val="nil"/>
              <w:right w:val="nil"/>
            </w:tcBorders>
            <w:shd w:val="clear" w:color="auto" w:fill="auto"/>
            <w:noWrap/>
            <w:vAlign w:val="bottom"/>
            <w:hideMark/>
          </w:tcPr>
          <w:p w14:paraId="1039E631" w14:textId="77777777" w:rsidR="001513C2" w:rsidRPr="00A4261C" w:rsidRDefault="001513C2" w:rsidP="001513C2">
            <w:pPr>
              <w:spacing w:line="360" w:lineRule="auto"/>
              <w:jc w:val="both"/>
            </w:pPr>
          </w:p>
        </w:tc>
        <w:tc>
          <w:tcPr>
            <w:tcW w:w="686" w:type="dxa"/>
            <w:tcBorders>
              <w:top w:val="nil"/>
              <w:left w:val="nil"/>
              <w:bottom w:val="nil"/>
              <w:right w:val="nil"/>
            </w:tcBorders>
            <w:shd w:val="clear" w:color="auto" w:fill="auto"/>
            <w:noWrap/>
            <w:vAlign w:val="bottom"/>
            <w:hideMark/>
          </w:tcPr>
          <w:p w14:paraId="1840B142" w14:textId="77777777" w:rsidR="001513C2" w:rsidRPr="00A4261C" w:rsidRDefault="001513C2" w:rsidP="001513C2">
            <w:pPr>
              <w:spacing w:line="360" w:lineRule="auto"/>
              <w:jc w:val="both"/>
            </w:pPr>
          </w:p>
        </w:tc>
      </w:tr>
      <w:tr w:rsidR="00BF11B2" w:rsidRPr="00A4261C" w14:paraId="3B914CA8" w14:textId="77777777" w:rsidTr="00165C37">
        <w:trPr>
          <w:gridAfter w:val="1"/>
          <w:wAfter w:w="316" w:type="dxa"/>
          <w:trHeight w:val="294"/>
        </w:trPr>
        <w:tc>
          <w:tcPr>
            <w:tcW w:w="1037" w:type="dxa"/>
            <w:tcBorders>
              <w:top w:val="nil"/>
              <w:left w:val="nil"/>
              <w:bottom w:val="nil"/>
              <w:right w:val="nil"/>
            </w:tcBorders>
            <w:shd w:val="clear" w:color="auto" w:fill="auto"/>
            <w:noWrap/>
            <w:vAlign w:val="bottom"/>
            <w:hideMark/>
          </w:tcPr>
          <w:p w14:paraId="28B3ADA2" w14:textId="77777777" w:rsidR="001513C2" w:rsidRPr="00A4261C" w:rsidRDefault="001513C2" w:rsidP="001513C2">
            <w:pPr>
              <w:spacing w:line="360" w:lineRule="auto"/>
              <w:jc w:val="both"/>
            </w:pPr>
          </w:p>
        </w:tc>
        <w:tc>
          <w:tcPr>
            <w:tcW w:w="3832" w:type="dxa"/>
            <w:tcBorders>
              <w:top w:val="nil"/>
              <w:left w:val="nil"/>
              <w:bottom w:val="nil"/>
              <w:right w:val="nil"/>
            </w:tcBorders>
            <w:shd w:val="clear" w:color="auto" w:fill="auto"/>
            <w:noWrap/>
            <w:vAlign w:val="bottom"/>
            <w:hideMark/>
          </w:tcPr>
          <w:p w14:paraId="1018F2E0" w14:textId="77777777" w:rsidR="001513C2" w:rsidRPr="00A4261C" w:rsidRDefault="001513C2" w:rsidP="001513C2">
            <w:pPr>
              <w:spacing w:line="360" w:lineRule="auto"/>
              <w:jc w:val="both"/>
            </w:pPr>
            <w:r w:rsidRPr="00A4261C">
              <w:t>ASI Benevolent</w:t>
            </w:r>
          </w:p>
        </w:tc>
        <w:tc>
          <w:tcPr>
            <w:tcW w:w="1671" w:type="dxa"/>
            <w:tcBorders>
              <w:top w:val="nil"/>
              <w:left w:val="nil"/>
              <w:bottom w:val="nil"/>
              <w:right w:val="nil"/>
            </w:tcBorders>
            <w:shd w:val="clear" w:color="auto" w:fill="auto"/>
            <w:noWrap/>
            <w:vAlign w:val="bottom"/>
            <w:hideMark/>
          </w:tcPr>
          <w:p w14:paraId="282A38BE" w14:textId="0C5BF508" w:rsidR="001513C2" w:rsidRPr="00A4261C" w:rsidRDefault="0018445D" w:rsidP="001513C2">
            <w:pPr>
              <w:spacing w:line="360" w:lineRule="auto"/>
              <w:jc w:val="both"/>
            </w:pPr>
            <w:r>
              <w:t>0.09</w:t>
            </w:r>
            <w:r w:rsidR="001513C2" w:rsidRPr="00A4261C">
              <w:t>(.03)</w:t>
            </w:r>
          </w:p>
        </w:tc>
        <w:tc>
          <w:tcPr>
            <w:tcW w:w="1017" w:type="dxa"/>
            <w:tcBorders>
              <w:top w:val="nil"/>
              <w:left w:val="nil"/>
              <w:bottom w:val="nil"/>
              <w:right w:val="nil"/>
            </w:tcBorders>
            <w:shd w:val="clear" w:color="auto" w:fill="auto"/>
            <w:noWrap/>
            <w:vAlign w:val="bottom"/>
            <w:hideMark/>
          </w:tcPr>
          <w:p w14:paraId="76CFA1CB" w14:textId="77777777" w:rsidR="001513C2" w:rsidRPr="00A4261C" w:rsidRDefault="001513C2" w:rsidP="001513C2">
            <w:pPr>
              <w:spacing w:line="360" w:lineRule="auto"/>
              <w:jc w:val="both"/>
            </w:pPr>
            <w:r w:rsidRPr="00A4261C">
              <w:t>0.08</w:t>
            </w:r>
          </w:p>
        </w:tc>
        <w:tc>
          <w:tcPr>
            <w:tcW w:w="1272" w:type="dxa"/>
            <w:tcBorders>
              <w:top w:val="nil"/>
              <w:left w:val="nil"/>
              <w:bottom w:val="nil"/>
              <w:right w:val="nil"/>
            </w:tcBorders>
            <w:shd w:val="clear" w:color="auto" w:fill="auto"/>
            <w:noWrap/>
            <w:vAlign w:val="bottom"/>
            <w:hideMark/>
          </w:tcPr>
          <w:p w14:paraId="167EE19C" w14:textId="2BA1C9CB" w:rsidR="001513C2" w:rsidRPr="00A4261C" w:rsidRDefault="00B6726A" w:rsidP="001513C2">
            <w:pPr>
              <w:spacing w:line="360" w:lineRule="auto"/>
              <w:jc w:val="both"/>
            </w:pPr>
            <w:r>
              <w:t>2.71</w:t>
            </w:r>
            <w:r w:rsidR="001513C2" w:rsidRPr="00A4261C">
              <w:t>**</w:t>
            </w:r>
          </w:p>
        </w:tc>
        <w:tc>
          <w:tcPr>
            <w:tcW w:w="681" w:type="dxa"/>
            <w:tcBorders>
              <w:top w:val="nil"/>
              <w:left w:val="nil"/>
              <w:bottom w:val="nil"/>
              <w:right w:val="nil"/>
            </w:tcBorders>
            <w:shd w:val="clear" w:color="auto" w:fill="auto"/>
            <w:noWrap/>
            <w:vAlign w:val="bottom"/>
            <w:hideMark/>
          </w:tcPr>
          <w:p w14:paraId="1CA1D0B3" w14:textId="77777777" w:rsidR="001513C2" w:rsidRPr="00A4261C" w:rsidRDefault="001513C2" w:rsidP="001513C2">
            <w:pPr>
              <w:spacing w:line="360" w:lineRule="auto"/>
              <w:jc w:val="both"/>
            </w:pPr>
          </w:p>
        </w:tc>
        <w:tc>
          <w:tcPr>
            <w:tcW w:w="681" w:type="dxa"/>
            <w:tcBorders>
              <w:top w:val="nil"/>
              <w:left w:val="nil"/>
              <w:bottom w:val="nil"/>
              <w:right w:val="nil"/>
            </w:tcBorders>
            <w:shd w:val="clear" w:color="auto" w:fill="auto"/>
            <w:noWrap/>
            <w:vAlign w:val="bottom"/>
            <w:hideMark/>
          </w:tcPr>
          <w:p w14:paraId="06D03142" w14:textId="77777777" w:rsidR="001513C2" w:rsidRPr="00A4261C" w:rsidRDefault="001513C2" w:rsidP="001513C2">
            <w:pPr>
              <w:spacing w:line="360" w:lineRule="auto"/>
              <w:jc w:val="both"/>
            </w:pPr>
          </w:p>
        </w:tc>
        <w:tc>
          <w:tcPr>
            <w:tcW w:w="1639" w:type="dxa"/>
            <w:tcBorders>
              <w:top w:val="nil"/>
              <w:left w:val="nil"/>
              <w:bottom w:val="nil"/>
              <w:right w:val="nil"/>
            </w:tcBorders>
            <w:shd w:val="clear" w:color="auto" w:fill="auto"/>
            <w:noWrap/>
            <w:vAlign w:val="bottom"/>
            <w:hideMark/>
          </w:tcPr>
          <w:p w14:paraId="7BFE565D" w14:textId="77777777" w:rsidR="001513C2" w:rsidRPr="00A4261C" w:rsidRDefault="001513C2" w:rsidP="001513C2">
            <w:pPr>
              <w:spacing w:line="360" w:lineRule="auto"/>
              <w:jc w:val="both"/>
            </w:pPr>
          </w:p>
        </w:tc>
        <w:tc>
          <w:tcPr>
            <w:tcW w:w="686" w:type="dxa"/>
            <w:tcBorders>
              <w:top w:val="nil"/>
              <w:left w:val="nil"/>
              <w:bottom w:val="nil"/>
              <w:right w:val="nil"/>
            </w:tcBorders>
            <w:shd w:val="clear" w:color="auto" w:fill="auto"/>
            <w:noWrap/>
            <w:vAlign w:val="bottom"/>
            <w:hideMark/>
          </w:tcPr>
          <w:p w14:paraId="67442020" w14:textId="77777777" w:rsidR="001513C2" w:rsidRPr="00A4261C" w:rsidRDefault="001513C2" w:rsidP="001513C2">
            <w:pPr>
              <w:spacing w:line="360" w:lineRule="auto"/>
              <w:jc w:val="both"/>
            </w:pPr>
          </w:p>
        </w:tc>
      </w:tr>
      <w:tr w:rsidR="00BF11B2" w:rsidRPr="00A4261C" w14:paraId="3312353D" w14:textId="77777777" w:rsidTr="00165C37">
        <w:trPr>
          <w:gridAfter w:val="1"/>
          <w:wAfter w:w="316" w:type="dxa"/>
          <w:trHeight w:val="269"/>
        </w:trPr>
        <w:tc>
          <w:tcPr>
            <w:tcW w:w="1037" w:type="dxa"/>
            <w:tcBorders>
              <w:top w:val="nil"/>
              <w:left w:val="nil"/>
              <w:bottom w:val="nil"/>
              <w:right w:val="nil"/>
            </w:tcBorders>
            <w:shd w:val="clear" w:color="auto" w:fill="auto"/>
            <w:noWrap/>
            <w:vAlign w:val="bottom"/>
            <w:hideMark/>
          </w:tcPr>
          <w:p w14:paraId="5036AB7D" w14:textId="77777777" w:rsidR="001513C2" w:rsidRPr="00A4261C" w:rsidRDefault="001513C2" w:rsidP="001513C2">
            <w:pPr>
              <w:spacing w:line="360" w:lineRule="auto"/>
              <w:jc w:val="both"/>
            </w:pPr>
          </w:p>
        </w:tc>
        <w:tc>
          <w:tcPr>
            <w:tcW w:w="3832" w:type="dxa"/>
            <w:tcBorders>
              <w:top w:val="nil"/>
              <w:left w:val="nil"/>
              <w:bottom w:val="nil"/>
              <w:right w:val="nil"/>
            </w:tcBorders>
            <w:shd w:val="clear" w:color="auto" w:fill="auto"/>
            <w:noWrap/>
            <w:vAlign w:val="bottom"/>
            <w:hideMark/>
          </w:tcPr>
          <w:p w14:paraId="5C5DA7CF" w14:textId="77777777" w:rsidR="001513C2" w:rsidRPr="00A4261C" w:rsidRDefault="001513C2" w:rsidP="001513C2">
            <w:pPr>
              <w:spacing w:line="360" w:lineRule="auto"/>
              <w:jc w:val="both"/>
            </w:pPr>
            <w:r w:rsidRPr="00A4261C">
              <w:t>EPSM</w:t>
            </w:r>
          </w:p>
        </w:tc>
        <w:tc>
          <w:tcPr>
            <w:tcW w:w="1671" w:type="dxa"/>
            <w:tcBorders>
              <w:top w:val="nil"/>
              <w:left w:val="nil"/>
              <w:bottom w:val="nil"/>
              <w:right w:val="nil"/>
            </w:tcBorders>
            <w:shd w:val="clear" w:color="auto" w:fill="auto"/>
            <w:noWrap/>
            <w:vAlign w:val="bottom"/>
            <w:hideMark/>
          </w:tcPr>
          <w:p w14:paraId="0FFBA265" w14:textId="6CE95619" w:rsidR="001513C2" w:rsidRPr="00A4261C" w:rsidRDefault="00B6726A" w:rsidP="001513C2">
            <w:pPr>
              <w:spacing w:line="360" w:lineRule="auto"/>
              <w:jc w:val="both"/>
            </w:pPr>
            <w:r>
              <w:t>0.28(.04</w:t>
            </w:r>
            <w:r w:rsidR="001513C2" w:rsidRPr="00A4261C">
              <w:t>)</w:t>
            </w:r>
          </w:p>
        </w:tc>
        <w:tc>
          <w:tcPr>
            <w:tcW w:w="1017" w:type="dxa"/>
            <w:tcBorders>
              <w:top w:val="nil"/>
              <w:left w:val="nil"/>
              <w:bottom w:val="nil"/>
              <w:right w:val="nil"/>
            </w:tcBorders>
            <w:shd w:val="clear" w:color="auto" w:fill="auto"/>
            <w:noWrap/>
            <w:vAlign w:val="bottom"/>
            <w:hideMark/>
          </w:tcPr>
          <w:p w14:paraId="4391A946" w14:textId="6239573D" w:rsidR="001513C2" w:rsidRPr="00A4261C" w:rsidRDefault="001513C2" w:rsidP="001513C2">
            <w:pPr>
              <w:spacing w:line="360" w:lineRule="auto"/>
              <w:jc w:val="both"/>
            </w:pPr>
            <w:r w:rsidRPr="00A4261C">
              <w:t>0.</w:t>
            </w:r>
            <w:r w:rsidR="00B6726A">
              <w:t>16</w:t>
            </w:r>
          </w:p>
        </w:tc>
        <w:tc>
          <w:tcPr>
            <w:tcW w:w="1272" w:type="dxa"/>
            <w:tcBorders>
              <w:top w:val="nil"/>
              <w:left w:val="nil"/>
              <w:bottom w:val="nil"/>
              <w:right w:val="nil"/>
            </w:tcBorders>
            <w:shd w:val="clear" w:color="auto" w:fill="auto"/>
            <w:noWrap/>
            <w:vAlign w:val="bottom"/>
            <w:hideMark/>
          </w:tcPr>
          <w:p w14:paraId="4617BF31" w14:textId="7BC925F2" w:rsidR="001513C2" w:rsidRPr="00A4261C" w:rsidRDefault="00B6726A" w:rsidP="001513C2">
            <w:pPr>
              <w:spacing w:line="360" w:lineRule="auto"/>
              <w:jc w:val="both"/>
            </w:pPr>
            <w:r>
              <w:t>5.99</w:t>
            </w:r>
            <w:r w:rsidR="001513C2" w:rsidRPr="00A4261C">
              <w:t>***</w:t>
            </w:r>
          </w:p>
        </w:tc>
        <w:tc>
          <w:tcPr>
            <w:tcW w:w="681" w:type="dxa"/>
            <w:tcBorders>
              <w:top w:val="nil"/>
              <w:left w:val="nil"/>
              <w:bottom w:val="nil"/>
              <w:right w:val="nil"/>
            </w:tcBorders>
            <w:shd w:val="clear" w:color="auto" w:fill="auto"/>
            <w:noWrap/>
            <w:vAlign w:val="bottom"/>
            <w:hideMark/>
          </w:tcPr>
          <w:p w14:paraId="180E8FB3" w14:textId="77777777" w:rsidR="001513C2" w:rsidRPr="00A4261C" w:rsidRDefault="001513C2" w:rsidP="001513C2">
            <w:pPr>
              <w:spacing w:line="360" w:lineRule="auto"/>
              <w:jc w:val="both"/>
            </w:pPr>
          </w:p>
        </w:tc>
        <w:tc>
          <w:tcPr>
            <w:tcW w:w="681" w:type="dxa"/>
            <w:tcBorders>
              <w:top w:val="nil"/>
              <w:left w:val="nil"/>
              <w:bottom w:val="nil"/>
              <w:right w:val="nil"/>
            </w:tcBorders>
            <w:shd w:val="clear" w:color="auto" w:fill="auto"/>
            <w:noWrap/>
            <w:vAlign w:val="bottom"/>
            <w:hideMark/>
          </w:tcPr>
          <w:p w14:paraId="01AB71CA" w14:textId="77777777" w:rsidR="001513C2" w:rsidRPr="00A4261C" w:rsidRDefault="001513C2" w:rsidP="001513C2">
            <w:pPr>
              <w:spacing w:line="360" w:lineRule="auto"/>
              <w:jc w:val="both"/>
            </w:pPr>
          </w:p>
        </w:tc>
        <w:tc>
          <w:tcPr>
            <w:tcW w:w="1639" w:type="dxa"/>
            <w:tcBorders>
              <w:top w:val="nil"/>
              <w:left w:val="nil"/>
              <w:bottom w:val="nil"/>
              <w:right w:val="nil"/>
            </w:tcBorders>
            <w:shd w:val="clear" w:color="auto" w:fill="auto"/>
            <w:noWrap/>
            <w:vAlign w:val="bottom"/>
            <w:hideMark/>
          </w:tcPr>
          <w:p w14:paraId="293908DB" w14:textId="77777777" w:rsidR="001513C2" w:rsidRPr="00A4261C" w:rsidRDefault="001513C2" w:rsidP="001513C2">
            <w:pPr>
              <w:spacing w:line="360" w:lineRule="auto"/>
              <w:jc w:val="both"/>
            </w:pPr>
          </w:p>
        </w:tc>
        <w:tc>
          <w:tcPr>
            <w:tcW w:w="686" w:type="dxa"/>
            <w:tcBorders>
              <w:top w:val="nil"/>
              <w:left w:val="nil"/>
              <w:bottom w:val="nil"/>
              <w:right w:val="nil"/>
            </w:tcBorders>
            <w:shd w:val="clear" w:color="auto" w:fill="auto"/>
            <w:noWrap/>
            <w:vAlign w:val="bottom"/>
            <w:hideMark/>
          </w:tcPr>
          <w:p w14:paraId="0C15956D" w14:textId="77777777" w:rsidR="001513C2" w:rsidRPr="00A4261C" w:rsidRDefault="001513C2" w:rsidP="001513C2">
            <w:pPr>
              <w:spacing w:line="360" w:lineRule="auto"/>
              <w:jc w:val="both"/>
            </w:pPr>
          </w:p>
        </w:tc>
      </w:tr>
      <w:tr w:rsidR="00BF11B2" w:rsidRPr="00A4261C" w14:paraId="6E31639E" w14:textId="77777777" w:rsidTr="00165C37">
        <w:trPr>
          <w:gridAfter w:val="1"/>
          <w:wAfter w:w="316" w:type="dxa"/>
          <w:trHeight w:val="269"/>
        </w:trPr>
        <w:tc>
          <w:tcPr>
            <w:tcW w:w="1037" w:type="dxa"/>
            <w:tcBorders>
              <w:top w:val="nil"/>
              <w:left w:val="nil"/>
              <w:bottom w:val="single" w:sz="4" w:space="0" w:color="auto"/>
              <w:right w:val="nil"/>
            </w:tcBorders>
            <w:shd w:val="clear" w:color="auto" w:fill="auto"/>
            <w:noWrap/>
            <w:vAlign w:val="bottom"/>
            <w:hideMark/>
          </w:tcPr>
          <w:p w14:paraId="5C91394E" w14:textId="77777777" w:rsidR="001513C2" w:rsidRPr="00A4261C" w:rsidRDefault="001513C2" w:rsidP="001513C2">
            <w:pPr>
              <w:spacing w:line="360" w:lineRule="auto"/>
              <w:jc w:val="both"/>
            </w:pPr>
            <w:r w:rsidRPr="00A4261C">
              <w:t> </w:t>
            </w:r>
          </w:p>
        </w:tc>
        <w:tc>
          <w:tcPr>
            <w:tcW w:w="3832" w:type="dxa"/>
            <w:tcBorders>
              <w:top w:val="nil"/>
              <w:left w:val="nil"/>
              <w:bottom w:val="nil"/>
              <w:right w:val="nil"/>
            </w:tcBorders>
            <w:shd w:val="clear" w:color="auto" w:fill="auto"/>
            <w:noWrap/>
            <w:vAlign w:val="bottom"/>
            <w:hideMark/>
          </w:tcPr>
          <w:p w14:paraId="4A503E80" w14:textId="77777777" w:rsidR="001513C2" w:rsidRPr="00A4261C" w:rsidRDefault="001513C2" w:rsidP="001513C2">
            <w:pPr>
              <w:spacing w:line="360" w:lineRule="auto"/>
              <w:jc w:val="both"/>
            </w:pPr>
            <w:r w:rsidRPr="00A4261C">
              <w:t>Intercept</w:t>
            </w:r>
          </w:p>
        </w:tc>
        <w:tc>
          <w:tcPr>
            <w:tcW w:w="1671" w:type="dxa"/>
            <w:tcBorders>
              <w:top w:val="nil"/>
              <w:left w:val="nil"/>
              <w:bottom w:val="nil"/>
              <w:right w:val="nil"/>
            </w:tcBorders>
            <w:shd w:val="clear" w:color="auto" w:fill="auto"/>
            <w:noWrap/>
            <w:vAlign w:val="bottom"/>
            <w:hideMark/>
          </w:tcPr>
          <w:p w14:paraId="037A9430" w14:textId="4E675EFE" w:rsidR="001513C2" w:rsidRPr="00A4261C" w:rsidRDefault="0015052E" w:rsidP="001513C2">
            <w:pPr>
              <w:spacing w:line="360" w:lineRule="auto"/>
              <w:jc w:val="both"/>
            </w:pPr>
            <w:r>
              <w:t>0.72(.16</w:t>
            </w:r>
            <w:r w:rsidR="001513C2" w:rsidRPr="00A4261C">
              <w:t>)</w:t>
            </w:r>
          </w:p>
        </w:tc>
        <w:tc>
          <w:tcPr>
            <w:tcW w:w="1017" w:type="dxa"/>
            <w:tcBorders>
              <w:top w:val="nil"/>
              <w:left w:val="nil"/>
              <w:bottom w:val="nil"/>
              <w:right w:val="nil"/>
            </w:tcBorders>
            <w:shd w:val="clear" w:color="auto" w:fill="auto"/>
            <w:noWrap/>
            <w:vAlign w:val="bottom"/>
            <w:hideMark/>
          </w:tcPr>
          <w:p w14:paraId="1093A731" w14:textId="77777777" w:rsidR="001513C2" w:rsidRPr="00A4261C" w:rsidRDefault="001513C2" w:rsidP="001513C2">
            <w:pPr>
              <w:spacing w:line="360" w:lineRule="auto"/>
              <w:jc w:val="both"/>
            </w:pPr>
          </w:p>
        </w:tc>
        <w:tc>
          <w:tcPr>
            <w:tcW w:w="1272" w:type="dxa"/>
            <w:tcBorders>
              <w:top w:val="nil"/>
              <w:left w:val="nil"/>
              <w:bottom w:val="nil"/>
              <w:right w:val="nil"/>
            </w:tcBorders>
            <w:shd w:val="clear" w:color="auto" w:fill="auto"/>
            <w:noWrap/>
            <w:vAlign w:val="bottom"/>
            <w:hideMark/>
          </w:tcPr>
          <w:p w14:paraId="0B81CDA8" w14:textId="58097220" w:rsidR="001513C2" w:rsidRPr="00A4261C" w:rsidRDefault="0015052E" w:rsidP="001513C2">
            <w:pPr>
              <w:spacing w:line="360" w:lineRule="auto"/>
              <w:jc w:val="both"/>
            </w:pPr>
            <w:r>
              <w:t>4.42</w:t>
            </w:r>
            <w:r w:rsidR="001513C2" w:rsidRPr="00A4261C">
              <w:t>***</w:t>
            </w:r>
          </w:p>
        </w:tc>
        <w:tc>
          <w:tcPr>
            <w:tcW w:w="681" w:type="dxa"/>
            <w:tcBorders>
              <w:top w:val="nil"/>
              <w:left w:val="nil"/>
              <w:bottom w:val="nil"/>
              <w:right w:val="nil"/>
            </w:tcBorders>
            <w:shd w:val="clear" w:color="auto" w:fill="auto"/>
            <w:noWrap/>
            <w:vAlign w:val="bottom"/>
            <w:hideMark/>
          </w:tcPr>
          <w:p w14:paraId="0DBB6B1E" w14:textId="77777777" w:rsidR="001513C2" w:rsidRPr="00A4261C" w:rsidRDefault="001513C2" w:rsidP="001513C2">
            <w:pPr>
              <w:spacing w:line="360" w:lineRule="auto"/>
              <w:jc w:val="both"/>
            </w:pPr>
          </w:p>
        </w:tc>
        <w:tc>
          <w:tcPr>
            <w:tcW w:w="681" w:type="dxa"/>
            <w:tcBorders>
              <w:top w:val="nil"/>
              <w:left w:val="nil"/>
              <w:bottom w:val="nil"/>
              <w:right w:val="nil"/>
            </w:tcBorders>
            <w:shd w:val="clear" w:color="auto" w:fill="auto"/>
            <w:noWrap/>
            <w:vAlign w:val="bottom"/>
            <w:hideMark/>
          </w:tcPr>
          <w:p w14:paraId="6A092381" w14:textId="77777777" w:rsidR="001513C2" w:rsidRPr="00A4261C" w:rsidRDefault="001513C2" w:rsidP="001513C2">
            <w:pPr>
              <w:spacing w:line="360" w:lineRule="auto"/>
              <w:jc w:val="both"/>
            </w:pPr>
          </w:p>
        </w:tc>
        <w:tc>
          <w:tcPr>
            <w:tcW w:w="1639" w:type="dxa"/>
            <w:tcBorders>
              <w:top w:val="nil"/>
              <w:left w:val="nil"/>
              <w:bottom w:val="nil"/>
              <w:right w:val="nil"/>
            </w:tcBorders>
            <w:shd w:val="clear" w:color="auto" w:fill="auto"/>
            <w:noWrap/>
            <w:vAlign w:val="bottom"/>
            <w:hideMark/>
          </w:tcPr>
          <w:p w14:paraId="7BA4023F" w14:textId="77777777" w:rsidR="001513C2" w:rsidRPr="00A4261C" w:rsidRDefault="001513C2" w:rsidP="001513C2">
            <w:pPr>
              <w:spacing w:line="360" w:lineRule="auto"/>
              <w:jc w:val="both"/>
            </w:pPr>
          </w:p>
        </w:tc>
        <w:tc>
          <w:tcPr>
            <w:tcW w:w="686" w:type="dxa"/>
            <w:tcBorders>
              <w:top w:val="nil"/>
              <w:left w:val="nil"/>
              <w:bottom w:val="nil"/>
              <w:right w:val="nil"/>
            </w:tcBorders>
            <w:shd w:val="clear" w:color="auto" w:fill="auto"/>
            <w:noWrap/>
            <w:vAlign w:val="bottom"/>
            <w:hideMark/>
          </w:tcPr>
          <w:p w14:paraId="5DF72ACA" w14:textId="77777777" w:rsidR="001513C2" w:rsidRPr="00A4261C" w:rsidRDefault="001513C2" w:rsidP="001513C2">
            <w:pPr>
              <w:spacing w:line="360" w:lineRule="auto"/>
              <w:jc w:val="both"/>
            </w:pPr>
          </w:p>
        </w:tc>
      </w:tr>
      <w:tr w:rsidR="00BF11B2" w:rsidRPr="00A4261C" w14:paraId="410D3CB1" w14:textId="77777777" w:rsidTr="00165C37">
        <w:trPr>
          <w:trHeight w:val="269"/>
        </w:trPr>
        <w:tc>
          <w:tcPr>
            <w:tcW w:w="12832" w:type="dxa"/>
            <w:gridSpan w:val="10"/>
            <w:tcBorders>
              <w:top w:val="single" w:sz="4" w:space="0" w:color="auto"/>
              <w:left w:val="nil"/>
              <w:bottom w:val="nil"/>
              <w:right w:val="nil"/>
            </w:tcBorders>
            <w:shd w:val="clear" w:color="000000" w:fill="FFFFFF"/>
            <w:noWrap/>
            <w:vAlign w:val="center"/>
            <w:hideMark/>
          </w:tcPr>
          <w:p w14:paraId="77C7953D" w14:textId="63C6BC89" w:rsidR="001513C2" w:rsidRPr="00A4261C" w:rsidRDefault="00A359C9" w:rsidP="001F6921">
            <w:pPr>
              <w:pStyle w:val="Figurecaption"/>
            </w:pPr>
            <w:r>
              <w:rPr>
                <w:i/>
              </w:rPr>
              <w:t xml:space="preserve">Note: </w:t>
            </w:r>
            <w:r w:rsidR="001513C2" w:rsidRPr="00A4261C">
              <w:t>*</w:t>
            </w:r>
            <w:r w:rsidR="001513C2" w:rsidRPr="00886B56">
              <w:rPr>
                <w:i/>
              </w:rPr>
              <w:t>p</w:t>
            </w:r>
            <w:r w:rsidR="001513C2" w:rsidRPr="00A4261C">
              <w:t xml:space="preserve"> </w:t>
            </w:r>
            <w:r w:rsidR="001513C2" w:rsidRPr="00A4261C">
              <w:rPr>
                <w:u w:val="single"/>
              </w:rPr>
              <w:t>&lt;</w:t>
            </w:r>
            <w:r w:rsidR="001513C2" w:rsidRPr="00A4261C">
              <w:t xml:space="preserve"> .05.</w:t>
            </w:r>
            <w:r w:rsidR="008B4894" w:rsidRPr="00A4261C">
              <w:t xml:space="preserve"> </w:t>
            </w:r>
            <w:r w:rsidR="001513C2" w:rsidRPr="00A4261C">
              <w:t>**</w:t>
            </w:r>
            <w:r w:rsidR="001513C2" w:rsidRPr="00886B56">
              <w:rPr>
                <w:i/>
              </w:rPr>
              <w:t xml:space="preserve">p </w:t>
            </w:r>
            <w:r w:rsidR="001513C2" w:rsidRPr="00A4261C">
              <w:rPr>
                <w:u w:val="single"/>
              </w:rPr>
              <w:t>&lt;</w:t>
            </w:r>
            <w:r w:rsidR="001513C2" w:rsidRPr="00A4261C">
              <w:t xml:space="preserve"> .01.</w:t>
            </w:r>
            <w:r w:rsidR="008B4894" w:rsidRPr="00A4261C">
              <w:t xml:space="preserve"> </w:t>
            </w:r>
            <w:r w:rsidR="001513C2" w:rsidRPr="00A4261C">
              <w:t>***</w:t>
            </w:r>
            <w:r w:rsidR="001513C2" w:rsidRPr="00886B56">
              <w:rPr>
                <w:i/>
              </w:rPr>
              <w:t>p</w:t>
            </w:r>
            <w:r w:rsidR="001513C2" w:rsidRPr="00A4261C">
              <w:t xml:space="preserve"> </w:t>
            </w:r>
            <w:r w:rsidR="001513C2" w:rsidRPr="00A4261C">
              <w:rPr>
                <w:u w:val="single"/>
              </w:rPr>
              <w:t>&lt;</w:t>
            </w:r>
            <w:r w:rsidR="001513C2" w:rsidRPr="00A4261C">
              <w:t xml:space="preserve"> .001.</w:t>
            </w:r>
          </w:p>
          <w:p w14:paraId="3EB53447" w14:textId="77777777" w:rsidR="001513C2" w:rsidRPr="00A4261C" w:rsidRDefault="001513C2" w:rsidP="001513C2">
            <w:pPr>
              <w:spacing w:line="360" w:lineRule="auto"/>
              <w:jc w:val="both"/>
            </w:pPr>
          </w:p>
          <w:p w14:paraId="48A37005" w14:textId="77777777" w:rsidR="001513C2" w:rsidRPr="00A4261C" w:rsidRDefault="001513C2" w:rsidP="001513C2">
            <w:pPr>
              <w:spacing w:line="360" w:lineRule="auto"/>
              <w:jc w:val="both"/>
            </w:pPr>
          </w:p>
        </w:tc>
      </w:tr>
    </w:tbl>
    <w:p w14:paraId="33DE3A14" w14:textId="77777777" w:rsidR="00F95214" w:rsidRPr="00A4261C" w:rsidRDefault="00F95214" w:rsidP="001513C2">
      <w:pPr>
        <w:jc w:val="both"/>
      </w:pPr>
    </w:p>
    <w:p w14:paraId="6F66DAB1" w14:textId="77777777" w:rsidR="00F95214" w:rsidRPr="00A4261C" w:rsidRDefault="00F95214" w:rsidP="001513C2">
      <w:pPr>
        <w:jc w:val="both"/>
      </w:pPr>
    </w:p>
    <w:p w14:paraId="57E0B8CD" w14:textId="77777777" w:rsidR="00F95214" w:rsidRPr="00A4261C" w:rsidRDefault="00F95214" w:rsidP="001513C2">
      <w:pPr>
        <w:jc w:val="both"/>
      </w:pPr>
    </w:p>
    <w:p w14:paraId="631E7E17" w14:textId="77777777" w:rsidR="00F95214" w:rsidRPr="00A4261C" w:rsidRDefault="00F95214" w:rsidP="001513C2">
      <w:pPr>
        <w:jc w:val="both"/>
      </w:pPr>
    </w:p>
    <w:p w14:paraId="23D82E98" w14:textId="77777777" w:rsidR="00F95214" w:rsidRPr="00A4261C" w:rsidRDefault="00F95214" w:rsidP="001513C2">
      <w:pPr>
        <w:jc w:val="both"/>
      </w:pPr>
    </w:p>
    <w:p w14:paraId="378048D2" w14:textId="77777777" w:rsidR="00F95214" w:rsidRPr="00A4261C" w:rsidRDefault="00F95214" w:rsidP="001513C2">
      <w:pPr>
        <w:jc w:val="both"/>
      </w:pPr>
    </w:p>
    <w:p w14:paraId="4F7684B1" w14:textId="77777777" w:rsidR="00F95214" w:rsidRPr="00A4261C" w:rsidRDefault="00F95214" w:rsidP="001513C2">
      <w:pPr>
        <w:jc w:val="both"/>
      </w:pPr>
    </w:p>
    <w:p w14:paraId="10CD636E" w14:textId="77777777" w:rsidR="00F95214" w:rsidRPr="00A4261C" w:rsidRDefault="00F95214" w:rsidP="001513C2">
      <w:pPr>
        <w:jc w:val="both"/>
      </w:pPr>
    </w:p>
    <w:sectPr w:rsidR="00F95214" w:rsidRPr="00A4261C" w:rsidSect="00F250DE">
      <w:pgSz w:w="16817" w:h="11901" w:orient="landscape"/>
      <w:pgMar w:top="950" w:right="1440" w:bottom="1440" w:left="51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3CCEDB" w14:textId="77777777" w:rsidR="00BF577F" w:rsidRDefault="00BF577F" w:rsidP="00F555EC">
      <w:r>
        <w:separator/>
      </w:r>
    </w:p>
  </w:endnote>
  <w:endnote w:type="continuationSeparator" w:id="0">
    <w:p w14:paraId="0DC06285" w14:textId="77777777" w:rsidR="00BF577F" w:rsidRDefault="00BF577F" w:rsidP="00F55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269286" w14:textId="77777777" w:rsidR="00730435" w:rsidRDefault="00730435" w:rsidP="0045749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CFFAC5" w14:textId="77777777" w:rsidR="00730435" w:rsidRDefault="00730435" w:rsidP="001E0B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7223879"/>
      <w:docPartObj>
        <w:docPartGallery w:val="Page Numbers (Bottom of Page)"/>
        <w:docPartUnique/>
      </w:docPartObj>
    </w:sdtPr>
    <w:sdtEndPr>
      <w:rPr>
        <w:noProof/>
      </w:rPr>
    </w:sdtEndPr>
    <w:sdtContent>
      <w:p w14:paraId="3CA05260" w14:textId="23230EDF" w:rsidR="00730435" w:rsidRDefault="00730435">
        <w:pPr>
          <w:pStyle w:val="Footer"/>
          <w:jc w:val="center"/>
        </w:pPr>
        <w:r>
          <w:fldChar w:fldCharType="begin"/>
        </w:r>
        <w:r>
          <w:instrText xml:space="preserve"> PAGE   \* MERGEFORMAT </w:instrText>
        </w:r>
        <w:r>
          <w:fldChar w:fldCharType="separate"/>
        </w:r>
        <w:r w:rsidR="007225A6">
          <w:rPr>
            <w:noProof/>
          </w:rPr>
          <w:t>21</w:t>
        </w:r>
        <w:r>
          <w:rPr>
            <w:noProof/>
          </w:rPr>
          <w:fldChar w:fldCharType="end"/>
        </w:r>
      </w:p>
    </w:sdtContent>
  </w:sdt>
  <w:p w14:paraId="7D982346" w14:textId="77777777" w:rsidR="00730435" w:rsidRDefault="00730435" w:rsidP="001E0B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91E86" w14:textId="77777777" w:rsidR="007225A6" w:rsidRDefault="007225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52951" w14:textId="77777777" w:rsidR="00BF577F" w:rsidRDefault="00BF577F" w:rsidP="00F555EC">
      <w:r>
        <w:separator/>
      </w:r>
    </w:p>
  </w:footnote>
  <w:footnote w:type="continuationSeparator" w:id="0">
    <w:p w14:paraId="20A5D9F9" w14:textId="77777777" w:rsidR="00BF577F" w:rsidRDefault="00BF577F" w:rsidP="00F55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FD742" w14:textId="4D9227BE" w:rsidR="007225A6" w:rsidRDefault="007225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C6EDE8" w14:textId="7B0B717F" w:rsidR="00730435" w:rsidRDefault="00730435" w:rsidP="0038435F">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F9DB9" w14:textId="19AE44CD" w:rsidR="007225A6" w:rsidRDefault="007225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hybridMultilevel"/>
    <w:tmpl w:val="00000001"/>
    <w:lvl w:ilvl="0" w:tplc="00000001">
      <w:start w:val="6"/>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3F46355"/>
    <w:multiLevelType w:val="hybridMultilevel"/>
    <w:tmpl w:val="25EACA04"/>
    <w:lvl w:ilvl="0" w:tplc="561004D8">
      <w:start w:val="3"/>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6506B72"/>
    <w:multiLevelType w:val="hybridMultilevel"/>
    <w:tmpl w:val="57F269A2"/>
    <w:lvl w:ilvl="0" w:tplc="8288086C">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6B03805"/>
    <w:multiLevelType w:val="hybridMultilevel"/>
    <w:tmpl w:val="AB9AE3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54511C6"/>
    <w:multiLevelType w:val="hybridMultilevel"/>
    <w:tmpl w:val="14D80F12"/>
    <w:lvl w:ilvl="0" w:tplc="2FCE6206">
      <w:start w:val="3"/>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2B063C1C"/>
    <w:multiLevelType w:val="hybridMultilevel"/>
    <w:tmpl w:val="10B8A0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7527127"/>
    <w:multiLevelType w:val="hybridMultilevel"/>
    <w:tmpl w:val="5E1A88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40860510"/>
    <w:multiLevelType w:val="hybridMultilevel"/>
    <w:tmpl w:val="DA663EE2"/>
    <w:lvl w:ilvl="0" w:tplc="F3243EB4">
      <w:start w:val="1"/>
      <w:numFmt w:val="bullet"/>
      <w:lvlText w:val="•"/>
      <w:lvlJc w:val="left"/>
      <w:pPr>
        <w:tabs>
          <w:tab w:val="num" w:pos="720"/>
        </w:tabs>
        <w:ind w:left="720" w:hanging="360"/>
      </w:pPr>
      <w:rPr>
        <w:rFonts w:ascii="Arial" w:hAnsi="Arial" w:hint="default"/>
      </w:rPr>
    </w:lvl>
    <w:lvl w:ilvl="1" w:tplc="F2EAC26A" w:tentative="1">
      <w:start w:val="1"/>
      <w:numFmt w:val="bullet"/>
      <w:lvlText w:val="•"/>
      <w:lvlJc w:val="left"/>
      <w:pPr>
        <w:tabs>
          <w:tab w:val="num" w:pos="1440"/>
        </w:tabs>
        <w:ind w:left="1440" w:hanging="360"/>
      </w:pPr>
      <w:rPr>
        <w:rFonts w:ascii="Arial" w:hAnsi="Arial" w:hint="default"/>
      </w:rPr>
    </w:lvl>
    <w:lvl w:ilvl="2" w:tplc="E49CBFAE" w:tentative="1">
      <w:start w:val="1"/>
      <w:numFmt w:val="bullet"/>
      <w:lvlText w:val="•"/>
      <w:lvlJc w:val="left"/>
      <w:pPr>
        <w:tabs>
          <w:tab w:val="num" w:pos="2160"/>
        </w:tabs>
        <w:ind w:left="2160" w:hanging="360"/>
      </w:pPr>
      <w:rPr>
        <w:rFonts w:ascii="Arial" w:hAnsi="Arial" w:hint="default"/>
      </w:rPr>
    </w:lvl>
    <w:lvl w:ilvl="3" w:tplc="2B5A6602" w:tentative="1">
      <w:start w:val="1"/>
      <w:numFmt w:val="bullet"/>
      <w:lvlText w:val="•"/>
      <w:lvlJc w:val="left"/>
      <w:pPr>
        <w:tabs>
          <w:tab w:val="num" w:pos="2880"/>
        </w:tabs>
        <w:ind w:left="2880" w:hanging="360"/>
      </w:pPr>
      <w:rPr>
        <w:rFonts w:ascii="Arial" w:hAnsi="Arial" w:hint="default"/>
      </w:rPr>
    </w:lvl>
    <w:lvl w:ilvl="4" w:tplc="F0964E96" w:tentative="1">
      <w:start w:val="1"/>
      <w:numFmt w:val="bullet"/>
      <w:lvlText w:val="•"/>
      <w:lvlJc w:val="left"/>
      <w:pPr>
        <w:tabs>
          <w:tab w:val="num" w:pos="3600"/>
        </w:tabs>
        <w:ind w:left="3600" w:hanging="360"/>
      </w:pPr>
      <w:rPr>
        <w:rFonts w:ascii="Arial" w:hAnsi="Arial" w:hint="default"/>
      </w:rPr>
    </w:lvl>
    <w:lvl w:ilvl="5" w:tplc="48DED920" w:tentative="1">
      <w:start w:val="1"/>
      <w:numFmt w:val="bullet"/>
      <w:lvlText w:val="•"/>
      <w:lvlJc w:val="left"/>
      <w:pPr>
        <w:tabs>
          <w:tab w:val="num" w:pos="4320"/>
        </w:tabs>
        <w:ind w:left="4320" w:hanging="360"/>
      </w:pPr>
      <w:rPr>
        <w:rFonts w:ascii="Arial" w:hAnsi="Arial" w:hint="default"/>
      </w:rPr>
    </w:lvl>
    <w:lvl w:ilvl="6" w:tplc="5E9C1CF2" w:tentative="1">
      <w:start w:val="1"/>
      <w:numFmt w:val="bullet"/>
      <w:lvlText w:val="•"/>
      <w:lvlJc w:val="left"/>
      <w:pPr>
        <w:tabs>
          <w:tab w:val="num" w:pos="5040"/>
        </w:tabs>
        <w:ind w:left="5040" w:hanging="360"/>
      </w:pPr>
      <w:rPr>
        <w:rFonts w:ascii="Arial" w:hAnsi="Arial" w:hint="default"/>
      </w:rPr>
    </w:lvl>
    <w:lvl w:ilvl="7" w:tplc="EFE6DC96" w:tentative="1">
      <w:start w:val="1"/>
      <w:numFmt w:val="bullet"/>
      <w:lvlText w:val="•"/>
      <w:lvlJc w:val="left"/>
      <w:pPr>
        <w:tabs>
          <w:tab w:val="num" w:pos="5760"/>
        </w:tabs>
        <w:ind w:left="5760" w:hanging="360"/>
      </w:pPr>
      <w:rPr>
        <w:rFonts w:ascii="Arial" w:hAnsi="Arial" w:hint="default"/>
      </w:rPr>
    </w:lvl>
    <w:lvl w:ilvl="8" w:tplc="1DA24CC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44EB1E42"/>
    <w:multiLevelType w:val="hybridMultilevel"/>
    <w:tmpl w:val="C5B2F590"/>
    <w:lvl w:ilvl="0" w:tplc="77A681CA">
      <w:start w:val="1"/>
      <w:numFmt w:val="bullet"/>
      <w:lvlText w:val="-"/>
      <w:lvlJc w:val="left"/>
      <w:pPr>
        <w:ind w:left="1080" w:hanging="360"/>
      </w:pPr>
      <w:rPr>
        <w:rFonts w:ascii="Times New Roman" w:eastAsiaTheme="minorHAnsi" w:hAnsi="Times New Roman"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00B7FE6"/>
    <w:multiLevelType w:val="hybridMultilevel"/>
    <w:tmpl w:val="030E8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DDD290B"/>
    <w:multiLevelType w:val="hybridMultilevel"/>
    <w:tmpl w:val="733AE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7F748F8"/>
    <w:multiLevelType w:val="hybridMultilevel"/>
    <w:tmpl w:val="0FFCB5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8BC0690"/>
    <w:multiLevelType w:val="hybridMultilevel"/>
    <w:tmpl w:val="20A4A5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6"/>
  </w:num>
  <w:num w:numId="2">
    <w:abstractNumId w:val="32"/>
  </w:num>
  <w:num w:numId="3">
    <w:abstractNumId w:val="14"/>
  </w:num>
  <w:num w:numId="4">
    <w:abstractNumId w:val="11"/>
  </w:num>
  <w:num w:numId="5">
    <w:abstractNumId w:val="15"/>
  </w:num>
  <w:num w:numId="6">
    <w:abstractNumId w:val="22"/>
  </w:num>
  <w:num w:numId="7">
    <w:abstractNumId w:val="28"/>
  </w:num>
  <w:num w:numId="8">
    <w:abstractNumId w:val="27"/>
  </w:num>
  <w:num w:numId="9">
    <w:abstractNumId w:val="34"/>
  </w:num>
  <w:num w:numId="10">
    <w:abstractNumId w:val="21"/>
  </w:num>
  <w:num w:numId="11">
    <w:abstractNumId w:val="19"/>
  </w:num>
  <w:num w:numId="12">
    <w:abstractNumId w:val="36"/>
  </w:num>
  <w:num w:numId="13">
    <w:abstractNumId w:val="12"/>
  </w:num>
  <w:num w:numId="14">
    <w:abstractNumId w:val="20"/>
  </w:num>
  <w:num w:numId="15">
    <w:abstractNumId w:val="29"/>
  </w:num>
  <w:num w:numId="16">
    <w:abstractNumId w:val="1"/>
  </w:num>
  <w:num w:numId="17">
    <w:abstractNumId w:val="2"/>
  </w:num>
  <w:num w:numId="18">
    <w:abstractNumId w:val="3"/>
  </w:num>
  <w:num w:numId="19">
    <w:abstractNumId w:val="4"/>
  </w:num>
  <w:num w:numId="20">
    <w:abstractNumId w:val="9"/>
  </w:num>
  <w:num w:numId="21">
    <w:abstractNumId w:val="5"/>
  </w:num>
  <w:num w:numId="22">
    <w:abstractNumId w:val="7"/>
  </w:num>
  <w:num w:numId="23">
    <w:abstractNumId w:val="6"/>
  </w:num>
  <w:num w:numId="24">
    <w:abstractNumId w:val="10"/>
  </w:num>
  <w:num w:numId="25">
    <w:abstractNumId w:val="8"/>
  </w:num>
  <w:num w:numId="26">
    <w:abstractNumId w:val="24"/>
  </w:num>
  <w:num w:numId="27">
    <w:abstractNumId w:val="30"/>
  </w:num>
  <w:num w:numId="28">
    <w:abstractNumId w:val="18"/>
  </w:num>
  <w:num w:numId="29">
    <w:abstractNumId w:val="23"/>
  </w:num>
  <w:num w:numId="30">
    <w:abstractNumId w:val="13"/>
  </w:num>
  <w:num w:numId="31">
    <w:abstractNumId w:val="0"/>
  </w:num>
  <w:num w:numId="32">
    <w:abstractNumId w:val="16"/>
  </w:num>
  <w:num w:numId="33">
    <w:abstractNumId w:val="25"/>
  </w:num>
  <w:num w:numId="34">
    <w:abstractNumId w:val="31"/>
  </w:num>
  <w:num w:numId="35">
    <w:abstractNumId w:val="33"/>
  </w:num>
  <w:num w:numId="36">
    <w:abstractNumId w:val="17"/>
  </w:num>
  <w:num w:numId="37">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proofState w:spelling="clean" w:grammar="clean"/>
  <w:attachedTemplate r:id="rId1"/>
  <w:linkStyle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017"/>
    <w:rsid w:val="0000158C"/>
    <w:rsid w:val="0000274A"/>
    <w:rsid w:val="00002921"/>
    <w:rsid w:val="00002BF0"/>
    <w:rsid w:val="00002F9A"/>
    <w:rsid w:val="00004143"/>
    <w:rsid w:val="0000682F"/>
    <w:rsid w:val="00010C46"/>
    <w:rsid w:val="0001119A"/>
    <w:rsid w:val="0001130F"/>
    <w:rsid w:val="0001172E"/>
    <w:rsid w:val="00012EFF"/>
    <w:rsid w:val="00013E87"/>
    <w:rsid w:val="000144F1"/>
    <w:rsid w:val="00017B23"/>
    <w:rsid w:val="00022188"/>
    <w:rsid w:val="00023749"/>
    <w:rsid w:val="00024C7F"/>
    <w:rsid w:val="00026797"/>
    <w:rsid w:val="00027143"/>
    <w:rsid w:val="000272BF"/>
    <w:rsid w:val="00030F4D"/>
    <w:rsid w:val="00032964"/>
    <w:rsid w:val="00032B15"/>
    <w:rsid w:val="00034144"/>
    <w:rsid w:val="000369F7"/>
    <w:rsid w:val="0003700C"/>
    <w:rsid w:val="000379DC"/>
    <w:rsid w:val="00037BC6"/>
    <w:rsid w:val="0004046F"/>
    <w:rsid w:val="000406BA"/>
    <w:rsid w:val="00041460"/>
    <w:rsid w:val="00041F95"/>
    <w:rsid w:val="0004468C"/>
    <w:rsid w:val="0004698A"/>
    <w:rsid w:val="00051CFB"/>
    <w:rsid w:val="000614CD"/>
    <w:rsid w:val="000626D8"/>
    <w:rsid w:val="00063707"/>
    <w:rsid w:val="00066557"/>
    <w:rsid w:val="00075968"/>
    <w:rsid w:val="00080DDC"/>
    <w:rsid w:val="00081FFB"/>
    <w:rsid w:val="00082C64"/>
    <w:rsid w:val="00086145"/>
    <w:rsid w:val="00087A36"/>
    <w:rsid w:val="00087B38"/>
    <w:rsid w:val="00087D04"/>
    <w:rsid w:val="00090E30"/>
    <w:rsid w:val="00090F38"/>
    <w:rsid w:val="000911A5"/>
    <w:rsid w:val="0009172A"/>
    <w:rsid w:val="00092145"/>
    <w:rsid w:val="00092B94"/>
    <w:rsid w:val="00094487"/>
    <w:rsid w:val="0009555F"/>
    <w:rsid w:val="000A018C"/>
    <w:rsid w:val="000A0D0B"/>
    <w:rsid w:val="000A37AF"/>
    <w:rsid w:val="000A465C"/>
    <w:rsid w:val="000A47C2"/>
    <w:rsid w:val="000A4867"/>
    <w:rsid w:val="000A49D7"/>
    <w:rsid w:val="000A7CDC"/>
    <w:rsid w:val="000B050A"/>
    <w:rsid w:val="000B4A6A"/>
    <w:rsid w:val="000B710F"/>
    <w:rsid w:val="000C1764"/>
    <w:rsid w:val="000C1CA0"/>
    <w:rsid w:val="000C2B2F"/>
    <w:rsid w:val="000C39F1"/>
    <w:rsid w:val="000C43C4"/>
    <w:rsid w:val="000D25AC"/>
    <w:rsid w:val="000D2DB9"/>
    <w:rsid w:val="000D5F81"/>
    <w:rsid w:val="000D76FB"/>
    <w:rsid w:val="000D7FD3"/>
    <w:rsid w:val="000E136D"/>
    <w:rsid w:val="000E25E1"/>
    <w:rsid w:val="000E660A"/>
    <w:rsid w:val="000E7544"/>
    <w:rsid w:val="000F093A"/>
    <w:rsid w:val="000F0CE3"/>
    <w:rsid w:val="000F18A5"/>
    <w:rsid w:val="000F2987"/>
    <w:rsid w:val="000F6010"/>
    <w:rsid w:val="000F6894"/>
    <w:rsid w:val="001010A4"/>
    <w:rsid w:val="001032BF"/>
    <w:rsid w:val="00105BF6"/>
    <w:rsid w:val="0011186B"/>
    <w:rsid w:val="00113C39"/>
    <w:rsid w:val="00114D2F"/>
    <w:rsid w:val="0012134D"/>
    <w:rsid w:val="00121D7F"/>
    <w:rsid w:val="00123370"/>
    <w:rsid w:val="00123824"/>
    <w:rsid w:val="0012404A"/>
    <w:rsid w:val="00124886"/>
    <w:rsid w:val="00126DB1"/>
    <w:rsid w:val="00126F53"/>
    <w:rsid w:val="001372C7"/>
    <w:rsid w:val="001405CB"/>
    <w:rsid w:val="00141CB5"/>
    <w:rsid w:val="00142C4D"/>
    <w:rsid w:val="001434B8"/>
    <w:rsid w:val="0014408E"/>
    <w:rsid w:val="001449A6"/>
    <w:rsid w:val="0014648A"/>
    <w:rsid w:val="00146BA8"/>
    <w:rsid w:val="0015000C"/>
    <w:rsid w:val="0015052E"/>
    <w:rsid w:val="001513C2"/>
    <w:rsid w:val="0015257C"/>
    <w:rsid w:val="001555E8"/>
    <w:rsid w:val="00157D97"/>
    <w:rsid w:val="0016142E"/>
    <w:rsid w:val="00162602"/>
    <w:rsid w:val="00163752"/>
    <w:rsid w:val="001649D8"/>
    <w:rsid w:val="001654C3"/>
    <w:rsid w:val="00165C37"/>
    <w:rsid w:val="00165CED"/>
    <w:rsid w:val="00170C28"/>
    <w:rsid w:val="00171B48"/>
    <w:rsid w:val="00176CC4"/>
    <w:rsid w:val="00180AAE"/>
    <w:rsid w:val="0018248C"/>
    <w:rsid w:val="00183187"/>
    <w:rsid w:val="0018445D"/>
    <w:rsid w:val="001857A5"/>
    <w:rsid w:val="00186122"/>
    <w:rsid w:val="001919AD"/>
    <w:rsid w:val="00191A6F"/>
    <w:rsid w:val="00195738"/>
    <w:rsid w:val="0019605F"/>
    <w:rsid w:val="00197653"/>
    <w:rsid w:val="001A05C9"/>
    <w:rsid w:val="001A2338"/>
    <w:rsid w:val="001A7508"/>
    <w:rsid w:val="001A79E6"/>
    <w:rsid w:val="001B0C05"/>
    <w:rsid w:val="001B1A9C"/>
    <w:rsid w:val="001B2039"/>
    <w:rsid w:val="001B2228"/>
    <w:rsid w:val="001B281F"/>
    <w:rsid w:val="001B3D74"/>
    <w:rsid w:val="001B4849"/>
    <w:rsid w:val="001C45E9"/>
    <w:rsid w:val="001C4BFC"/>
    <w:rsid w:val="001C5D80"/>
    <w:rsid w:val="001C6651"/>
    <w:rsid w:val="001C6B2D"/>
    <w:rsid w:val="001C71BD"/>
    <w:rsid w:val="001D6523"/>
    <w:rsid w:val="001E050C"/>
    <w:rsid w:val="001E0BFC"/>
    <w:rsid w:val="001E2CA7"/>
    <w:rsid w:val="001E433F"/>
    <w:rsid w:val="001E5E24"/>
    <w:rsid w:val="001F086B"/>
    <w:rsid w:val="001F1448"/>
    <w:rsid w:val="001F2C49"/>
    <w:rsid w:val="001F4B74"/>
    <w:rsid w:val="001F6921"/>
    <w:rsid w:val="001F6F50"/>
    <w:rsid w:val="00200E1B"/>
    <w:rsid w:val="002018A5"/>
    <w:rsid w:val="00202979"/>
    <w:rsid w:val="00207CFD"/>
    <w:rsid w:val="00213E60"/>
    <w:rsid w:val="00214A2F"/>
    <w:rsid w:val="00216C1E"/>
    <w:rsid w:val="002231B4"/>
    <w:rsid w:val="00223FDC"/>
    <w:rsid w:val="00226827"/>
    <w:rsid w:val="002302BF"/>
    <w:rsid w:val="002314E5"/>
    <w:rsid w:val="00235CB5"/>
    <w:rsid w:val="00237759"/>
    <w:rsid w:val="00240EB6"/>
    <w:rsid w:val="00241796"/>
    <w:rsid w:val="0024372F"/>
    <w:rsid w:val="00244FF5"/>
    <w:rsid w:val="00250647"/>
    <w:rsid w:val="00251FFA"/>
    <w:rsid w:val="002526DA"/>
    <w:rsid w:val="00252F71"/>
    <w:rsid w:val="00255F30"/>
    <w:rsid w:val="00257ECC"/>
    <w:rsid w:val="002613A3"/>
    <w:rsid w:val="00262994"/>
    <w:rsid w:val="002810E1"/>
    <w:rsid w:val="002814EC"/>
    <w:rsid w:val="0028344B"/>
    <w:rsid w:val="00284284"/>
    <w:rsid w:val="00286297"/>
    <w:rsid w:val="00287B7E"/>
    <w:rsid w:val="0029149C"/>
    <w:rsid w:val="00293AE4"/>
    <w:rsid w:val="00294F3C"/>
    <w:rsid w:val="00296189"/>
    <w:rsid w:val="00296A8D"/>
    <w:rsid w:val="00297EEE"/>
    <w:rsid w:val="002A0546"/>
    <w:rsid w:val="002A0ADF"/>
    <w:rsid w:val="002A7BB2"/>
    <w:rsid w:val="002A7D86"/>
    <w:rsid w:val="002B32FE"/>
    <w:rsid w:val="002B50D5"/>
    <w:rsid w:val="002B5673"/>
    <w:rsid w:val="002C020C"/>
    <w:rsid w:val="002C1D30"/>
    <w:rsid w:val="002C2878"/>
    <w:rsid w:val="002C2AB3"/>
    <w:rsid w:val="002C5103"/>
    <w:rsid w:val="002C585A"/>
    <w:rsid w:val="002C5A57"/>
    <w:rsid w:val="002D1236"/>
    <w:rsid w:val="002D169E"/>
    <w:rsid w:val="002D1806"/>
    <w:rsid w:val="002D1D63"/>
    <w:rsid w:val="002D4763"/>
    <w:rsid w:val="002D4BF9"/>
    <w:rsid w:val="002D5E7C"/>
    <w:rsid w:val="002D62CB"/>
    <w:rsid w:val="002D6F1A"/>
    <w:rsid w:val="002D6F86"/>
    <w:rsid w:val="002D7371"/>
    <w:rsid w:val="002E0468"/>
    <w:rsid w:val="002E0ED2"/>
    <w:rsid w:val="002E594C"/>
    <w:rsid w:val="002E7C79"/>
    <w:rsid w:val="002F0FB3"/>
    <w:rsid w:val="002F2364"/>
    <w:rsid w:val="002F491A"/>
    <w:rsid w:val="002F56C9"/>
    <w:rsid w:val="002F6628"/>
    <w:rsid w:val="002F7DE8"/>
    <w:rsid w:val="00301B51"/>
    <w:rsid w:val="00303A4A"/>
    <w:rsid w:val="003043C2"/>
    <w:rsid w:val="00304E81"/>
    <w:rsid w:val="0030514F"/>
    <w:rsid w:val="00305C97"/>
    <w:rsid w:val="00310B37"/>
    <w:rsid w:val="00310CB0"/>
    <w:rsid w:val="00311895"/>
    <w:rsid w:val="00313446"/>
    <w:rsid w:val="00314F96"/>
    <w:rsid w:val="00316222"/>
    <w:rsid w:val="00316906"/>
    <w:rsid w:val="00320AB3"/>
    <w:rsid w:val="00320E29"/>
    <w:rsid w:val="00321F53"/>
    <w:rsid w:val="00325749"/>
    <w:rsid w:val="00326DFA"/>
    <w:rsid w:val="00330EB8"/>
    <w:rsid w:val="00334092"/>
    <w:rsid w:val="00342417"/>
    <w:rsid w:val="003436D9"/>
    <w:rsid w:val="00346F00"/>
    <w:rsid w:val="00346F5A"/>
    <w:rsid w:val="0034793F"/>
    <w:rsid w:val="00350F80"/>
    <w:rsid w:val="0035228F"/>
    <w:rsid w:val="00355353"/>
    <w:rsid w:val="0035605E"/>
    <w:rsid w:val="00360605"/>
    <w:rsid w:val="003607A2"/>
    <w:rsid w:val="0036208D"/>
    <w:rsid w:val="003659F6"/>
    <w:rsid w:val="003661CD"/>
    <w:rsid w:val="00370F38"/>
    <w:rsid w:val="00370FEA"/>
    <w:rsid w:val="00371DB7"/>
    <w:rsid w:val="00371FE8"/>
    <w:rsid w:val="003751FE"/>
    <w:rsid w:val="003768B0"/>
    <w:rsid w:val="00377270"/>
    <w:rsid w:val="00377676"/>
    <w:rsid w:val="00377CBD"/>
    <w:rsid w:val="00382325"/>
    <w:rsid w:val="00383996"/>
    <w:rsid w:val="0038435F"/>
    <w:rsid w:val="0038446D"/>
    <w:rsid w:val="003846B8"/>
    <w:rsid w:val="003848A3"/>
    <w:rsid w:val="00385154"/>
    <w:rsid w:val="00386DB2"/>
    <w:rsid w:val="00387B1E"/>
    <w:rsid w:val="00390D11"/>
    <w:rsid w:val="00390D9D"/>
    <w:rsid w:val="00392106"/>
    <w:rsid w:val="00392787"/>
    <w:rsid w:val="00393905"/>
    <w:rsid w:val="00394317"/>
    <w:rsid w:val="0039528E"/>
    <w:rsid w:val="003958C5"/>
    <w:rsid w:val="003965BF"/>
    <w:rsid w:val="003A2645"/>
    <w:rsid w:val="003A2BFF"/>
    <w:rsid w:val="003A6BB9"/>
    <w:rsid w:val="003A72C3"/>
    <w:rsid w:val="003A7F16"/>
    <w:rsid w:val="003B2E25"/>
    <w:rsid w:val="003B406F"/>
    <w:rsid w:val="003B7CEE"/>
    <w:rsid w:val="003B7F83"/>
    <w:rsid w:val="003C053E"/>
    <w:rsid w:val="003C09A7"/>
    <w:rsid w:val="003C4794"/>
    <w:rsid w:val="003C4A0F"/>
    <w:rsid w:val="003D2125"/>
    <w:rsid w:val="003D2562"/>
    <w:rsid w:val="003D326A"/>
    <w:rsid w:val="003D520C"/>
    <w:rsid w:val="003E0017"/>
    <w:rsid w:val="003E05F5"/>
    <w:rsid w:val="003E0A06"/>
    <w:rsid w:val="003E27E5"/>
    <w:rsid w:val="003E313C"/>
    <w:rsid w:val="003E4CF6"/>
    <w:rsid w:val="003E6484"/>
    <w:rsid w:val="003E6606"/>
    <w:rsid w:val="0040142F"/>
    <w:rsid w:val="00402492"/>
    <w:rsid w:val="0040583E"/>
    <w:rsid w:val="00407E78"/>
    <w:rsid w:val="0041039C"/>
    <w:rsid w:val="00411813"/>
    <w:rsid w:val="00411E9F"/>
    <w:rsid w:val="0041351A"/>
    <w:rsid w:val="00413532"/>
    <w:rsid w:val="00414CD1"/>
    <w:rsid w:val="004158D0"/>
    <w:rsid w:val="00415ADE"/>
    <w:rsid w:val="00415EB1"/>
    <w:rsid w:val="00422A55"/>
    <w:rsid w:val="00424DE1"/>
    <w:rsid w:val="004265A9"/>
    <w:rsid w:val="00426D11"/>
    <w:rsid w:val="00443234"/>
    <w:rsid w:val="00443B8A"/>
    <w:rsid w:val="00444650"/>
    <w:rsid w:val="00446C78"/>
    <w:rsid w:val="00446ECB"/>
    <w:rsid w:val="00447FFA"/>
    <w:rsid w:val="00451132"/>
    <w:rsid w:val="00457493"/>
    <w:rsid w:val="00461208"/>
    <w:rsid w:val="0046243A"/>
    <w:rsid w:val="00465CC7"/>
    <w:rsid w:val="00465F87"/>
    <w:rsid w:val="004666E9"/>
    <w:rsid w:val="00466CF5"/>
    <w:rsid w:val="004703F1"/>
    <w:rsid w:val="00472E11"/>
    <w:rsid w:val="00473519"/>
    <w:rsid w:val="00473EAA"/>
    <w:rsid w:val="004742B0"/>
    <w:rsid w:val="00475066"/>
    <w:rsid w:val="004868FD"/>
    <w:rsid w:val="0049042F"/>
    <w:rsid w:val="00490AF8"/>
    <w:rsid w:val="00490EFE"/>
    <w:rsid w:val="0049185E"/>
    <w:rsid w:val="004918F0"/>
    <w:rsid w:val="004957A2"/>
    <w:rsid w:val="004A28A1"/>
    <w:rsid w:val="004A2B89"/>
    <w:rsid w:val="004A6526"/>
    <w:rsid w:val="004A7490"/>
    <w:rsid w:val="004B17D0"/>
    <w:rsid w:val="004B20E6"/>
    <w:rsid w:val="004B56A5"/>
    <w:rsid w:val="004B65CF"/>
    <w:rsid w:val="004B6666"/>
    <w:rsid w:val="004B748F"/>
    <w:rsid w:val="004C01E0"/>
    <w:rsid w:val="004C18BC"/>
    <w:rsid w:val="004C2DD9"/>
    <w:rsid w:val="004C3A1A"/>
    <w:rsid w:val="004C6110"/>
    <w:rsid w:val="004C7ED5"/>
    <w:rsid w:val="004C7FEA"/>
    <w:rsid w:val="004D5931"/>
    <w:rsid w:val="004E30B2"/>
    <w:rsid w:val="004E6FCA"/>
    <w:rsid w:val="004F16B3"/>
    <w:rsid w:val="004F1EF4"/>
    <w:rsid w:val="004F3365"/>
    <w:rsid w:val="004F4728"/>
    <w:rsid w:val="004F6336"/>
    <w:rsid w:val="005034B0"/>
    <w:rsid w:val="00507247"/>
    <w:rsid w:val="00507543"/>
    <w:rsid w:val="00511A0A"/>
    <w:rsid w:val="00511A13"/>
    <w:rsid w:val="00515F99"/>
    <w:rsid w:val="00520C19"/>
    <w:rsid w:val="00525CB6"/>
    <w:rsid w:val="0053114C"/>
    <w:rsid w:val="00534A32"/>
    <w:rsid w:val="00536249"/>
    <w:rsid w:val="0053752B"/>
    <w:rsid w:val="00545484"/>
    <w:rsid w:val="00545552"/>
    <w:rsid w:val="0054566E"/>
    <w:rsid w:val="0054659E"/>
    <w:rsid w:val="0054750A"/>
    <w:rsid w:val="005507D0"/>
    <w:rsid w:val="00550D17"/>
    <w:rsid w:val="005538ED"/>
    <w:rsid w:val="00556AA5"/>
    <w:rsid w:val="00556F00"/>
    <w:rsid w:val="00560486"/>
    <w:rsid w:val="0056176E"/>
    <w:rsid w:val="0056188A"/>
    <w:rsid w:val="005623AA"/>
    <w:rsid w:val="00562C59"/>
    <w:rsid w:val="00562F18"/>
    <w:rsid w:val="00563BCA"/>
    <w:rsid w:val="00570E6D"/>
    <w:rsid w:val="00571314"/>
    <w:rsid w:val="0057160A"/>
    <w:rsid w:val="005719A3"/>
    <w:rsid w:val="0057282F"/>
    <w:rsid w:val="005803BB"/>
    <w:rsid w:val="00580527"/>
    <w:rsid w:val="00583D18"/>
    <w:rsid w:val="005842BB"/>
    <w:rsid w:val="00586123"/>
    <w:rsid w:val="00592F1B"/>
    <w:rsid w:val="00595B7E"/>
    <w:rsid w:val="005A1111"/>
    <w:rsid w:val="005B069C"/>
    <w:rsid w:val="005B132A"/>
    <w:rsid w:val="005B48CF"/>
    <w:rsid w:val="005B4F5B"/>
    <w:rsid w:val="005B51B4"/>
    <w:rsid w:val="005B5F0D"/>
    <w:rsid w:val="005B7421"/>
    <w:rsid w:val="005C1833"/>
    <w:rsid w:val="005C3465"/>
    <w:rsid w:val="005C40E6"/>
    <w:rsid w:val="005C6012"/>
    <w:rsid w:val="005C7043"/>
    <w:rsid w:val="005D2A8E"/>
    <w:rsid w:val="005E01AE"/>
    <w:rsid w:val="005E0473"/>
    <w:rsid w:val="005E2C8B"/>
    <w:rsid w:val="005F11BF"/>
    <w:rsid w:val="005F2888"/>
    <w:rsid w:val="005F2B22"/>
    <w:rsid w:val="005F2B4D"/>
    <w:rsid w:val="005F4223"/>
    <w:rsid w:val="005F4DEA"/>
    <w:rsid w:val="005F5295"/>
    <w:rsid w:val="005F7AAC"/>
    <w:rsid w:val="00600930"/>
    <w:rsid w:val="00601AC9"/>
    <w:rsid w:val="00605A11"/>
    <w:rsid w:val="00605FFC"/>
    <w:rsid w:val="00606728"/>
    <w:rsid w:val="006070D7"/>
    <w:rsid w:val="00607814"/>
    <w:rsid w:val="0061190A"/>
    <w:rsid w:val="006130D4"/>
    <w:rsid w:val="00613958"/>
    <w:rsid w:val="00613C42"/>
    <w:rsid w:val="00613C6A"/>
    <w:rsid w:val="0061414A"/>
    <w:rsid w:val="00614EB0"/>
    <w:rsid w:val="00614FD0"/>
    <w:rsid w:val="00615485"/>
    <w:rsid w:val="00616913"/>
    <w:rsid w:val="00624911"/>
    <w:rsid w:val="00625D87"/>
    <w:rsid w:val="00625FCF"/>
    <w:rsid w:val="00632135"/>
    <w:rsid w:val="006347C6"/>
    <w:rsid w:val="00635561"/>
    <w:rsid w:val="00635D74"/>
    <w:rsid w:val="00636DB2"/>
    <w:rsid w:val="006371B8"/>
    <w:rsid w:val="00637BC8"/>
    <w:rsid w:val="006416D5"/>
    <w:rsid w:val="00643215"/>
    <w:rsid w:val="00646C28"/>
    <w:rsid w:val="00647F73"/>
    <w:rsid w:val="006515FB"/>
    <w:rsid w:val="0065437F"/>
    <w:rsid w:val="006547FB"/>
    <w:rsid w:val="006554DB"/>
    <w:rsid w:val="006564B8"/>
    <w:rsid w:val="006606B7"/>
    <w:rsid w:val="006627D9"/>
    <w:rsid w:val="0066380F"/>
    <w:rsid w:val="00663EF7"/>
    <w:rsid w:val="006640B6"/>
    <w:rsid w:val="00665011"/>
    <w:rsid w:val="006651D2"/>
    <w:rsid w:val="006655BC"/>
    <w:rsid w:val="00666F16"/>
    <w:rsid w:val="006717D8"/>
    <w:rsid w:val="006728B6"/>
    <w:rsid w:val="006738A1"/>
    <w:rsid w:val="0067540A"/>
    <w:rsid w:val="006760E2"/>
    <w:rsid w:val="006776CA"/>
    <w:rsid w:val="00680E1F"/>
    <w:rsid w:val="006824D9"/>
    <w:rsid w:val="00683DB7"/>
    <w:rsid w:val="00683EC0"/>
    <w:rsid w:val="00683FBE"/>
    <w:rsid w:val="00684229"/>
    <w:rsid w:val="006845CD"/>
    <w:rsid w:val="006857FA"/>
    <w:rsid w:val="00686834"/>
    <w:rsid w:val="00687A3F"/>
    <w:rsid w:val="00692A0C"/>
    <w:rsid w:val="006933DF"/>
    <w:rsid w:val="00695E22"/>
    <w:rsid w:val="006A456F"/>
    <w:rsid w:val="006A4958"/>
    <w:rsid w:val="006A6EC6"/>
    <w:rsid w:val="006A7128"/>
    <w:rsid w:val="006A722F"/>
    <w:rsid w:val="006A7790"/>
    <w:rsid w:val="006A7D00"/>
    <w:rsid w:val="006A7FFE"/>
    <w:rsid w:val="006B0C3F"/>
    <w:rsid w:val="006B2B08"/>
    <w:rsid w:val="006B493C"/>
    <w:rsid w:val="006B5EB2"/>
    <w:rsid w:val="006B7182"/>
    <w:rsid w:val="006C0438"/>
    <w:rsid w:val="006C17CF"/>
    <w:rsid w:val="006C3254"/>
    <w:rsid w:val="006C3509"/>
    <w:rsid w:val="006C3D48"/>
    <w:rsid w:val="006C50A1"/>
    <w:rsid w:val="006D1CAB"/>
    <w:rsid w:val="006D3977"/>
    <w:rsid w:val="006E00A7"/>
    <w:rsid w:val="006E1161"/>
    <w:rsid w:val="006E18A8"/>
    <w:rsid w:val="006E2494"/>
    <w:rsid w:val="006E31DF"/>
    <w:rsid w:val="006F0A27"/>
    <w:rsid w:val="006F4153"/>
    <w:rsid w:val="006F4704"/>
    <w:rsid w:val="006F629E"/>
    <w:rsid w:val="006F6417"/>
    <w:rsid w:val="006F64AF"/>
    <w:rsid w:val="007014A9"/>
    <w:rsid w:val="007030EA"/>
    <w:rsid w:val="00714C5B"/>
    <w:rsid w:val="00715D32"/>
    <w:rsid w:val="00715F4A"/>
    <w:rsid w:val="00720CF6"/>
    <w:rsid w:val="007225A6"/>
    <w:rsid w:val="00723CCE"/>
    <w:rsid w:val="007245BA"/>
    <w:rsid w:val="007245C1"/>
    <w:rsid w:val="00724945"/>
    <w:rsid w:val="007272FA"/>
    <w:rsid w:val="00730435"/>
    <w:rsid w:val="00730CD3"/>
    <w:rsid w:val="00735F5E"/>
    <w:rsid w:val="00736573"/>
    <w:rsid w:val="00736CBA"/>
    <w:rsid w:val="00737E33"/>
    <w:rsid w:val="00740BF7"/>
    <w:rsid w:val="00741CD7"/>
    <w:rsid w:val="007422F8"/>
    <w:rsid w:val="00743CF9"/>
    <w:rsid w:val="00744F59"/>
    <w:rsid w:val="00745FC4"/>
    <w:rsid w:val="007467F1"/>
    <w:rsid w:val="0076152A"/>
    <w:rsid w:val="00762272"/>
    <w:rsid w:val="00762C18"/>
    <w:rsid w:val="00763CDB"/>
    <w:rsid w:val="00764AC3"/>
    <w:rsid w:val="00765AEA"/>
    <w:rsid w:val="00766794"/>
    <w:rsid w:val="00766C68"/>
    <w:rsid w:val="0077010B"/>
    <w:rsid w:val="0077291A"/>
    <w:rsid w:val="00773416"/>
    <w:rsid w:val="0077356A"/>
    <w:rsid w:val="00774EB1"/>
    <w:rsid w:val="00776E9C"/>
    <w:rsid w:val="00781A28"/>
    <w:rsid w:val="0078203B"/>
    <w:rsid w:val="00782AE5"/>
    <w:rsid w:val="007844B2"/>
    <w:rsid w:val="007873B5"/>
    <w:rsid w:val="007903B2"/>
    <w:rsid w:val="00795532"/>
    <w:rsid w:val="00796104"/>
    <w:rsid w:val="007A0B59"/>
    <w:rsid w:val="007A4077"/>
    <w:rsid w:val="007A798E"/>
    <w:rsid w:val="007C4A6D"/>
    <w:rsid w:val="007C5A3F"/>
    <w:rsid w:val="007D07FB"/>
    <w:rsid w:val="007D0AE9"/>
    <w:rsid w:val="007D0B1F"/>
    <w:rsid w:val="007D6958"/>
    <w:rsid w:val="007E1DD2"/>
    <w:rsid w:val="007E7C65"/>
    <w:rsid w:val="007F0611"/>
    <w:rsid w:val="007F0E8F"/>
    <w:rsid w:val="007F65D8"/>
    <w:rsid w:val="007F6E2B"/>
    <w:rsid w:val="00803E79"/>
    <w:rsid w:val="008114DB"/>
    <w:rsid w:val="00812881"/>
    <w:rsid w:val="008136F0"/>
    <w:rsid w:val="00813E12"/>
    <w:rsid w:val="00813EFA"/>
    <w:rsid w:val="00817554"/>
    <w:rsid w:val="008201CD"/>
    <w:rsid w:val="008202D6"/>
    <w:rsid w:val="00821085"/>
    <w:rsid w:val="00821799"/>
    <w:rsid w:val="008259C2"/>
    <w:rsid w:val="00832604"/>
    <w:rsid w:val="00834054"/>
    <w:rsid w:val="00834257"/>
    <w:rsid w:val="00834A79"/>
    <w:rsid w:val="00836501"/>
    <w:rsid w:val="0084024E"/>
    <w:rsid w:val="00844B51"/>
    <w:rsid w:val="0084643F"/>
    <w:rsid w:val="00851BEB"/>
    <w:rsid w:val="0085353C"/>
    <w:rsid w:val="008552D1"/>
    <w:rsid w:val="008559D7"/>
    <w:rsid w:val="00855DD2"/>
    <w:rsid w:val="00856C79"/>
    <w:rsid w:val="00857B1D"/>
    <w:rsid w:val="0086076D"/>
    <w:rsid w:val="0086275C"/>
    <w:rsid w:val="00863698"/>
    <w:rsid w:val="00864645"/>
    <w:rsid w:val="008649ED"/>
    <w:rsid w:val="00865BC6"/>
    <w:rsid w:val="00866C50"/>
    <w:rsid w:val="00872997"/>
    <w:rsid w:val="008741C9"/>
    <w:rsid w:val="00874E6C"/>
    <w:rsid w:val="00875E86"/>
    <w:rsid w:val="00876070"/>
    <w:rsid w:val="0087676A"/>
    <w:rsid w:val="00876EE1"/>
    <w:rsid w:val="00886B56"/>
    <w:rsid w:val="00886CF9"/>
    <w:rsid w:val="008872D7"/>
    <w:rsid w:val="00894724"/>
    <w:rsid w:val="00894EE6"/>
    <w:rsid w:val="00895446"/>
    <w:rsid w:val="008A4741"/>
    <w:rsid w:val="008A5B53"/>
    <w:rsid w:val="008A6D65"/>
    <w:rsid w:val="008B0872"/>
    <w:rsid w:val="008B1A59"/>
    <w:rsid w:val="008B3201"/>
    <w:rsid w:val="008B4894"/>
    <w:rsid w:val="008B59DD"/>
    <w:rsid w:val="008B5EE2"/>
    <w:rsid w:val="008B681F"/>
    <w:rsid w:val="008B7359"/>
    <w:rsid w:val="008C08B2"/>
    <w:rsid w:val="008C2513"/>
    <w:rsid w:val="008C426A"/>
    <w:rsid w:val="008C7C32"/>
    <w:rsid w:val="008C7C4C"/>
    <w:rsid w:val="008D044F"/>
    <w:rsid w:val="008D1431"/>
    <w:rsid w:val="008D2B59"/>
    <w:rsid w:val="008D33D7"/>
    <w:rsid w:val="008D376B"/>
    <w:rsid w:val="008D3F2A"/>
    <w:rsid w:val="008D552C"/>
    <w:rsid w:val="008D68C6"/>
    <w:rsid w:val="008D71B5"/>
    <w:rsid w:val="008D7258"/>
    <w:rsid w:val="008E112B"/>
    <w:rsid w:val="008E2868"/>
    <w:rsid w:val="008E384A"/>
    <w:rsid w:val="008E5850"/>
    <w:rsid w:val="008E5EDB"/>
    <w:rsid w:val="008F1FB5"/>
    <w:rsid w:val="008F4A9F"/>
    <w:rsid w:val="008F5AA4"/>
    <w:rsid w:val="008F6501"/>
    <w:rsid w:val="009029BD"/>
    <w:rsid w:val="00903DAB"/>
    <w:rsid w:val="00904EB2"/>
    <w:rsid w:val="00905B42"/>
    <w:rsid w:val="00907C5B"/>
    <w:rsid w:val="00910684"/>
    <w:rsid w:val="0091292B"/>
    <w:rsid w:val="00912A0C"/>
    <w:rsid w:val="0091380F"/>
    <w:rsid w:val="00913AAE"/>
    <w:rsid w:val="00916265"/>
    <w:rsid w:val="00917787"/>
    <w:rsid w:val="00921613"/>
    <w:rsid w:val="009237A0"/>
    <w:rsid w:val="009249AE"/>
    <w:rsid w:val="00924C55"/>
    <w:rsid w:val="00925095"/>
    <w:rsid w:val="0093351F"/>
    <w:rsid w:val="00934504"/>
    <w:rsid w:val="0093498E"/>
    <w:rsid w:val="009353A3"/>
    <w:rsid w:val="009422E7"/>
    <w:rsid w:val="0094385B"/>
    <w:rsid w:val="00951D03"/>
    <w:rsid w:val="00952FB6"/>
    <w:rsid w:val="00953402"/>
    <w:rsid w:val="009558B0"/>
    <w:rsid w:val="009569C1"/>
    <w:rsid w:val="009578B3"/>
    <w:rsid w:val="00957E1F"/>
    <w:rsid w:val="00960FD4"/>
    <w:rsid w:val="009635DE"/>
    <w:rsid w:val="009636A1"/>
    <w:rsid w:val="0096397C"/>
    <w:rsid w:val="00966409"/>
    <w:rsid w:val="00966778"/>
    <w:rsid w:val="009678CF"/>
    <w:rsid w:val="00967E3F"/>
    <w:rsid w:val="009703A1"/>
    <w:rsid w:val="009715A9"/>
    <w:rsid w:val="009717D7"/>
    <w:rsid w:val="009803B2"/>
    <w:rsid w:val="009821F4"/>
    <w:rsid w:val="00983345"/>
    <w:rsid w:val="00983D74"/>
    <w:rsid w:val="0098721A"/>
    <w:rsid w:val="00987F3B"/>
    <w:rsid w:val="009900E9"/>
    <w:rsid w:val="00992333"/>
    <w:rsid w:val="00994148"/>
    <w:rsid w:val="009952E8"/>
    <w:rsid w:val="00996286"/>
    <w:rsid w:val="009973C6"/>
    <w:rsid w:val="009A05FD"/>
    <w:rsid w:val="009A0681"/>
    <w:rsid w:val="009A20C6"/>
    <w:rsid w:val="009A2A3F"/>
    <w:rsid w:val="009A373E"/>
    <w:rsid w:val="009A68CE"/>
    <w:rsid w:val="009A7451"/>
    <w:rsid w:val="009B2E7F"/>
    <w:rsid w:val="009B4A1B"/>
    <w:rsid w:val="009B4BCE"/>
    <w:rsid w:val="009B6897"/>
    <w:rsid w:val="009B7CE5"/>
    <w:rsid w:val="009C0F77"/>
    <w:rsid w:val="009C1711"/>
    <w:rsid w:val="009C3A11"/>
    <w:rsid w:val="009C4554"/>
    <w:rsid w:val="009C6882"/>
    <w:rsid w:val="009C7E85"/>
    <w:rsid w:val="009D4244"/>
    <w:rsid w:val="009D513A"/>
    <w:rsid w:val="009D67CD"/>
    <w:rsid w:val="009D7048"/>
    <w:rsid w:val="009E03BD"/>
    <w:rsid w:val="009E110F"/>
    <w:rsid w:val="009E12F7"/>
    <w:rsid w:val="009E2602"/>
    <w:rsid w:val="009E29D5"/>
    <w:rsid w:val="009E35D6"/>
    <w:rsid w:val="009E4DFB"/>
    <w:rsid w:val="009E7174"/>
    <w:rsid w:val="009F04D8"/>
    <w:rsid w:val="009F2E9B"/>
    <w:rsid w:val="009F36EE"/>
    <w:rsid w:val="009F5ABD"/>
    <w:rsid w:val="009F6D6D"/>
    <w:rsid w:val="009F71BE"/>
    <w:rsid w:val="00A04D08"/>
    <w:rsid w:val="00A05457"/>
    <w:rsid w:val="00A10F5F"/>
    <w:rsid w:val="00A11AF2"/>
    <w:rsid w:val="00A12B42"/>
    <w:rsid w:val="00A13654"/>
    <w:rsid w:val="00A14036"/>
    <w:rsid w:val="00A14923"/>
    <w:rsid w:val="00A14FC8"/>
    <w:rsid w:val="00A15664"/>
    <w:rsid w:val="00A15A04"/>
    <w:rsid w:val="00A165D4"/>
    <w:rsid w:val="00A24B9F"/>
    <w:rsid w:val="00A25465"/>
    <w:rsid w:val="00A26122"/>
    <w:rsid w:val="00A301F3"/>
    <w:rsid w:val="00A30579"/>
    <w:rsid w:val="00A334BA"/>
    <w:rsid w:val="00A35396"/>
    <w:rsid w:val="00A359C9"/>
    <w:rsid w:val="00A36058"/>
    <w:rsid w:val="00A4261C"/>
    <w:rsid w:val="00A45047"/>
    <w:rsid w:val="00A4509B"/>
    <w:rsid w:val="00A4579D"/>
    <w:rsid w:val="00A459CE"/>
    <w:rsid w:val="00A4671F"/>
    <w:rsid w:val="00A50996"/>
    <w:rsid w:val="00A51B3B"/>
    <w:rsid w:val="00A524A9"/>
    <w:rsid w:val="00A53B53"/>
    <w:rsid w:val="00A54A30"/>
    <w:rsid w:val="00A5566B"/>
    <w:rsid w:val="00A55F45"/>
    <w:rsid w:val="00A6023D"/>
    <w:rsid w:val="00A634CF"/>
    <w:rsid w:val="00A65417"/>
    <w:rsid w:val="00A675F4"/>
    <w:rsid w:val="00A71589"/>
    <w:rsid w:val="00A72841"/>
    <w:rsid w:val="00A75468"/>
    <w:rsid w:val="00A767AC"/>
    <w:rsid w:val="00A805F4"/>
    <w:rsid w:val="00A812B7"/>
    <w:rsid w:val="00A8177F"/>
    <w:rsid w:val="00A81EFE"/>
    <w:rsid w:val="00A8713F"/>
    <w:rsid w:val="00A87EB6"/>
    <w:rsid w:val="00A90402"/>
    <w:rsid w:val="00A972A8"/>
    <w:rsid w:val="00AA08AE"/>
    <w:rsid w:val="00AA146C"/>
    <w:rsid w:val="00AA33D3"/>
    <w:rsid w:val="00AB1771"/>
    <w:rsid w:val="00AB4E3C"/>
    <w:rsid w:val="00AB5163"/>
    <w:rsid w:val="00AC0738"/>
    <w:rsid w:val="00AC2E43"/>
    <w:rsid w:val="00AC316D"/>
    <w:rsid w:val="00AC34AD"/>
    <w:rsid w:val="00AC3C6A"/>
    <w:rsid w:val="00AC4962"/>
    <w:rsid w:val="00AC5C60"/>
    <w:rsid w:val="00AC60BE"/>
    <w:rsid w:val="00AC6AB5"/>
    <w:rsid w:val="00AC6C72"/>
    <w:rsid w:val="00AC7EF3"/>
    <w:rsid w:val="00AD4D76"/>
    <w:rsid w:val="00AD5082"/>
    <w:rsid w:val="00AD7A50"/>
    <w:rsid w:val="00AE1B11"/>
    <w:rsid w:val="00AE2500"/>
    <w:rsid w:val="00AE453E"/>
    <w:rsid w:val="00AE6BFE"/>
    <w:rsid w:val="00AE7B1E"/>
    <w:rsid w:val="00AF1EDD"/>
    <w:rsid w:val="00AF2590"/>
    <w:rsid w:val="00AF2F92"/>
    <w:rsid w:val="00AF3EFA"/>
    <w:rsid w:val="00AF50CE"/>
    <w:rsid w:val="00AF6379"/>
    <w:rsid w:val="00AF6F98"/>
    <w:rsid w:val="00B030E2"/>
    <w:rsid w:val="00B043BD"/>
    <w:rsid w:val="00B051D9"/>
    <w:rsid w:val="00B06C94"/>
    <w:rsid w:val="00B07D14"/>
    <w:rsid w:val="00B14C5B"/>
    <w:rsid w:val="00B21954"/>
    <w:rsid w:val="00B23D02"/>
    <w:rsid w:val="00B24608"/>
    <w:rsid w:val="00B26E74"/>
    <w:rsid w:val="00B27D89"/>
    <w:rsid w:val="00B30DE6"/>
    <w:rsid w:val="00B30F56"/>
    <w:rsid w:val="00B3154E"/>
    <w:rsid w:val="00B33987"/>
    <w:rsid w:val="00B343BD"/>
    <w:rsid w:val="00B351EB"/>
    <w:rsid w:val="00B355FF"/>
    <w:rsid w:val="00B3687A"/>
    <w:rsid w:val="00B368C0"/>
    <w:rsid w:val="00B36DAA"/>
    <w:rsid w:val="00B37770"/>
    <w:rsid w:val="00B474B1"/>
    <w:rsid w:val="00B47EB5"/>
    <w:rsid w:val="00B56FFB"/>
    <w:rsid w:val="00B60011"/>
    <w:rsid w:val="00B603FC"/>
    <w:rsid w:val="00B608F2"/>
    <w:rsid w:val="00B61F7B"/>
    <w:rsid w:val="00B62360"/>
    <w:rsid w:val="00B6299E"/>
    <w:rsid w:val="00B64751"/>
    <w:rsid w:val="00B667E4"/>
    <w:rsid w:val="00B6726A"/>
    <w:rsid w:val="00B71BAB"/>
    <w:rsid w:val="00B72D41"/>
    <w:rsid w:val="00B734EE"/>
    <w:rsid w:val="00B757C0"/>
    <w:rsid w:val="00B766D8"/>
    <w:rsid w:val="00B76F05"/>
    <w:rsid w:val="00B800B5"/>
    <w:rsid w:val="00B83234"/>
    <w:rsid w:val="00B842F0"/>
    <w:rsid w:val="00B84DCC"/>
    <w:rsid w:val="00B85792"/>
    <w:rsid w:val="00B85E34"/>
    <w:rsid w:val="00B90459"/>
    <w:rsid w:val="00B90814"/>
    <w:rsid w:val="00B92EB3"/>
    <w:rsid w:val="00B94A04"/>
    <w:rsid w:val="00B94AE8"/>
    <w:rsid w:val="00B9680A"/>
    <w:rsid w:val="00B96949"/>
    <w:rsid w:val="00B975EB"/>
    <w:rsid w:val="00BA1DD1"/>
    <w:rsid w:val="00BA28D9"/>
    <w:rsid w:val="00BA2921"/>
    <w:rsid w:val="00BA299F"/>
    <w:rsid w:val="00BA3939"/>
    <w:rsid w:val="00BA41C4"/>
    <w:rsid w:val="00BA4A98"/>
    <w:rsid w:val="00BA7B32"/>
    <w:rsid w:val="00BB0050"/>
    <w:rsid w:val="00BB2E71"/>
    <w:rsid w:val="00BB2E7F"/>
    <w:rsid w:val="00BB329A"/>
    <w:rsid w:val="00BB329F"/>
    <w:rsid w:val="00BB473B"/>
    <w:rsid w:val="00BC117D"/>
    <w:rsid w:val="00BC18B1"/>
    <w:rsid w:val="00BC2CD0"/>
    <w:rsid w:val="00BC5788"/>
    <w:rsid w:val="00BC7BDC"/>
    <w:rsid w:val="00BD1754"/>
    <w:rsid w:val="00BD502B"/>
    <w:rsid w:val="00BE2E45"/>
    <w:rsid w:val="00BE485F"/>
    <w:rsid w:val="00BE65DF"/>
    <w:rsid w:val="00BF11B2"/>
    <w:rsid w:val="00BF37C8"/>
    <w:rsid w:val="00BF4375"/>
    <w:rsid w:val="00BF4DF3"/>
    <w:rsid w:val="00BF53A1"/>
    <w:rsid w:val="00BF577F"/>
    <w:rsid w:val="00C00564"/>
    <w:rsid w:val="00C007BA"/>
    <w:rsid w:val="00C0257B"/>
    <w:rsid w:val="00C02999"/>
    <w:rsid w:val="00C05427"/>
    <w:rsid w:val="00C0606B"/>
    <w:rsid w:val="00C1067A"/>
    <w:rsid w:val="00C10955"/>
    <w:rsid w:val="00C11DEE"/>
    <w:rsid w:val="00C12DBB"/>
    <w:rsid w:val="00C136FF"/>
    <w:rsid w:val="00C216B2"/>
    <w:rsid w:val="00C2417A"/>
    <w:rsid w:val="00C316D4"/>
    <w:rsid w:val="00C32BF1"/>
    <w:rsid w:val="00C32D1F"/>
    <w:rsid w:val="00C33661"/>
    <w:rsid w:val="00C34015"/>
    <w:rsid w:val="00C40268"/>
    <w:rsid w:val="00C4066A"/>
    <w:rsid w:val="00C41315"/>
    <w:rsid w:val="00C429F3"/>
    <w:rsid w:val="00C44F61"/>
    <w:rsid w:val="00C5072B"/>
    <w:rsid w:val="00C5661B"/>
    <w:rsid w:val="00C61957"/>
    <w:rsid w:val="00C63980"/>
    <w:rsid w:val="00C64F28"/>
    <w:rsid w:val="00C66A1F"/>
    <w:rsid w:val="00C66C35"/>
    <w:rsid w:val="00C67E5F"/>
    <w:rsid w:val="00C72848"/>
    <w:rsid w:val="00C75811"/>
    <w:rsid w:val="00C76313"/>
    <w:rsid w:val="00C77400"/>
    <w:rsid w:val="00C77AF7"/>
    <w:rsid w:val="00C77F00"/>
    <w:rsid w:val="00C849D9"/>
    <w:rsid w:val="00C95F28"/>
    <w:rsid w:val="00C97426"/>
    <w:rsid w:val="00C97819"/>
    <w:rsid w:val="00CA1EE0"/>
    <w:rsid w:val="00CA3FF7"/>
    <w:rsid w:val="00CA404F"/>
    <w:rsid w:val="00CA4303"/>
    <w:rsid w:val="00CA71F8"/>
    <w:rsid w:val="00CA77DD"/>
    <w:rsid w:val="00CB265B"/>
    <w:rsid w:val="00CB47F7"/>
    <w:rsid w:val="00CB4DE2"/>
    <w:rsid w:val="00CB6BB3"/>
    <w:rsid w:val="00CB72D3"/>
    <w:rsid w:val="00CB7A5B"/>
    <w:rsid w:val="00CC0B38"/>
    <w:rsid w:val="00CC0C76"/>
    <w:rsid w:val="00CC1F5B"/>
    <w:rsid w:val="00CC29C2"/>
    <w:rsid w:val="00CC59FA"/>
    <w:rsid w:val="00CC61AC"/>
    <w:rsid w:val="00CD07D2"/>
    <w:rsid w:val="00CD1F1E"/>
    <w:rsid w:val="00CD2323"/>
    <w:rsid w:val="00CD275C"/>
    <w:rsid w:val="00CD3192"/>
    <w:rsid w:val="00CD4F2A"/>
    <w:rsid w:val="00CD77FE"/>
    <w:rsid w:val="00CD7C82"/>
    <w:rsid w:val="00CE0176"/>
    <w:rsid w:val="00CE1CB4"/>
    <w:rsid w:val="00CE3EA8"/>
    <w:rsid w:val="00CF0D4B"/>
    <w:rsid w:val="00CF2CEB"/>
    <w:rsid w:val="00CF325D"/>
    <w:rsid w:val="00CF64B0"/>
    <w:rsid w:val="00D001B9"/>
    <w:rsid w:val="00D01F68"/>
    <w:rsid w:val="00D02D1B"/>
    <w:rsid w:val="00D05724"/>
    <w:rsid w:val="00D072D0"/>
    <w:rsid w:val="00D12CD2"/>
    <w:rsid w:val="00D154DE"/>
    <w:rsid w:val="00D200F7"/>
    <w:rsid w:val="00D20406"/>
    <w:rsid w:val="00D26B64"/>
    <w:rsid w:val="00D31F7B"/>
    <w:rsid w:val="00D32906"/>
    <w:rsid w:val="00D3297E"/>
    <w:rsid w:val="00D33648"/>
    <w:rsid w:val="00D363E0"/>
    <w:rsid w:val="00D3645D"/>
    <w:rsid w:val="00D42D94"/>
    <w:rsid w:val="00D42E49"/>
    <w:rsid w:val="00D46F8B"/>
    <w:rsid w:val="00D50406"/>
    <w:rsid w:val="00D50ACF"/>
    <w:rsid w:val="00D51668"/>
    <w:rsid w:val="00D5761C"/>
    <w:rsid w:val="00D632F9"/>
    <w:rsid w:val="00D635C9"/>
    <w:rsid w:val="00D65D28"/>
    <w:rsid w:val="00D65F7D"/>
    <w:rsid w:val="00D66BD2"/>
    <w:rsid w:val="00D679E8"/>
    <w:rsid w:val="00D70113"/>
    <w:rsid w:val="00D724D2"/>
    <w:rsid w:val="00D7365A"/>
    <w:rsid w:val="00D758C4"/>
    <w:rsid w:val="00D806E9"/>
    <w:rsid w:val="00D81677"/>
    <w:rsid w:val="00D82C08"/>
    <w:rsid w:val="00D85785"/>
    <w:rsid w:val="00D91740"/>
    <w:rsid w:val="00D9282A"/>
    <w:rsid w:val="00D9364B"/>
    <w:rsid w:val="00D97B3B"/>
    <w:rsid w:val="00DA0421"/>
    <w:rsid w:val="00DA05A4"/>
    <w:rsid w:val="00DA0728"/>
    <w:rsid w:val="00DA298F"/>
    <w:rsid w:val="00DA65D4"/>
    <w:rsid w:val="00DB2A4F"/>
    <w:rsid w:val="00DB3ECE"/>
    <w:rsid w:val="00DB3F67"/>
    <w:rsid w:val="00DB6DBF"/>
    <w:rsid w:val="00DB798B"/>
    <w:rsid w:val="00DC1870"/>
    <w:rsid w:val="00DC3858"/>
    <w:rsid w:val="00DC3DC3"/>
    <w:rsid w:val="00DC4906"/>
    <w:rsid w:val="00DC64C3"/>
    <w:rsid w:val="00DD18DC"/>
    <w:rsid w:val="00DD1DA7"/>
    <w:rsid w:val="00DD2CEE"/>
    <w:rsid w:val="00DE00D9"/>
    <w:rsid w:val="00DE1593"/>
    <w:rsid w:val="00DE2405"/>
    <w:rsid w:val="00DE3727"/>
    <w:rsid w:val="00DE4F5C"/>
    <w:rsid w:val="00DE5B13"/>
    <w:rsid w:val="00DE7DFE"/>
    <w:rsid w:val="00DF3691"/>
    <w:rsid w:val="00DF41FB"/>
    <w:rsid w:val="00DF7339"/>
    <w:rsid w:val="00DF7DC8"/>
    <w:rsid w:val="00E00862"/>
    <w:rsid w:val="00E01142"/>
    <w:rsid w:val="00E04D5D"/>
    <w:rsid w:val="00E11E7B"/>
    <w:rsid w:val="00E11EA5"/>
    <w:rsid w:val="00E132B5"/>
    <w:rsid w:val="00E1339B"/>
    <w:rsid w:val="00E17ACF"/>
    <w:rsid w:val="00E17B96"/>
    <w:rsid w:val="00E22395"/>
    <w:rsid w:val="00E22FC1"/>
    <w:rsid w:val="00E24D68"/>
    <w:rsid w:val="00E26AE0"/>
    <w:rsid w:val="00E31454"/>
    <w:rsid w:val="00E32A6B"/>
    <w:rsid w:val="00E33B9C"/>
    <w:rsid w:val="00E36CA2"/>
    <w:rsid w:val="00E36E84"/>
    <w:rsid w:val="00E375EF"/>
    <w:rsid w:val="00E444CD"/>
    <w:rsid w:val="00E47433"/>
    <w:rsid w:val="00E530EC"/>
    <w:rsid w:val="00E55DB0"/>
    <w:rsid w:val="00E56C92"/>
    <w:rsid w:val="00E66400"/>
    <w:rsid w:val="00E66C73"/>
    <w:rsid w:val="00E67161"/>
    <w:rsid w:val="00E700B6"/>
    <w:rsid w:val="00E739C2"/>
    <w:rsid w:val="00E756DD"/>
    <w:rsid w:val="00E75B79"/>
    <w:rsid w:val="00E80678"/>
    <w:rsid w:val="00E80CCB"/>
    <w:rsid w:val="00E81810"/>
    <w:rsid w:val="00E819D0"/>
    <w:rsid w:val="00E87618"/>
    <w:rsid w:val="00E87D50"/>
    <w:rsid w:val="00E916CD"/>
    <w:rsid w:val="00E94CAD"/>
    <w:rsid w:val="00E97AB3"/>
    <w:rsid w:val="00EB30AC"/>
    <w:rsid w:val="00EB41CC"/>
    <w:rsid w:val="00EB5E75"/>
    <w:rsid w:val="00EB6EE5"/>
    <w:rsid w:val="00EB763E"/>
    <w:rsid w:val="00EC1E5A"/>
    <w:rsid w:val="00EC44C4"/>
    <w:rsid w:val="00EC48BC"/>
    <w:rsid w:val="00EC4BCC"/>
    <w:rsid w:val="00EC5187"/>
    <w:rsid w:val="00EC5AA5"/>
    <w:rsid w:val="00EC6291"/>
    <w:rsid w:val="00ED591B"/>
    <w:rsid w:val="00ED6F9D"/>
    <w:rsid w:val="00EE1AEE"/>
    <w:rsid w:val="00EE2CBE"/>
    <w:rsid w:val="00EE7511"/>
    <w:rsid w:val="00EF1484"/>
    <w:rsid w:val="00EF15DE"/>
    <w:rsid w:val="00EF1C16"/>
    <w:rsid w:val="00EF2D09"/>
    <w:rsid w:val="00EF3D30"/>
    <w:rsid w:val="00EF555C"/>
    <w:rsid w:val="00EF5A66"/>
    <w:rsid w:val="00F00784"/>
    <w:rsid w:val="00F009A4"/>
    <w:rsid w:val="00F0163B"/>
    <w:rsid w:val="00F01FBB"/>
    <w:rsid w:val="00F05539"/>
    <w:rsid w:val="00F055C4"/>
    <w:rsid w:val="00F10CDB"/>
    <w:rsid w:val="00F133FC"/>
    <w:rsid w:val="00F15F73"/>
    <w:rsid w:val="00F16815"/>
    <w:rsid w:val="00F203BD"/>
    <w:rsid w:val="00F210E9"/>
    <w:rsid w:val="00F226BF"/>
    <w:rsid w:val="00F22731"/>
    <w:rsid w:val="00F22A66"/>
    <w:rsid w:val="00F242D6"/>
    <w:rsid w:val="00F243CB"/>
    <w:rsid w:val="00F250DE"/>
    <w:rsid w:val="00F323E8"/>
    <w:rsid w:val="00F32E9E"/>
    <w:rsid w:val="00F32EBB"/>
    <w:rsid w:val="00F36295"/>
    <w:rsid w:val="00F372E5"/>
    <w:rsid w:val="00F40CA5"/>
    <w:rsid w:val="00F42C30"/>
    <w:rsid w:val="00F43767"/>
    <w:rsid w:val="00F43F5F"/>
    <w:rsid w:val="00F4492A"/>
    <w:rsid w:val="00F50BF7"/>
    <w:rsid w:val="00F51E2A"/>
    <w:rsid w:val="00F5413C"/>
    <w:rsid w:val="00F555EC"/>
    <w:rsid w:val="00F55A63"/>
    <w:rsid w:val="00F55D22"/>
    <w:rsid w:val="00F55FE8"/>
    <w:rsid w:val="00F56388"/>
    <w:rsid w:val="00F627F0"/>
    <w:rsid w:val="00F64A78"/>
    <w:rsid w:val="00F650DE"/>
    <w:rsid w:val="00F66313"/>
    <w:rsid w:val="00F73DD1"/>
    <w:rsid w:val="00F76A57"/>
    <w:rsid w:val="00F77C56"/>
    <w:rsid w:val="00F83F87"/>
    <w:rsid w:val="00F8483E"/>
    <w:rsid w:val="00F8494C"/>
    <w:rsid w:val="00F85B4F"/>
    <w:rsid w:val="00F85F7C"/>
    <w:rsid w:val="00F86182"/>
    <w:rsid w:val="00F90D9E"/>
    <w:rsid w:val="00F9132B"/>
    <w:rsid w:val="00F93C7D"/>
    <w:rsid w:val="00F9425A"/>
    <w:rsid w:val="00F95214"/>
    <w:rsid w:val="00F96094"/>
    <w:rsid w:val="00FA206D"/>
    <w:rsid w:val="00FA2C8C"/>
    <w:rsid w:val="00FA6EF7"/>
    <w:rsid w:val="00FB14FF"/>
    <w:rsid w:val="00FB3CE2"/>
    <w:rsid w:val="00FB5D63"/>
    <w:rsid w:val="00FB66E0"/>
    <w:rsid w:val="00FB7CAD"/>
    <w:rsid w:val="00FC24FD"/>
    <w:rsid w:val="00FC2A5E"/>
    <w:rsid w:val="00FC3FC9"/>
    <w:rsid w:val="00FC5646"/>
    <w:rsid w:val="00FD079B"/>
    <w:rsid w:val="00FD0DCB"/>
    <w:rsid w:val="00FD0EC6"/>
    <w:rsid w:val="00FE1E79"/>
    <w:rsid w:val="00FE37AD"/>
    <w:rsid w:val="00FF1D74"/>
    <w:rsid w:val="00FF2074"/>
    <w:rsid w:val="00FF4078"/>
    <w:rsid w:val="00FF4889"/>
    <w:rsid w:val="00FF5AC4"/>
    <w:rsid w:val="00FF6D1A"/>
    <w:rsid w:val="00FF7A20"/>
    <w:rsid w:val="00FF7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E246A6"/>
  <w15:chartTrackingRefBased/>
  <w15:docId w15:val="{D0E76E1A-3551-E749-9C0E-6AC739718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3EFA"/>
    <w:pPr>
      <w:spacing w:line="480" w:lineRule="auto"/>
    </w:pPr>
    <w:rPr>
      <w:rFonts w:ascii="Times New Roman" w:eastAsia="Times New Roman" w:hAnsi="Times New Roman" w:cs="Times New Roman"/>
      <w:lang w:eastAsia="en-GB"/>
    </w:rPr>
  </w:style>
  <w:style w:type="paragraph" w:styleId="Heading1">
    <w:name w:val="heading 1"/>
    <w:basedOn w:val="Normal"/>
    <w:next w:val="Paragraph"/>
    <w:link w:val="Heading1Char"/>
    <w:qFormat/>
    <w:rsid w:val="00AF3EFA"/>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AF3EFA"/>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AF3EFA"/>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AF3EFA"/>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3">
    <w:name w:val="toc 3"/>
    <w:basedOn w:val="Normal"/>
    <w:next w:val="Normal"/>
    <w:autoRedefine/>
    <w:uiPriority w:val="39"/>
    <w:qFormat/>
    <w:rsid w:val="004957A2"/>
    <w:pPr>
      <w:ind w:left="480"/>
    </w:pPr>
    <w:rPr>
      <w:rFonts w:eastAsia="Calibri"/>
      <w:i/>
      <w:sz w:val="22"/>
      <w:szCs w:val="22"/>
      <w:lang w:eastAsia="en-US"/>
    </w:rPr>
  </w:style>
  <w:style w:type="character" w:customStyle="1" w:styleId="Heading1Char">
    <w:name w:val="Heading 1 Char"/>
    <w:basedOn w:val="DefaultParagraphFont"/>
    <w:link w:val="Heading1"/>
    <w:rsid w:val="00AF3EFA"/>
    <w:rPr>
      <w:rFonts w:ascii="Times New Roman" w:eastAsia="Times New Roman" w:hAnsi="Times New Roman" w:cs="Arial"/>
      <w:b/>
      <w:bCs/>
      <w:kern w:val="32"/>
      <w:szCs w:val="32"/>
      <w:lang w:eastAsia="en-GB"/>
    </w:rPr>
  </w:style>
  <w:style w:type="paragraph" w:styleId="ListParagraph">
    <w:name w:val="List Paragraph"/>
    <w:basedOn w:val="Normal"/>
    <w:uiPriority w:val="34"/>
    <w:qFormat/>
    <w:rsid w:val="001B0C05"/>
    <w:pPr>
      <w:ind w:left="720"/>
      <w:contextualSpacing/>
    </w:pPr>
    <w:rPr>
      <w:rFonts w:asciiTheme="minorHAnsi" w:hAnsiTheme="minorHAnsi" w:cstheme="minorBidi"/>
      <w:lang w:eastAsia="en-US"/>
    </w:rPr>
  </w:style>
  <w:style w:type="character" w:customStyle="1" w:styleId="Heading2Char">
    <w:name w:val="Heading 2 Char"/>
    <w:basedOn w:val="DefaultParagraphFont"/>
    <w:link w:val="Heading2"/>
    <w:rsid w:val="00AF3EFA"/>
    <w:rPr>
      <w:rFonts w:ascii="Times New Roman" w:eastAsia="Times New Roman" w:hAnsi="Times New Roman" w:cs="Arial"/>
      <w:b/>
      <w:bCs/>
      <w:i/>
      <w:iCs/>
      <w:szCs w:val="28"/>
      <w:lang w:eastAsia="en-GB"/>
    </w:rPr>
  </w:style>
  <w:style w:type="character" w:styleId="CommentReference">
    <w:name w:val="annotation reference"/>
    <w:basedOn w:val="DefaultParagraphFont"/>
    <w:uiPriority w:val="99"/>
    <w:semiHidden/>
    <w:unhideWhenUsed/>
    <w:rsid w:val="008A6D65"/>
    <w:rPr>
      <w:sz w:val="18"/>
      <w:szCs w:val="18"/>
    </w:rPr>
  </w:style>
  <w:style w:type="paragraph" w:styleId="CommentText">
    <w:name w:val="annotation text"/>
    <w:basedOn w:val="Normal"/>
    <w:link w:val="CommentTextChar"/>
    <w:uiPriority w:val="99"/>
    <w:semiHidden/>
    <w:unhideWhenUsed/>
    <w:rsid w:val="008A6D65"/>
    <w:rPr>
      <w:rFonts w:asciiTheme="minorHAnsi" w:hAnsiTheme="minorHAnsi" w:cstheme="minorBidi"/>
      <w:lang w:eastAsia="en-US"/>
    </w:rPr>
  </w:style>
  <w:style w:type="character" w:customStyle="1" w:styleId="CommentTextChar">
    <w:name w:val="Comment Text Char"/>
    <w:basedOn w:val="DefaultParagraphFont"/>
    <w:link w:val="CommentText"/>
    <w:uiPriority w:val="99"/>
    <w:semiHidden/>
    <w:rsid w:val="008A6D65"/>
  </w:style>
  <w:style w:type="paragraph" w:styleId="CommentSubject">
    <w:name w:val="annotation subject"/>
    <w:basedOn w:val="CommentText"/>
    <w:next w:val="CommentText"/>
    <w:link w:val="CommentSubjectChar"/>
    <w:uiPriority w:val="99"/>
    <w:semiHidden/>
    <w:unhideWhenUsed/>
    <w:rsid w:val="008A6D65"/>
    <w:rPr>
      <w:b/>
      <w:bCs/>
      <w:sz w:val="20"/>
      <w:szCs w:val="20"/>
    </w:rPr>
  </w:style>
  <w:style w:type="character" w:customStyle="1" w:styleId="CommentSubjectChar">
    <w:name w:val="Comment Subject Char"/>
    <w:basedOn w:val="CommentTextChar"/>
    <w:link w:val="CommentSubject"/>
    <w:uiPriority w:val="99"/>
    <w:semiHidden/>
    <w:rsid w:val="008A6D65"/>
    <w:rPr>
      <w:b/>
      <w:bCs/>
      <w:sz w:val="20"/>
      <w:szCs w:val="20"/>
    </w:rPr>
  </w:style>
  <w:style w:type="paragraph" w:styleId="BalloonText">
    <w:name w:val="Balloon Text"/>
    <w:basedOn w:val="Normal"/>
    <w:link w:val="BalloonTextChar"/>
    <w:uiPriority w:val="99"/>
    <w:semiHidden/>
    <w:unhideWhenUsed/>
    <w:rsid w:val="008A6D65"/>
    <w:rPr>
      <w:sz w:val="18"/>
      <w:szCs w:val="18"/>
      <w:lang w:eastAsia="en-US"/>
    </w:rPr>
  </w:style>
  <w:style w:type="character" w:customStyle="1" w:styleId="BalloonTextChar">
    <w:name w:val="Balloon Text Char"/>
    <w:basedOn w:val="DefaultParagraphFont"/>
    <w:link w:val="BalloonText"/>
    <w:uiPriority w:val="99"/>
    <w:semiHidden/>
    <w:rsid w:val="008A6D65"/>
    <w:rPr>
      <w:rFonts w:ascii="Times New Roman" w:hAnsi="Times New Roman" w:cs="Times New Roman"/>
      <w:sz w:val="18"/>
      <w:szCs w:val="18"/>
    </w:rPr>
  </w:style>
  <w:style w:type="paragraph" w:styleId="Footer">
    <w:name w:val="footer"/>
    <w:basedOn w:val="Normal"/>
    <w:link w:val="FooterChar"/>
    <w:rsid w:val="00AF3EFA"/>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F3EFA"/>
    <w:rPr>
      <w:rFonts w:ascii="Times New Roman" w:eastAsia="Times New Roman" w:hAnsi="Times New Roman" w:cs="Times New Roman"/>
      <w:lang w:eastAsia="en-GB"/>
    </w:rPr>
  </w:style>
  <w:style w:type="character" w:styleId="PageNumber">
    <w:name w:val="page number"/>
    <w:basedOn w:val="DefaultParagraphFont"/>
    <w:uiPriority w:val="99"/>
    <w:semiHidden/>
    <w:unhideWhenUsed/>
    <w:rsid w:val="00F555EC"/>
  </w:style>
  <w:style w:type="character" w:customStyle="1" w:styleId="apple-converted-space">
    <w:name w:val="apple-converted-space"/>
    <w:basedOn w:val="DefaultParagraphFont"/>
    <w:rsid w:val="00B83234"/>
  </w:style>
  <w:style w:type="paragraph" w:styleId="Revision">
    <w:name w:val="Revision"/>
    <w:hidden/>
    <w:uiPriority w:val="99"/>
    <w:semiHidden/>
    <w:rsid w:val="005F11BF"/>
    <w:rPr>
      <w:rFonts w:ascii="Times New Roman" w:hAnsi="Times New Roman" w:cs="Times New Roman"/>
      <w:lang w:eastAsia="en-GB"/>
    </w:rPr>
  </w:style>
  <w:style w:type="character" w:styleId="Hyperlink">
    <w:name w:val="Hyperlink"/>
    <w:basedOn w:val="DefaultParagraphFont"/>
    <w:uiPriority w:val="99"/>
    <w:unhideWhenUsed/>
    <w:rsid w:val="00414CD1"/>
    <w:rPr>
      <w:color w:val="0000FF"/>
      <w:u w:val="single"/>
    </w:rPr>
  </w:style>
  <w:style w:type="character" w:customStyle="1" w:styleId="nlmyear">
    <w:name w:val="nlm_year"/>
    <w:basedOn w:val="DefaultParagraphFont"/>
    <w:rsid w:val="00414CD1"/>
  </w:style>
  <w:style w:type="character" w:customStyle="1" w:styleId="nlmarticle-title">
    <w:name w:val="nlm_article-title"/>
    <w:basedOn w:val="DefaultParagraphFont"/>
    <w:rsid w:val="00414CD1"/>
  </w:style>
  <w:style w:type="character" w:customStyle="1" w:styleId="article-headermeta-info-label">
    <w:name w:val="article-header__meta-info-label"/>
    <w:basedOn w:val="DefaultParagraphFont"/>
    <w:rsid w:val="00414CD1"/>
  </w:style>
  <w:style w:type="character" w:customStyle="1" w:styleId="article-headermeta-info-data">
    <w:name w:val="article-header__meta-info-data"/>
    <w:basedOn w:val="DefaultParagraphFont"/>
    <w:rsid w:val="00414CD1"/>
  </w:style>
  <w:style w:type="character" w:customStyle="1" w:styleId="nlmpublisher-loc">
    <w:name w:val="nlm_publisher-loc"/>
    <w:basedOn w:val="DefaultParagraphFont"/>
    <w:rsid w:val="00414CD1"/>
  </w:style>
  <w:style w:type="character" w:customStyle="1" w:styleId="nlmpublisher-name">
    <w:name w:val="nlm_publisher-name"/>
    <w:basedOn w:val="DefaultParagraphFont"/>
    <w:rsid w:val="00414CD1"/>
  </w:style>
  <w:style w:type="character" w:customStyle="1" w:styleId="nlmdate-in-citation">
    <w:name w:val="nlm_date-in-citation"/>
    <w:basedOn w:val="DefaultParagraphFont"/>
    <w:rsid w:val="00414CD1"/>
  </w:style>
  <w:style w:type="paragraph" w:styleId="Header">
    <w:name w:val="header"/>
    <w:basedOn w:val="Normal"/>
    <w:link w:val="HeaderChar"/>
    <w:rsid w:val="00AF3EF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AF3EFA"/>
    <w:rPr>
      <w:rFonts w:ascii="Times New Roman" w:eastAsia="Times New Roman" w:hAnsi="Times New Roman" w:cs="Times New Roman"/>
      <w:lang w:eastAsia="en-GB"/>
    </w:rPr>
  </w:style>
  <w:style w:type="character" w:customStyle="1" w:styleId="Heading3Char">
    <w:name w:val="Heading 3 Char"/>
    <w:basedOn w:val="DefaultParagraphFont"/>
    <w:link w:val="Heading3"/>
    <w:rsid w:val="00AF3EFA"/>
    <w:rPr>
      <w:rFonts w:ascii="Times New Roman" w:eastAsia="Times New Roman" w:hAnsi="Times New Roman" w:cs="Arial"/>
      <w:bCs/>
      <w:i/>
      <w:szCs w:val="26"/>
      <w:lang w:eastAsia="en-GB"/>
    </w:rPr>
  </w:style>
  <w:style w:type="character" w:customStyle="1" w:styleId="Heading4Char">
    <w:name w:val="Heading 4 Char"/>
    <w:basedOn w:val="DefaultParagraphFont"/>
    <w:link w:val="Heading4"/>
    <w:rsid w:val="00AF3EFA"/>
    <w:rPr>
      <w:rFonts w:ascii="Times New Roman" w:eastAsia="Times New Roman" w:hAnsi="Times New Roman" w:cs="Times New Roman"/>
      <w:bCs/>
      <w:szCs w:val="28"/>
      <w:lang w:eastAsia="en-GB"/>
    </w:rPr>
  </w:style>
  <w:style w:type="paragraph" w:customStyle="1" w:styleId="Articletitle">
    <w:name w:val="Article title"/>
    <w:basedOn w:val="Normal"/>
    <w:next w:val="Normal"/>
    <w:qFormat/>
    <w:rsid w:val="00AF3EFA"/>
    <w:pPr>
      <w:spacing w:after="120" w:line="360" w:lineRule="auto"/>
    </w:pPr>
    <w:rPr>
      <w:b/>
      <w:sz w:val="28"/>
    </w:rPr>
  </w:style>
  <w:style w:type="paragraph" w:customStyle="1" w:styleId="Authornames">
    <w:name w:val="Author names"/>
    <w:basedOn w:val="Normal"/>
    <w:next w:val="Normal"/>
    <w:qFormat/>
    <w:rsid w:val="00AF3EFA"/>
    <w:pPr>
      <w:spacing w:before="240" w:line="360" w:lineRule="auto"/>
    </w:pPr>
    <w:rPr>
      <w:sz w:val="28"/>
    </w:rPr>
  </w:style>
  <w:style w:type="paragraph" w:customStyle="1" w:styleId="Affiliation">
    <w:name w:val="Affiliation"/>
    <w:basedOn w:val="Normal"/>
    <w:qFormat/>
    <w:rsid w:val="00AF3EFA"/>
    <w:pPr>
      <w:spacing w:before="240" w:line="360" w:lineRule="auto"/>
    </w:pPr>
    <w:rPr>
      <w:i/>
    </w:rPr>
  </w:style>
  <w:style w:type="paragraph" w:customStyle="1" w:styleId="Receiveddates">
    <w:name w:val="Received dates"/>
    <w:basedOn w:val="Affiliation"/>
    <w:next w:val="Normal"/>
    <w:qFormat/>
    <w:rsid w:val="00AF3EFA"/>
  </w:style>
  <w:style w:type="paragraph" w:customStyle="1" w:styleId="Abstract">
    <w:name w:val="Abstract"/>
    <w:basedOn w:val="Normal"/>
    <w:next w:val="Keywords"/>
    <w:qFormat/>
    <w:rsid w:val="00AF3EFA"/>
    <w:pPr>
      <w:spacing w:before="360" w:after="300" w:line="360" w:lineRule="auto"/>
      <w:ind w:left="720" w:right="567"/>
    </w:pPr>
    <w:rPr>
      <w:sz w:val="22"/>
    </w:rPr>
  </w:style>
  <w:style w:type="paragraph" w:customStyle="1" w:styleId="Keywords">
    <w:name w:val="Keywords"/>
    <w:basedOn w:val="Normal"/>
    <w:next w:val="Paragraph"/>
    <w:qFormat/>
    <w:rsid w:val="00AF3EFA"/>
    <w:pPr>
      <w:spacing w:before="240" w:after="240" w:line="360" w:lineRule="auto"/>
      <w:ind w:left="720" w:right="567"/>
    </w:pPr>
    <w:rPr>
      <w:sz w:val="22"/>
    </w:rPr>
  </w:style>
  <w:style w:type="paragraph" w:customStyle="1" w:styleId="Correspondencedetails">
    <w:name w:val="Correspondence details"/>
    <w:basedOn w:val="Normal"/>
    <w:qFormat/>
    <w:rsid w:val="00AF3EFA"/>
    <w:pPr>
      <w:spacing w:before="240" w:line="360" w:lineRule="auto"/>
    </w:pPr>
  </w:style>
  <w:style w:type="paragraph" w:customStyle="1" w:styleId="Displayedquotation">
    <w:name w:val="Displayed quotation"/>
    <w:basedOn w:val="Normal"/>
    <w:qFormat/>
    <w:rsid w:val="00AF3EFA"/>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AF3EFA"/>
    <w:pPr>
      <w:widowControl/>
      <w:numPr>
        <w:numId w:val="26"/>
      </w:numPr>
      <w:spacing w:after="240"/>
      <w:contextualSpacing/>
    </w:pPr>
  </w:style>
  <w:style w:type="paragraph" w:customStyle="1" w:styleId="Displayedequation">
    <w:name w:val="Displayed equation"/>
    <w:basedOn w:val="Normal"/>
    <w:next w:val="Paragraph"/>
    <w:qFormat/>
    <w:rsid w:val="00AF3EFA"/>
    <w:pPr>
      <w:tabs>
        <w:tab w:val="center" w:pos="4253"/>
        <w:tab w:val="right" w:pos="8222"/>
      </w:tabs>
      <w:spacing w:before="240" w:after="240"/>
      <w:jc w:val="center"/>
    </w:pPr>
  </w:style>
  <w:style w:type="paragraph" w:customStyle="1" w:styleId="Acknowledgements">
    <w:name w:val="Acknowledgements"/>
    <w:basedOn w:val="Normal"/>
    <w:next w:val="Normal"/>
    <w:qFormat/>
    <w:rsid w:val="00AF3EFA"/>
    <w:pPr>
      <w:spacing w:before="120" w:line="360" w:lineRule="auto"/>
    </w:pPr>
    <w:rPr>
      <w:sz w:val="22"/>
    </w:rPr>
  </w:style>
  <w:style w:type="paragraph" w:customStyle="1" w:styleId="Tabletitle">
    <w:name w:val="Table title"/>
    <w:basedOn w:val="Normal"/>
    <w:next w:val="Normal"/>
    <w:qFormat/>
    <w:rsid w:val="00AF3EFA"/>
    <w:pPr>
      <w:spacing w:before="240" w:line="360" w:lineRule="auto"/>
    </w:pPr>
  </w:style>
  <w:style w:type="paragraph" w:customStyle="1" w:styleId="Figurecaption">
    <w:name w:val="Figure caption"/>
    <w:basedOn w:val="Normal"/>
    <w:next w:val="Normal"/>
    <w:qFormat/>
    <w:rsid w:val="00AF3EFA"/>
    <w:pPr>
      <w:spacing w:before="240" w:line="360" w:lineRule="auto"/>
    </w:pPr>
  </w:style>
  <w:style w:type="paragraph" w:customStyle="1" w:styleId="Footnotes">
    <w:name w:val="Footnotes"/>
    <w:basedOn w:val="Normal"/>
    <w:qFormat/>
    <w:rsid w:val="00AF3EFA"/>
    <w:pPr>
      <w:spacing w:before="120" w:line="360" w:lineRule="auto"/>
      <w:ind w:left="482" w:hanging="482"/>
      <w:contextualSpacing/>
    </w:pPr>
    <w:rPr>
      <w:sz w:val="22"/>
    </w:rPr>
  </w:style>
  <w:style w:type="paragraph" w:customStyle="1" w:styleId="Notesoncontributors">
    <w:name w:val="Notes on contributors"/>
    <w:basedOn w:val="Normal"/>
    <w:qFormat/>
    <w:rsid w:val="00AF3EFA"/>
    <w:pPr>
      <w:spacing w:before="240" w:line="360" w:lineRule="auto"/>
    </w:pPr>
    <w:rPr>
      <w:sz w:val="22"/>
    </w:rPr>
  </w:style>
  <w:style w:type="paragraph" w:customStyle="1" w:styleId="Normalparagraphstyle">
    <w:name w:val="Normal paragraph style"/>
    <w:basedOn w:val="Normal"/>
    <w:next w:val="Normal"/>
    <w:rsid w:val="00AF3EFA"/>
  </w:style>
  <w:style w:type="paragraph" w:customStyle="1" w:styleId="Paragraph">
    <w:name w:val="Paragraph"/>
    <w:basedOn w:val="Normal"/>
    <w:next w:val="Newparagraph"/>
    <w:qFormat/>
    <w:rsid w:val="00AF3EFA"/>
    <w:pPr>
      <w:widowControl w:val="0"/>
      <w:spacing w:before="240"/>
    </w:pPr>
  </w:style>
  <w:style w:type="paragraph" w:customStyle="1" w:styleId="Newparagraph">
    <w:name w:val="New paragraph"/>
    <w:basedOn w:val="Normal"/>
    <w:qFormat/>
    <w:rsid w:val="00AF3EFA"/>
    <w:pPr>
      <w:ind w:firstLine="720"/>
    </w:pPr>
  </w:style>
  <w:style w:type="paragraph" w:styleId="NormalIndent">
    <w:name w:val="Normal Indent"/>
    <w:basedOn w:val="Normal"/>
    <w:rsid w:val="00AF3EFA"/>
    <w:pPr>
      <w:ind w:left="720"/>
    </w:pPr>
  </w:style>
  <w:style w:type="paragraph" w:customStyle="1" w:styleId="References">
    <w:name w:val="References"/>
    <w:basedOn w:val="Normal"/>
    <w:qFormat/>
    <w:rsid w:val="00AF3EFA"/>
    <w:pPr>
      <w:spacing w:before="120" w:line="360" w:lineRule="auto"/>
      <w:ind w:left="720" w:hanging="720"/>
      <w:contextualSpacing/>
    </w:pPr>
  </w:style>
  <w:style w:type="paragraph" w:customStyle="1" w:styleId="Subjectcodes">
    <w:name w:val="Subject codes"/>
    <w:basedOn w:val="Keywords"/>
    <w:next w:val="Paragraph"/>
    <w:qFormat/>
    <w:rsid w:val="00AF3EFA"/>
  </w:style>
  <w:style w:type="paragraph" w:customStyle="1" w:styleId="Bulletedlist">
    <w:name w:val="Bulleted list"/>
    <w:basedOn w:val="Paragraph"/>
    <w:next w:val="Paragraph"/>
    <w:qFormat/>
    <w:rsid w:val="00AF3EFA"/>
    <w:pPr>
      <w:widowControl/>
      <w:numPr>
        <w:numId w:val="27"/>
      </w:numPr>
      <w:spacing w:after="240"/>
      <w:contextualSpacing/>
    </w:pPr>
  </w:style>
  <w:style w:type="paragraph" w:styleId="FootnoteText">
    <w:name w:val="footnote text"/>
    <w:basedOn w:val="Normal"/>
    <w:link w:val="FootnoteTextChar"/>
    <w:autoRedefine/>
    <w:rsid w:val="00AF3EFA"/>
    <w:pPr>
      <w:ind w:left="284" w:hanging="284"/>
    </w:pPr>
    <w:rPr>
      <w:sz w:val="22"/>
      <w:szCs w:val="20"/>
    </w:rPr>
  </w:style>
  <w:style w:type="character" w:customStyle="1" w:styleId="FootnoteTextChar">
    <w:name w:val="Footnote Text Char"/>
    <w:basedOn w:val="DefaultParagraphFont"/>
    <w:link w:val="FootnoteText"/>
    <w:rsid w:val="00AF3EFA"/>
    <w:rPr>
      <w:rFonts w:ascii="Times New Roman" w:eastAsia="Times New Roman" w:hAnsi="Times New Roman" w:cs="Times New Roman"/>
      <w:sz w:val="22"/>
      <w:szCs w:val="20"/>
      <w:lang w:eastAsia="en-GB"/>
    </w:rPr>
  </w:style>
  <w:style w:type="character" w:styleId="FootnoteReference">
    <w:name w:val="footnote reference"/>
    <w:basedOn w:val="DefaultParagraphFont"/>
    <w:rsid w:val="00AF3EFA"/>
    <w:rPr>
      <w:vertAlign w:val="superscript"/>
    </w:rPr>
  </w:style>
  <w:style w:type="paragraph" w:styleId="EndnoteText">
    <w:name w:val="endnote text"/>
    <w:basedOn w:val="Normal"/>
    <w:link w:val="EndnoteTextChar"/>
    <w:autoRedefine/>
    <w:rsid w:val="00AF3EFA"/>
    <w:pPr>
      <w:ind w:left="284" w:hanging="284"/>
    </w:pPr>
    <w:rPr>
      <w:sz w:val="22"/>
      <w:szCs w:val="20"/>
    </w:rPr>
  </w:style>
  <w:style w:type="character" w:customStyle="1" w:styleId="EndnoteTextChar">
    <w:name w:val="Endnote Text Char"/>
    <w:basedOn w:val="DefaultParagraphFont"/>
    <w:link w:val="EndnoteText"/>
    <w:rsid w:val="00AF3EFA"/>
    <w:rPr>
      <w:rFonts w:ascii="Times New Roman" w:eastAsia="Times New Roman" w:hAnsi="Times New Roman" w:cs="Times New Roman"/>
      <w:sz w:val="22"/>
      <w:szCs w:val="20"/>
      <w:lang w:eastAsia="en-GB"/>
    </w:rPr>
  </w:style>
  <w:style w:type="character" w:styleId="EndnoteReference">
    <w:name w:val="endnote reference"/>
    <w:basedOn w:val="DefaultParagraphFont"/>
    <w:rsid w:val="00AF3EFA"/>
    <w:rPr>
      <w:vertAlign w:val="superscript"/>
    </w:rPr>
  </w:style>
  <w:style w:type="paragraph" w:customStyle="1" w:styleId="Heading4Paragraph">
    <w:name w:val="Heading 4 + Paragraph"/>
    <w:basedOn w:val="Paragraph"/>
    <w:next w:val="Newparagraph"/>
    <w:qFormat/>
    <w:rsid w:val="00AF3EFA"/>
    <w:pPr>
      <w:widowControl/>
      <w:spacing w:before="360"/>
    </w:pPr>
  </w:style>
  <w:style w:type="character" w:styleId="FollowedHyperlink">
    <w:name w:val="FollowedHyperlink"/>
    <w:basedOn w:val="DefaultParagraphFont"/>
    <w:uiPriority w:val="99"/>
    <w:semiHidden/>
    <w:unhideWhenUsed/>
    <w:rsid w:val="004B65CF"/>
    <w:rPr>
      <w:color w:val="954F72" w:themeColor="followedHyperlink"/>
      <w:u w:val="single"/>
    </w:rPr>
  </w:style>
  <w:style w:type="character" w:styleId="Emphasis">
    <w:name w:val="Emphasis"/>
    <w:basedOn w:val="DefaultParagraphFont"/>
    <w:uiPriority w:val="20"/>
    <w:qFormat/>
    <w:rsid w:val="00186122"/>
    <w:rPr>
      <w:i/>
      <w:iCs/>
    </w:rPr>
  </w:style>
  <w:style w:type="paragraph" w:styleId="NormalWeb">
    <w:name w:val="Normal (Web)"/>
    <w:basedOn w:val="Normal"/>
    <w:uiPriority w:val="99"/>
    <w:semiHidden/>
    <w:unhideWhenUsed/>
    <w:rsid w:val="005F5295"/>
    <w:pPr>
      <w:spacing w:before="100" w:beforeAutospacing="1" w:after="100" w:afterAutospacing="1" w:line="240" w:lineRule="auto"/>
    </w:pPr>
    <w:rPr>
      <w:rFonts w:eastAsiaTheme="minorEastAsi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822102">
      <w:bodyDiv w:val="1"/>
      <w:marLeft w:val="0"/>
      <w:marRight w:val="0"/>
      <w:marTop w:val="0"/>
      <w:marBottom w:val="0"/>
      <w:divBdr>
        <w:top w:val="none" w:sz="0" w:space="0" w:color="auto"/>
        <w:left w:val="none" w:sz="0" w:space="0" w:color="auto"/>
        <w:bottom w:val="none" w:sz="0" w:space="0" w:color="auto"/>
        <w:right w:val="none" w:sz="0" w:space="0" w:color="auto"/>
      </w:divBdr>
      <w:divsChild>
        <w:div w:id="1976788495">
          <w:marLeft w:val="0"/>
          <w:marRight w:val="0"/>
          <w:marTop w:val="0"/>
          <w:marBottom w:val="0"/>
          <w:divBdr>
            <w:top w:val="none" w:sz="0" w:space="0" w:color="auto"/>
            <w:left w:val="none" w:sz="0" w:space="0" w:color="auto"/>
            <w:bottom w:val="none" w:sz="0" w:space="0" w:color="auto"/>
            <w:right w:val="none" w:sz="0" w:space="0" w:color="auto"/>
          </w:divBdr>
          <w:divsChild>
            <w:div w:id="635258925">
              <w:marLeft w:val="0"/>
              <w:marRight w:val="0"/>
              <w:marTop w:val="0"/>
              <w:marBottom w:val="0"/>
              <w:divBdr>
                <w:top w:val="none" w:sz="0" w:space="0" w:color="auto"/>
                <w:left w:val="none" w:sz="0" w:space="0" w:color="auto"/>
                <w:bottom w:val="none" w:sz="0" w:space="0" w:color="auto"/>
                <w:right w:val="none" w:sz="0" w:space="0" w:color="auto"/>
              </w:divBdr>
              <w:divsChild>
                <w:div w:id="155670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14987">
      <w:bodyDiv w:val="1"/>
      <w:marLeft w:val="0"/>
      <w:marRight w:val="0"/>
      <w:marTop w:val="0"/>
      <w:marBottom w:val="0"/>
      <w:divBdr>
        <w:top w:val="none" w:sz="0" w:space="0" w:color="auto"/>
        <w:left w:val="none" w:sz="0" w:space="0" w:color="auto"/>
        <w:bottom w:val="none" w:sz="0" w:space="0" w:color="auto"/>
        <w:right w:val="none" w:sz="0" w:space="0" w:color="auto"/>
      </w:divBdr>
    </w:div>
    <w:div w:id="293217383">
      <w:bodyDiv w:val="1"/>
      <w:marLeft w:val="0"/>
      <w:marRight w:val="0"/>
      <w:marTop w:val="0"/>
      <w:marBottom w:val="0"/>
      <w:divBdr>
        <w:top w:val="none" w:sz="0" w:space="0" w:color="auto"/>
        <w:left w:val="none" w:sz="0" w:space="0" w:color="auto"/>
        <w:bottom w:val="none" w:sz="0" w:space="0" w:color="auto"/>
        <w:right w:val="none" w:sz="0" w:space="0" w:color="auto"/>
      </w:divBdr>
    </w:div>
    <w:div w:id="302737416">
      <w:bodyDiv w:val="1"/>
      <w:marLeft w:val="0"/>
      <w:marRight w:val="0"/>
      <w:marTop w:val="0"/>
      <w:marBottom w:val="0"/>
      <w:divBdr>
        <w:top w:val="none" w:sz="0" w:space="0" w:color="auto"/>
        <w:left w:val="none" w:sz="0" w:space="0" w:color="auto"/>
        <w:bottom w:val="none" w:sz="0" w:space="0" w:color="auto"/>
        <w:right w:val="none" w:sz="0" w:space="0" w:color="auto"/>
      </w:divBdr>
    </w:div>
    <w:div w:id="373358716">
      <w:bodyDiv w:val="1"/>
      <w:marLeft w:val="0"/>
      <w:marRight w:val="0"/>
      <w:marTop w:val="0"/>
      <w:marBottom w:val="0"/>
      <w:divBdr>
        <w:top w:val="none" w:sz="0" w:space="0" w:color="auto"/>
        <w:left w:val="none" w:sz="0" w:space="0" w:color="auto"/>
        <w:bottom w:val="none" w:sz="0" w:space="0" w:color="auto"/>
        <w:right w:val="none" w:sz="0" w:space="0" w:color="auto"/>
      </w:divBdr>
    </w:div>
    <w:div w:id="391736261">
      <w:bodyDiv w:val="1"/>
      <w:marLeft w:val="0"/>
      <w:marRight w:val="0"/>
      <w:marTop w:val="0"/>
      <w:marBottom w:val="0"/>
      <w:divBdr>
        <w:top w:val="none" w:sz="0" w:space="0" w:color="auto"/>
        <w:left w:val="none" w:sz="0" w:space="0" w:color="auto"/>
        <w:bottom w:val="none" w:sz="0" w:space="0" w:color="auto"/>
        <w:right w:val="none" w:sz="0" w:space="0" w:color="auto"/>
      </w:divBdr>
    </w:div>
    <w:div w:id="723800140">
      <w:bodyDiv w:val="1"/>
      <w:marLeft w:val="0"/>
      <w:marRight w:val="0"/>
      <w:marTop w:val="0"/>
      <w:marBottom w:val="0"/>
      <w:divBdr>
        <w:top w:val="none" w:sz="0" w:space="0" w:color="auto"/>
        <w:left w:val="none" w:sz="0" w:space="0" w:color="auto"/>
        <w:bottom w:val="none" w:sz="0" w:space="0" w:color="auto"/>
        <w:right w:val="none" w:sz="0" w:space="0" w:color="auto"/>
      </w:divBdr>
    </w:div>
    <w:div w:id="758258029">
      <w:bodyDiv w:val="1"/>
      <w:marLeft w:val="0"/>
      <w:marRight w:val="0"/>
      <w:marTop w:val="0"/>
      <w:marBottom w:val="0"/>
      <w:divBdr>
        <w:top w:val="none" w:sz="0" w:space="0" w:color="auto"/>
        <w:left w:val="none" w:sz="0" w:space="0" w:color="auto"/>
        <w:bottom w:val="none" w:sz="0" w:space="0" w:color="auto"/>
        <w:right w:val="none" w:sz="0" w:space="0" w:color="auto"/>
      </w:divBdr>
    </w:div>
    <w:div w:id="846215645">
      <w:bodyDiv w:val="1"/>
      <w:marLeft w:val="0"/>
      <w:marRight w:val="0"/>
      <w:marTop w:val="0"/>
      <w:marBottom w:val="0"/>
      <w:divBdr>
        <w:top w:val="none" w:sz="0" w:space="0" w:color="auto"/>
        <w:left w:val="none" w:sz="0" w:space="0" w:color="auto"/>
        <w:bottom w:val="none" w:sz="0" w:space="0" w:color="auto"/>
        <w:right w:val="none" w:sz="0" w:space="0" w:color="auto"/>
      </w:divBdr>
    </w:div>
    <w:div w:id="907156224">
      <w:bodyDiv w:val="1"/>
      <w:marLeft w:val="0"/>
      <w:marRight w:val="0"/>
      <w:marTop w:val="0"/>
      <w:marBottom w:val="0"/>
      <w:divBdr>
        <w:top w:val="none" w:sz="0" w:space="0" w:color="auto"/>
        <w:left w:val="none" w:sz="0" w:space="0" w:color="auto"/>
        <w:bottom w:val="none" w:sz="0" w:space="0" w:color="auto"/>
        <w:right w:val="none" w:sz="0" w:space="0" w:color="auto"/>
      </w:divBdr>
      <w:divsChild>
        <w:div w:id="2099446218">
          <w:marLeft w:val="360"/>
          <w:marRight w:val="0"/>
          <w:marTop w:val="200"/>
          <w:marBottom w:val="0"/>
          <w:divBdr>
            <w:top w:val="none" w:sz="0" w:space="0" w:color="auto"/>
            <w:left w:val="none" w:sz="0" w:space="0" w:color="auto"/>
            <w:bottom w:val="none" w:sz="0" w:space="0" w:color="auto"/>
            <w:right w:val="none" w:sz="0" w:space="0" w:color="auto"/>
          </w:divBdr>
        </w:div>
      </w:divsChild>
    </w:div>
    <w:div w:id="915213979">
      <w:bodyDiv w:val="1"/>
      <w:marLeft w:val="0"/>
      <w:marRight w:val="0"/>
      <w:marTop w:val="0"/>
      <w:marBottom w:val="0"/>
      <w:divBdr>
        <w:top w:val="none" w:sz="0" w:space="0" w:color="auto"/>
        <w:left w:val="none" w:sz="0" w:space="0" w:color="auto"/>
        <w:bottom w:val="none" w:sz="0" w:space="0" w:color="auto"/>
        <w:right w:val="none" w:sz="0" w:space="0" w:color="auto"/>
      </w:divBdr>
    </w:div>
    <w:div w:id="929461715">
      <w:bodyDiv w:val="1"/>
      <w:marLeft w:val="0"/>
      <w:marRight w:val="0"/>
      <w:marTop w:val="0"/>
      <w:marBottom w:val="0"/>
      <w:divBdr>
        <w:top w:val="none" w:sz="0" w:space="0" w:color="auto"/>
        <w:left w:val="none" w:sz="0" w:space="0" w:color="auto"/>
        <w:bottom w:val="none" w:sz="0" w:space="0" w:color="auto"/>
        <w:right w:val="none" w:sz="0" w:space="0" w:color="auto"/>
      </w:divBdr>
      <w:divsChild>
        <w:div w:id="724832889">
          <w:marLeft w:val="360"/>
          <w:marRight w:val="0"/>
          <w:marTop w:val="200"/>
          <w:marBottom w:val="0"/>
          <w:divBdr>
            <w:top w:val="none" w:sz="0" w:space="0" w:color="auto"/>
            <w:left w:val="none" w:sz="0" w:space="0" w:color="auto"/>
            <w:bottom w:val="none" w:sz="0" w:space="0" w:color="auto"/>
            <w:right w:val="none" w:sz="0" w:space="0" w:color="auto"/>
          </w:divBdr>
        </w:div>
      </w:divsChild>
    </w:div>
    <w:div w:id="1195578504">
      <w:bodyDiv w:val="1"/>
      <w:marLeft w:val="0"/>
      <w:marRight w:val="0"/>
      <w:marTop w:val="0"/>
      <w:marBottom w:val="0"/>
      <w:divBdr>
        <w:top w:val="none" w:sz="0" w:space="0" w:color="auto"/>
        <w:left w:val="none" w:sz="0" w:space="0" w:color="auto"/>
        <w:bottom w:val="none" w:sz="0" w:space="0" w:color="auto"/>
        <w:right w:val="none" w:sz="0" w:space="0" w:color="auto"/>
      </w:divBdr>
    </w:div>
    <w:div w:id="1335916946">
      <w:bodyDiv w:val="1"/>
      <w:marLeft w:val="0"/>
      <w:marRight w:val="0"/>
      <w:marTop w:val="0"/>
      <w:marBottom w:val="0"/>
      <w:divBdr>
        <w:top w:val="none" w:sz="0" w:space="0" w:color="auto"/>
        <w:left w:val="none" w:sz="0" w:space="0" w:color="auto"/>
        <w:bottom w:val="none" w:sz="0" w:space="0" w:color="auto"/>
        <w:right w:val="none" w:sz="0" w:space="0" w:color="auto"/>
      </w:divBdr>
    </w:div>
    <w:div w:id="1573739759">
      <w:bodyDiv w:val="1"/>
      <w:marLeft w:val="0"/>
      <w:marRight w:val="0"/>
      <w:marTop w:val="0"/>
      <w:marBottom w:val="0"/>
      <w:divBdr>
        <w:top w:val="none" w:sz="0" w:space="0" w:color="auto"/>
        <w:left w:val="none" w:sz="0" w:space="0" w:color="auto"/>
        <w:bottom w:val="none" w:sz="0" w:space="0" w:color="auto"/>
        <w:right w:val="none" w:sz="0" w:space="0" w:color="auto"/>
      </w:divBdr>
    </w:div>
    <w:div w:id="1699314612">
      <w:bodyDiv w:val="1"/>
      <w:marLeft w:val="0"/>
      <w:marRight w:val="0"/>
      <w:marTop w:val="0"/>
      <w:marBottom w:val="0"/>
      <w:divBdr>
        <w:top w:val="none" w:sz="0" w:space="0" w:color="auto"/>
        <w:left w:val="none" w:sz="0" w:space="0" w:color="auto"/>
        <w:bottom w:val="none" w:sz="0" w:space="0" w:color="auto"/>
        <w:right w:val="none" w:sz="0" w:space="0" w:color="auto"/>
      </w:divBdr>
    </w:div>
    <w:div w:id="1832714979">
      <w:bodyDiv w:val="1"/>
      <w:marLeft w:val="0"/>
      <w:marRight w:val="0"/>
      <w:marTop w:val="0"/>
      <w:marBottom w:val="0"/>
      <w:divBdr>
        <w:top w:val="none" w:sz="0" w:space="0" w:color="auto"/>
        <w:left w:val="none" w:sz="0" w:space="0" w:color="auto"/>
        <w:bottom w:val="none" w:sz="0" w:space="0" w:color="auto"/>
        <w:right w:val="none" w:sz="0" w:space="0" w:color="auto"/>
      </w:divBdr>
      <w:divsChild>
        <w:div w:id="532035020">
          <w:marLeft w:val="0"/>
          <w:marRight w:val="0"/>
          <w:marTop w:val="0"/>
          <w:marBottom w:val="0"/>
          <w:divBdr>
            <w:top w:val="none" w:sz="0" w:space="0" w:color="auto"/>
            <w:left w:val="none" w:sz="0" w:space="0" w:color="auto"/>
            <w:bottom w:val="none" w:sz="0" w:space="0" w:color="auto"/>
            <w:right w:val="none" w:sz="0" w:space="0" w:color="auto"/>
          </w:divBdr>
          <w:divsChild>
            <w:div w:id="101270764">
              <w:marLeft w:val="0"/>
              <w:marRight w:val="0"/>
              <w:marTop w:val="0"/>
              <w:marBottom w:val="0"/>
              <w:divBdr>
                <w:top w:val="none" w:sz="0" w:space="0" w:color="auto"/>
                <w:left w:val="none" w:sz="0" w:space="0" w:color="auto"/>
                <w:bottom w:val="none" w:sz="0" w:space="0" w:color="auto"/>
                <w:right w:val="none" w:sz="0" w:space="0" w:color="auto"/>
              </w:divBdr>
              <w:divsChild>
                <w:div w:id="195343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26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urphy\AppData\Roaming\Microsoft\Templates\TF_Template_Word_Windows_201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D8C19-355D-7B4B-A36A-23CD03CCC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C:\Users\A.Murphy\AppData\Roaming\Microsoft\Templates\TF_Template_Word_Windows_2013.dotx</Template>
  <TotalTime>4</TotalTime>
  <Pages>41</Pages>
  <Words>12188</Words>
  <Characters>69478</Characters>
  <Application>Microsoft Office Word</Application>
  <DocSecurity>0</DocSecurity>
  <Lines>578</Lines>
  <Paragraphs>163</Paragraphs>
  <ScaleCrop>false</ScaleCrop>
  <HeadingPairs>
    <vt:vector size="2" baseType="variant">
      <vt:variant>
        <vt:lpstr>Title</vt:lpstr>
      </vt:variant>
      <vt:variant>
        <vt:i4>1</vt:i4>
      </vt:variant>
    </vt:vector>
  </HeadingPairs>
  <TitlesOfParts>
    <vt:vector size="1" baseType="lpstr">
      <vt:lpstr/>
    </vt:vector>
  </TitlesOfParts>
  <Company>University of West London</Company>
  <LinksUpToDate>false</LinksUpToDate>
  <CharactersWithSpaces>81503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Hine</dc:creator>
  <cp:keywords/>
  <dc:description/>
  <cp:lastModifiedBy>Murphy, Anthony</cp:lastModifiedBy>
  <cp:revision>2</cp:revision>
  <cp:lastPrinted>2018-06-04T07:10:00Z</cp:lastPrinted>
  <dcterms:created xsi:type="dcterms:W3CDTF">2018-07-20T05:49:00Z</dcterms:created>
  <dcterms:modified xsi:type="dcterms:W3CDTF">2018-07-20T05:49:00Z</dcterms:modified>
</cp:coreProperties>
</file>