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8E1" w:rsidRDefault="003C78E1" w:rsidP="003C78E1">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6"/>
        <w:gridCol w:w="6260"/>
      </w:tblGrid>
      <w:tr w:rsidR="003C78E1" w:rsidTr="003C78E1">
        <w:tc>
          <w:tcPr>
            <w:tcW w:w="2943" w:type="dxa"/>
            <w:tcBorders>
              <w:top w:val="single" w:sz="4" w:space="0" w:color="auto"/>
              <w:left w:val="single" w:sz="4" w:space="0" w:color="auto"/>
              <w:bottom w:val="single" w:sz="4" w:space="0" w:color="auto"/>
              <w:right w:val="single" w:sz="4" w:space="0" w:color="auto"/>
            </w:tcBorders>
          </w:tcPr>
          <w:p w:rsidR="003C78E1" w:rsidRDefault="003C78E1">
            <w:pPr>
              <w:spacing w:line="256" w:lineRule="auto"/>
            </w:pPr>
          </w:p>
          <w:p w:rsidR="003C78E1" w:rsidRDefault="003C78E1">
            <w:pPr>
              <w:spacing w:line="256" w:lineRule="auto"/>
              <w:rPr>
                <w:b/>
                <w:bCs/>
              </w:rPr>
            </w:pPr>
            <w:r>
              <w:rPr>
                <w:b/>
                <w:bCs/>
              </w:rPr>
              <w:t>Title:</w:t>
            </w:r>
          </w:p>
        </w:tc>
        <w:tc>
          <w:tcPr>
            <w:tcW w:w="6911" w:type="dxa"/>
            <w:tcBorders>
              <w:top w:val="single" w:sz="4" w:space="0" w:color="auto"/>
              <w:left w:val="single" w:sz="4" w:space="0" w:color="auto"/>
              <w:bottom w:val="single" w:sz="4" w:space="0" w:color="auto"/>
              <w:right w:val="single" w:sz="4" w:space="0" w:color="auto"/>
            </w:tcBorders>
          </w:tcPr>
          <w:p w:rsidR="003C78E1" w:rsidRDefault="003C78E1">
            <w:pPr>
              <w:spacing w:line="256" w:lineRule="auto"/>
            </w:pPr>
            <w:r>
              <w:br/>
            </w:r>
            <w:r>
              <w:rPr>
                <w:sz w:val="20"/>
                <w:szCs w:val="20"/>
              </w:rPr>
              <w:t>Empowering students through curriculum design</w:t>
            </w:r>
          </w:p>
          <w:p w:rsidR="003C78E1" w:rsidRDefault="003C78E1">
            <w:pPr>
              <w:spacing w:line="256" w:lineRule="auto"/>
            </w:pPr>
          </w:p>
        </w:tc>
      </w:tr>
      <w:tr w:rsidR="003C78E1" w:rsidTr="003C78E1">
        <w:tc>
          <w:tcPr>
            <w:tcW w:w="9854" w:type="dxa"/>
            <w:gridSpan w:val="2"/>
            <w:tcBorders>
              <w:top w:val="single" w:sz="4" w:space="0" w:color="auto"/>
              <w:left w:val="single" w:sz="4" w:space="0" w:color="auto"/>
              <w:bottom w:val="single" w:sz="4" w:space="0" w:color="auto"/>
              <w:right w:val="single" w:sz="4" w:space="0" w:color="auto"/>
            </w:tcBorders>
          </w:tcPr>
          <w:p w:rsidR="003C78E1" w:rsidRDefault="003C78E1">
            <w:pPr>
              <w:spacing w:line="256" w:lineRule="auto"/>
            </w:pPr>
          </w:p>
          <w:p w:rsidR="003C78E1" w:rsidRDefault="003C78E1">
            <w:pPr>
              <w:spacing w:line="256" w:lineRule="auto"/>
              <w:rPr>
                <w:sz w:val="20"/>
                <w:szCs w:val="20"/>
              </w:rPr>
            </w:pPr>
            <w:r>
              <w:rPr>
                <w:b/>
                <w:bCs/>
              </w:rPr>
              <w:t>Type</w:t>
            </w:r>
            <w:r>
              <w:t xml:space="preserve"> (Presentation / Workshop): </w:t>
            </w:r>
            <w:r>
              <w:rPr>
                <w:sz w:val="20"/>
                <w:szCs w:val="20"/>
              </w:rPr>
              <w:t xml:space="preserve">Presentation: </w:t>
            </w:r>
          </w:p>
          <w:p w:rsidR="003C78E1" w:rsidRDefault="003C78E1">
            <w:pPr>
              <w:spacing w:line="256" w:lineRule="auto"/>
              <w:rPr>
                <w:sz w:val="24"/>
                <w:szCs w:val="24"/>
              </w:rPr>
            </w:pPr>
          </w:p>
        </w:tc>
      </w:tr>
      <w:tr w:rsidR="003C78E1" w:rsidTr="003C78E1">
        <w:tc>
          <w:tcPr>
            <w:tcW w:w="9854" w:type="dxa"/>
            <w:gridSpan w:val="2"/>
            <w:tcBorders>
              <w:top w:val="single" w:sz="4" w:space="0" w:color="auto"/>
              <w:left w:val="single" w:sz="4" w:space="0" w:color="auto"/>
              <w:bottom w:val="single" w:sz="4" w:space="0" w:color="auto"/>
              <w:right w:val="single" w:sz="4" w:space="0" w:color="auto"/>
            </w:tcBorders>
          </w:tcPr>
          <w:p w:rsidR="003C78E1" w:rsidRDefault="003C78E1">
            <w:pPr>
              <w:spacing w:line="256" w:lineRule="auto"/>
            </w:pPr>
            <w:r>
              <w:rPr>
                <w:b/>
                <w:bCs/>
              </w:rPr>
              <w:t>Abstract</w:t>
            </w:r>
            <w:r>
              <w:t xml:space="preserve"> (max. 300-words, not including references)</w:t>
            </w:r>
          </w:p>
          <w:p w:rsidR="003C78E1" w:rsidRDefault="003C78E1">
            <w:pPr>
              <w:spacing w:line="256" w:lineRule="auto"/>
            </w:pPr>
          </w:p>
          <w:p w:rsidR="003C78E1" w:rsidRDefault="003C78E1">
            <w:pPr>
              <w:spacing w:line="256" w:lineRule="auto"/>
            </w:pPr>
            <w:r>
              <w:rPr>
                <w:sz w:val="20"/>
                <w:szCs w:val="20"/>
              </w:rPr>
              <w:t>Suggested theme: Empowering students through curriculum design</w:t>
            </w:r>
          </w:p>
          <w:p w:rsidR="003C78E1" w:rsidRDefault="003C78E1">
            <w:pPr>
              <w:spacing w:line="256" w:lineRule="auto"/>
            </w:pPr>
          </w:p>
          <w:p w:rsidR="003C78E1" w:rsidRDefault="003C78E1">
            <w:pPr>
              <w:spacing w:line="256" w:lineRule="auto"/>
              <w:rPr>
                <w:sz w:val="20"/>
                <w:szCs w:val="20"/>
              </w:rPr>
            </w:pPr>
            <w:r>
              <w:rPr>
                <w:sz w:val="20"/>
                <w:szCs w:val="20"/>
              </w:rPr>
              <w:t xml:space="preserve">Giving students the skills they need to become independent learners allows them to flourish in both academia and onwards into the world of work. As the students become more confident in finding, evaluating and reading sources, it allows them to investigate deeper into their subjects and contribute fully to their classes. Embedding these skills is a collaboration between librarians and academic staff who each bring unique knowledge and experience.  This presentation will look at different ways to embed these skills into the curriculum, using both classroom and online methods. Each level of study requires new skills to be learnt so it will also highlight what is needed at each level and how these build on previous knowledge. In addition, it will cover techniques to evaluate how the students have rated their own short and long term benefits from learning these skills and how we plan to track the student’s progress throughout their course. </w:t>
            </w:r>
          </w:p>
          <w:p w:rsidR="003C78E1" w:rsidRDefault="003C78E1">
            <w:pPr>
              <w:spacing w:line="256" w:lineRule="auto"/>
              <w:rPr>
                <w:sz w:val="24"/>
                <w:szCs w:val="24"/>
              </w:rPr>
            </w:pPr>
          </w:p>
          <w:p w:rsidR="003C78E1" w:rsidRDefault="003C78E1">
            <w:pPr>
              <w:spacing w:line="256" w:lineRule="auto"/>
            </w:pPr>
            <w:r>
              <w:rPr>
                <w:b/>
                <w:bCs/>
              </w:rPr>
              <w:t>References</w:t>
            </w:r>
            <w:r>
              <w:t xml:space="preserve"> </w:t>
            </w:r>
          </w:p>
          <w:p w:rsidR="003C78E1" w:rsidRDefault="003C78E1">
            <w:pPr>
              <w:spacing w:line="256" w:lineRule="auto"/>
            </w:pPr>
          </w:p>
          <w:p w:rsidR="003C78E1" w:rsidRDefault="003C78E1" w:rsidP="003C78E1">
            <w:pPr>
              <w:rPr>
                <w:color w:val="1F497D"/>
              </w:rPr>
            </w:pPr>
            <w:r>
              <w:rPr>
                <w:color w:val="1F497D"/>
              </w:rPr>
              <w:t xml:space="preserve">Giving students the skills they need to become independent learners allows them to flourish in both academia (Cottrell, 2001) and onwards into the world of work (Forster, 2017). </w:t>
            </w:r>
          </w:p>
          <w:p w:rsidR="003C78E1" w:rsidRDefault="003C78E1" w:rsidP="003C78E1">
            <w:pPr>
              <w:rPr>
                <w:color w:val="1F497D"/>
              </w:rPr>
            </w:pPr>
          </w:p>
          <w:p w:rsidR="003C78E1" w:rsidRDefault="003C78E1" w:rsidP="003C78E1">
            <w:pPr>
              <w:rPr>
                <w:color w:val="1F497D"/>
              </w:rPr>
            </w:pPr>
            <w:r>
              <w:rPr>
                <w:color w:val="1F497D"/>
              </w:rPr>
              <w:t xml:space="preserve">As the students become more confident in finding, evaluating and reading sources, it allows them to investigate deeper into their subjects and contribute fully to their classes (Bruce, 2008; Bruce and Hughes, 2008). </w:t>
            </w:r>
          </w:p>
          <w:p w:rsidR="003C78E1" w:rsidRDefault="003C78E1" w:rsidP="003C78E1">
            <w:pPr>
              <w:rPr>
                <w:color w:val="1F497D"/>
              </w:rPr>
            </w:pPr>
          </w:p>
          <w:p w:rsidR="003C78E1" w:rsidRDefault="003C78E1" w:rsidP="003C78E1">
            <w:pPr>
              <w:rPr>
                <w:color w:val="1F497D"/>
              </w:rPr>
            </w:pPr>
            <w:r>
              <w:rPr>
                <w:color w:val="1F497D"/>
              </w:rPr>
              <w:t xml:space="preserve">Embedding these skills is a collaboration between librarians and academic staff who each bring unique knowledge and experience (Tarrant, Dodgson and Law, 2008). </w:t>
            </w:r>
          </w:p>
          <w:p w:rsidR="003C78E1" w:rsidRDefault="003C78E1" w:rsidP="003C78E1">
            <w:pPr>
              <w:rPr>
                <w:color w:val="1F497D"/>
              </w:rPr>
            </w:pPr>
          </w:p>
          <w:p w:rsidR="003C78E1" w:rsidRDefault="003C78E1" w:rsidP="003C78E1">
            <w:pPr>
              <w:rPr>
                <w:color w:val="1F497D"/>
              </w:rPr>
            </w:pPr>
            <w:r>
              <w:rPr>
                <w:color w:val="1F497D"/>
              </w:rPr>
              <w:t xml:space="preserve">This presentation will look at different ways to embed these skills into the curriculum, using both classroom and online methods. </w:t>
            </w:r>
          </w:p>
          <w:p w:rsidR="003C78E1" w:rsidRDefault="003C78E1" w:rsidP="003C78E1">
            <w:pPr>
              <w:rPr>
                <w:color w:val="1F497D"/>
              </w:rPr>
            </w:pPr>
          </w:p>
          <w:p w:rsidR="003C78E1" w:rsidRDefault="003C78E1" w:rsidP="003C78E1">
            <w:pPr>
              <w:rPr>
                <w:color w:val="1F497D"/>
              </w:rPr>
            </w:pPr>
            <w:r>
              <w:rPr>
                <w:color w:val="1F497D"/>
              </w:rPr>
              <w:t>Each level of study requires new skills to be learnt so it will also highlight what is needed at each level and how these build on previous knowledge.</w:t>
            </w:r>
          </w:p>
          <w:p w:rsidR="003C78E1" w:rsidRDefault="003C78E1" w:rsidP="003C78E1">
            <w:pPr>
              <w:rPr>
                <w:color w:val="1F497D"/>
              </w:rPr>
            </w:pPr>
          </w:p>
          <w:p w:rsidR="003C78E1" w:rsidRDefault="003C78E1" w:rsidP="003C78E1">
            <w:pPr>
              <w:rPr>
                <w:color w:val="1F497D"/>
              </w:rPr>
            </w:pPr>
            <w:r>
              <w:rPr>
                <w:color w:val="1F497D"/>
              </w:rPr>
              <w:t>In addition (Walsh, 2009), it will cover techniques to evaluate how the students have rated their own short and long term benefits from learning these skills and how we plan to track the student’s progress throughout their course.</w:t>
            </w:r>
          </w:p>
          <w:p w:rsidR="003C78E1" w:rsidRDefault="003C78E1" w:rsidP="003C78E1">
            <w:pPr>
              <w:rPr>
                <w:color w:val="1F497D"/>
              </w:rPr>
            </w:pPr>
          </w:p>
          <w:p w:rsidR="003C78E1" w:rsidRDefault="003C78E1" w:rsidP="003C78E1">
            <w:pPr>
              <w:rPr>
                <w:color w:val="1F497D"/>
              </w:rPr>
            </w:pPr>
          </w:p>
          <w:p w:rsidR="003C78E1" w:rsidRDefault="003C78E1" w:rsidP="003C78E1">
            <w:pPr>
              <w:rPr>
                <w:rFonts w:ascii="MS Gothic" w:eastAsia="MS Gothic" w:hAnsi="MS Gothic"/>
                <w:color w:val="1F497D"/>
                <w:lang w:val="en-US"/>
              </w:rPr>
            </w:pPr>
            <w:r>
              <w:rPr>
                <w:color w:val="1F497D"/>
              </w:rPr>
              <w:t xml:space="preserve">Bruce, C. S. (2008). </w:t>
            </w:r>
            <w:r>
              <w:rPr>
                <w:i/>
                <w:iCs/>
                <w:color w:val="1F497D"/>
              </w:rPr>
              <w:t>Informed Learning</w:t>
            </w:r>
            <w:r>
              <w:rPr>
                <w:color w:val="1F497D"/>
              </w:rPr>
              <w:t xml:space="preserve">. Chicago, IL: Association of College &amp; Research Libraries/American Library Association. </w:t>
            </w:r>
            <w:r>
              <w:rPr>
                <w:rFonts w:ascii="MS Gothic" w:eastAsia="MS Gothic" w:hAnsi="MS Gothic" w:hint="eastAsia"/>
                <w:color w:val="1F497D"/>
                <w:lang w:val="en-US"/>
              </w:rPr>
              <w:t> </w:t>
            </w:r>
          </w:p>
          <w:p w:rsidR="003C78E1" w:rsidRDefault="003C78E1" w:rsidP="003C78E1">
            <w:pPr>
              <w:rPr>
                <w:color w:val="1F497D"/>
              </w:rPr>
            </w:pPr>
          </w:p>
          <w:p w:rsidR="003C78E1" w:rsidRDefault="003C78E1" w:rsidP="003C78E1">
            <w:pPr>
              <w:rPr>
                <w:color w:val="1F497D"/>
              </w:rPr>
            </w:pPr>
            <w:r>
              <w:rPr>
                <w:color w:val="1F497D"/>
              </w:rPr>
              <w:lastRenderedPageBreak/>
              <w:t xml:space="preserve">Bruce, C. and Hughes, H. (2010) ‘Informed learning: a pedagogical construct connecting information and learning’, </w:t>
            </w:r>
            <w:r>
              <w:rPr>
                <w:i/>
                <w:iCs/>
                <w:color w:val="1F497D"/>
              </w:rPr>
              <w:t>Library and Information Science Research</w:t>
            </w:r>
            <w:r>
              <w:rPr>
                <w:color w:val="1F497D"/>
              </w:rPr>
              <w:t>, 32(4), pp.A2-A8</w:t>
            </w:r>
          </w:p>
          <w:p w:rsidR="003C78E1" w:rsidRDefault="003C78E1" w:rsidP="003C78E1">
            <w:pPr>
              <w:rPr>
                <w:color w:val="1F497D"/>
              </w:rPr>
            </w:pPr>
          </w:p>
          <w:p w:rsidR="003C78E1" w:rsidRDefault="003C78E1" w:rsidP="003C78E1">
            <w:pPr>
              <w:rPr>
                <w:color w:val="1F497D"/>
              </w:rPr>
            </w:pPr>
            <w:r>
              <w:rPr>
                <w:color w:val="1F497D"/>
              </w:rPr>
              <w:t xml:space="preserve">Cottrell, S. (2001) </w:t>
            </w:r>
            <w:r>
              <w:rPr>
                <w:i/>
                <w:iCs/>
                <w:color w:val="1F497D"/>
              </w:rPr>
              <w:t>Teaching study skills and supporting learning</w:t>
            </w:r>
            <w:r>
              <w:rPr>
                <w:color w:val="1F497D"/>
              </w:rPr>
              <w:t>. Basingstoke: Palgrave.</w:t>
            </w:r>
          </w:p>
          <w:p w:rsidR="003C78E1" w:rsidRDefault="003C78E1" w:rsidP="003C78E1">
            <w:pPr>
              <w:rPr>
                <w:color w:val="1F497D"/>
              </w:rPr>
            </w:pPr>
          </w:p>
          <w:p w:rsidR="003C78E1" w:rsidRDefault="003C78E1" w:rsidP="003C78E1">
            <w:pPr>
              <w:rPr>
                <w:color w:val="1F497D"/>
              </w:rPr>
            </w:pPr>
            <w:r>
              <w:rPr>
                <w:color w:val="1F497D"/>
              </w:rPr>
              <w:t xml:space="preserve">Forster, M. (ed.) (2017) </w:t>
            </w:r>
            <w:r>
              <w:rPr>
                <w:i/>
                <w:iCs/>
                <w:color w:val="1F497D"/>
              </w:rPr>
              <w:t>Information Literacy in the workplace</w:t>
            </w:r>
            <w:r>
              <w:rPr>
                <w:color w:val="1F497D"/>
              </w:rPr>
              <w:t>. London: Facet.</w:t>
            </w:r>
          </w:p>
          <w:p w:rsidR="003C78E1" w:rsidRDefault="003C78E1" w:rsidP="003C78E1">
            <w:pPr>
              <w:rPr>
                <w:color w:val="1F497D"/>
              </w:rPr>
            </w:pPr>
          </w:p>
          <w:p w:rsidR="003C78E1" w:rsidRDefault="003C78E1" w:rsidP="003C78E1">
            <w:pPr>
              <w:rPr>
                <w:color w:val="1F497D"/>
              </w:rPr>
            </w:pPr>
            <w:r>
              <w:rPr>
                <w:color w:val="1F497D"/>
              </w:rPr>
              <w:t xml:space="preserve">Tarrant, M., Dodgson, J. E., &amp; Law, B. V. K. K. (2008) ‘A curricular approach to improve the information literacy and academic writing skills of part-time post-registration nursing students in Hong Kong’, </w:t>
            </w:r>
            <w:r>
              <w:rPr>
                <w:i/>
                <w:iCs/>
                <w:color w:val="1F497D"/>
              </w:rPr>
              <w:t>Nurse Education Today</w:t>
            </w:r>
            <w:r>
              <w:rPr>
                <w:color w:val="1F497D"/>
              </w:rPr>
              <w:t>, 28(4), pp.458-468.</w:t>
            </w:r>
          </w:p>
          <w:p w:rsidR="003C78E1" w:rsidRDefault="003C78E1" w:rsidP="003C78E1">
            <w:pPr>
              <w:rPr>
                <w:color w:val="1F497D"/>
              </w:rPr>
            </w:pPr>
          </w:p>
          <w:p w:rsidR="003C78E1" w:rsidRDefault="003C78E1" w:rsidP="003C78E1">
            <w:pPr>
              <w:rPr>
                <w:color w:val="1F497D"/>
              </w:rPr>
            </w:pPr>
            <w:r>
              <w:rPr>
                <w:color w:val="1F497D"/>
              </w:rPr>
              <w:t xml:space="preserve">Walsh, A.  (2009) ‘Information Literacy Assessment: Where Do We Start?’, </w:t>
            </w:r>
            <w:r>
              <w:rPr>
                <w:i/>
                <w:iCs/>
                <w:color w:val="1F497D"/>
              </w:rPr>
              <w:t>Journal of Librarianship and Information Science</w:t>
            </w:r>
            <w:r>
              <w:rPr>
                <w:color w:val="1F497D"/>
              </w:rPr>
              <w:t>, 41(1), pp.19-28.</w:t>
            </w:r>
          </w:p>
          <w:p w:rsidR="003C78E1" w:rsidRDefault="003C78E1">
            <w:pPr>
              <w:spacing w:line="256" w:lineRule="auto"/>
            </w:pPr>
          </w:p>
          <w:p w:rsidR="003C78E1" w:rsidRDefault="003C78E1">
            <w:pPr>
              <w:spacing w:line="256" w:lineRule="auto"/>
            </w:pPr>
          </w:p>
          <w:p w:rsidR="003C78E1" w:rsidRDefault="003C78E1">
            <w:pPr>
              <w:spacing w:line="256" w:lineRule="auto"/>
            </w:pPr>
          </w:p>
          <w:p w:rsidR="003C78E1" w:rsidRDefault="003C78E1">
            <w:pPr>
              <w:spacing w:line="256" w:lineRule="auto"/>
            </w:pPr>
          </w:p>
        </w:tc>
      </w:tr>
      <w:tr w:rsidR="003C78E1" w:rsidTr="003C78E1">
        <w:tc>
          <w:tcPr>
            <w:tcW w:w="2943" w:type="dxa"/>
            <w:tcBorders>
              <w:top w:val="single" w:sz="4" w:space="0" w:color="auto"/>
              <w:left w:val="single" w:sz="4" w:space="0" w:color="auto"/>
              <w:bottom w:val="single" w:sz="4" w:space="0" w:color="auto"/>
              <w:right w:val="single" w:sz="4" w:space="0" w:color="auto"/>
            </w:tcBorders>
          </w:tcPr>
          <w:p w:rsidR="003C78E1" w:rsidRDefault="003C78E1">
            <w:pPr>
              <w:spacing w:line="256" w:lineRule="auto"/>
              <w:rPr>
                <w:b/>
              </w:rPr>
            </w:pPr>
          </w:p>
          <w:p w:rsidR="003C78E1" w:rsidRDefault="003C78E1">
            <w:pPr>
              <w:spacing w:line="256" w:lineRule="auto"/>
              <w:rPr>
                <w:b/>
                <w:bCs/>
              </w:rPr>
            </w:pPr>
            <w:r>
              <w:rPr>
                <w:b/>
                <w:bCs/>
              </w:rPr>
              <w:t>Author Name(s)</w:t>
            </w:r>
          </w:p>
          <w:p w:rsidR="003C78E1" w:rsidRDefault="003C78E1">
            <w:pPr>
              <w:spacing w:line="256" w:lineRule="auto"/>
            </w:pPr>
          </w:p>
        </w:tc>
        <w:tc>
          <w:tcPr>
            <w:tcW w:w="6911" w:type="dxa"/>
            <w:tcBorders>
              <w:top w:val="single" w:sz="4" w:space="0" w:color="auto"/>
              <w:left w:val="single" w:sz="4" w:space="0" w:color="auto"/>
              <w:bottom w:val="single" w:sz="4" w:space="0" w:color="auto"/>
              <w:right w:val="single" w:sz="4" w:space="0" w:color="auto"/>
            </w:tcBorders>
            <w:hideMark/>
          </w:tcPr>
          <w:p w:rsidR="003C78E1" w:rsidRDefault="003C78E1">
            <w:pPr>
              <w:spacing w:line="256" w:lineRule="auto"/>
            </w:pPr>
            <w:r>
              <w:t>Davina Omar, Susan McGlamery, Marc Forster and Katie McNamara</w:t>
            </w:r>
          </w:p>
        </w:tc>
      </w:tr>
      <w:tr w:rsidR="003C78E1" w:rsidTr="003C78E1">
        <w:tc>
          <w:tcPr>
            <w:tcW w:w="2943" w:type="dxa"/>
            <w:tcBorders>
              <w:top w:val="single" w:sz="4" w:space="0" w:color="auto"/>
              <w:left w:val="single" w:sz="4" w:space="0" w:color="auto"/>
              <w:bottom w:val="single" w:sz="4" w:space="0" w:color="auto"/>
              <w:right w:val="single" w:sz="4" w:space="0" w:color="auto"/>
            </w:tcBorders>
          </w:tcPr>
          <w:p w:rsidR="003C78E1" w:rsidRDefault="003C78E1">
            <w:pPr>
              <w:spacing w:line="256" w:lineRule="auto"/>
              <w:rPr>
                <w:b/>
              </w:rPr>
            </w:pPr>
          </w:p>
          <w:p w:rsidR="003C78E1" w:rsidRDefault="003C78E1">
            <w:pPr>
              <w:spacing w:line="256" w:lineRule="auto"/>
              <w:rPr>
                <w:b/>
                <w:bCs/>
              </w:rPr>
            </w:pPr>
            <w:r>
              <w:rPr>
                <w:b/>
                <w:bCs/>
              </w:rPr>
              <w:t>School / Department</w:t>
            </w:r>
          </w:p>
          <w:p w:rsidR="003C78E1" w:rsidRDefault="003C78E1">
            <w:pPr>
              <w:spacing w:line="256" w:lineRule="auto"/>
            </w:pPr>
          </w:p>
        </w:tc>
        <w:tc>
          <w:tcPr>
            <w:tcW w:w="6911" w:type="dxa"/>
            <w:tcBorders>
              <w:top w:val="single" w:sz="4" w:space="0" w:color="auto"/>
              <w:left w:val="single" w:sz="4" w:space="0" w:color="auto"/>
              <w:bottom w:val="single" w:sz="4" w:space="0" w:color="auto"/>
              <w:right w:val="single" w:sz="4" w:space="0" w:color="auto"/>
            </w:tcBorders>
            <w:hideMark/>
          </w:tcPr>
          <w:p w:rsidR="003C78E1" w:rsidRDefault="003C78E1">
            <w:pPr>
              <w:spacing w:line="256" w:lineRule="auto"/>
            </w:pPr>
            <w:r>
              <w:t>Library Services</w:t>
            </w:r>
          </w:p>
        </w:tc>
      </w:tr>
    </w:tbl>
    <w:p w:rsidR="003C78E1" w:rsidRDefault="003C78E1" w:rsidP="003C78E1"/>
    <w:p w:rsidR="003C78E1" w:rsidRDefault="003C78E1" w:rsidP="003C78E1"/>
    <w:p w:rsidR="003C78E1" w:rsidRDefault="00EE2D66" w:rsidP="003C78E1">
      <w:hyperlink r:id="rId4" w:history="1">
        <w:r w:rsidR="003C78E1">
          <w:rPr>
            <w:rStyle w:val="Hyperlink"/>
          </w:rPr>
          <w:t>https://prezi.com/p/teedzp36z4-u/</w:t>
        </w:r>
      </w:hyperlink>
    </w:p>
    <w:p w:rsidR="00AF71F5" w:rsidRDefault="00AF71F5"/>
    <w:sectPr w:rsidR="00AF71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8E1"/>
    <w:rsid w:val="00001379"/>
    <w:rsid w:val="00017B3A"/>
    <w:rsid w:val="000252A2"/>
    <w:rsid w:val="000377E8"/>
    <w:rsid w:val="000536BB"/>
    <w:rsid w:val="0009130E"/>
    <w:rsid w:val="00091C20"/>
    <w:rsid w:val="00094B9E"/>
    <w:rsid w:val="000D7CBC"/>
    <w:rsid w:val="000F46A9"/>
    <w:rsid w:val="000F67F0"/>
    <w:rsid w:val="00104093"/>
    <w:rsid w:val="00112C05"/>
    <w:rsid w:val="00127F71"/>
    <w:rsid w:val="00140CA9"/>
    <w:rsid w:val="00225ED9"/>
    <w:rsid w:val="00232B47"/>
    <w:rsid w:val="00252948"/>
    <w:rsid w:val="00255502"/>
    <w:rsid w:val="002608A1"/>
    <w:rsid w:val="00264D71"/>
    <w:rsid w:val="002827D3"/>
    <w:rsid w:val="00285DB6"/>
    <w:rsid w:val="0029294A"/>
    <w:rsid w:val="00295354"/>
    <w:rsid w:val="002A69CD"/>
    <w:rsid w:val="002C3628"/>
    <w:rsid w:val="003009B1"/>
    <w:rsid w:val="00312FC1"/>
    <w:rsid w:val="0031658B"/>
    <w:rsid w:val="003C1DFC"/>
    <w:rsid w:val="003C69BE"/>
    <w:rsid w:val="003C78E1"/>
    <w:rsid w:val="003F2320"/>
    <w:rsid w:val="00415E46"/>
    <w:rsid w:val="0042219B"/>
    <w:rsid w:val="00433E99"/>
    <w:rsid w:val="00436F3E"/>
    <w:rsid w:val="0045729B"/>
    <w:rsid w:val="00477EAF"/>
    <w:rsid w:val="004E6FD2"/>
    <w:rsid w:val="00516A11"/>
    <w:rsid w:val="005248A4"/>
    <w:rsid w:val="00536760"/>
    <w:rsid w:val="00546D23"/>
    <w:rsid w:val="005631AE"/>
    <w:rsid w:val="005C19E9"/>
    <w:rsid w:val="005D1F42"/>
    <w:rsid w:val="005F2624"/>
    <w:rsid w:val="005F5DD2"/>
    <w:rsid w:val="005F7256"/>
    <w:rsid w:val="00605D21"/>
    <w:rsid w:val="00685FB0"/>
    <w:rsid w:val="0069392A"/>
    <w:rsid w:val="006B28BC"/>
    <w:rsid w:val="006D5C78"/>
    <w:rsid w:val="00700EC2"/>
    <w:rsid w:val="007017F8"/>
    <w:rsid w:val="0070723B"/>
    <w:rsid w:val="0071433B"/>
    <w:rsid w:val="00752ED7"/>
    <w:rsid w:val="00763343"/>
    <w:rsid w:val="007724B5"/>
    <w:rsid w:val="00775CDD"/>
    <w:rsid w:val="007B6832"/>
    <w:rsid w:val="007D2960"/>
    <w:rsid w:val="00841C3A"/>
    <w:rsid w:val="008A348A"/>
    <w:rsid w:val="008C6B23"/>
    <w:rsid w:val="008D50B3"/>
    <w:rsid w:val="008E29EE"/>
    <w:rsid w:val="008E762F"/>
    <w:rsid w:val="00913042"/>
    <w:rsid w:val="00914CEB"/>
    <w:rsid w:val="009368DD"/>
    <w:rsid w:val="00942F5E"/>
    <w:rsid w:val="009509D6"/>
    <w:rsid w:val="00961695"/>
    <w:rsid w:val="00964E80"/>
    <w:rsid w:val="00975E79"/>
    <w:rsid w:val="0098662F"/>
    <w:rsid w:val="00990049"/>
    <w:rsid w:val="009B6869"/>
    <w:rsid w:val="009D11C1"/>
    <w:rsid w:val="00A66482"/>
    <w:rsid w:val="00A97484"/>
    <w:rsid w:val="00AA36A2"/>
    <w:rsid w:val="00AF5AD3"/>
    <w:rsid w:val="00AF71F5"/>
    <w:rsid w:val="00B1461C"/>
    <w:rsid w:val="00B527C2"/>
    <w:rsid w:val="00BA0065"/>
    <w:rsid w:val="00BA5B35"/>
    <w:rsid w:val="00C01B16"/>
    <w:rsid w:val="00C22882"/>
    <w:rsid w:val="00C5187A"/>
    <w:rsid w:val="00C7043E"/>
    <w:rsid w:val="00C76744"/>
    <w:rsid w:val="00CC0992"/>
    <w:rsid w:val="00CC1EDB"/>
    <w:rsid w:val="00CD3526"/>
    <w:rsid w:val="00CE7761"/>
    <w:rsid w:val="00CE77CF"/>
    <w:rsid w:val="00D256DC"/>
    <w:rsid w:val="00D67A9A"/>
    <w:rsid w:val="00D718C2"/>
    <w:rsid w:val="00D80AFC"/>
    <w:rsid w:val="00D8198F"/>
    <w:rsid w:val="00D94684"/>
    <w:rsid w:val="00D95076"/>
    <w:rsid w:val="00DA4A2A"/>
    <w:rsid w:val="00DA79A0"/>
    <w:rsid w:val="00E0417F"/>
    <w:rsid w:val="00E12D39"/>
    <w:rsid w:val="00E17274"/>
    <w:rsid w:val="00E67DB9"/>
    <w:rsid w:val="00E7480C"/>
    <w:rsid w:val="00E96D55"/>
    <w:rsid w:val="00EB2AC0"/>
    <w:rsid w:val="00EC6D2D"/>
    <w:rsid w:val="00EE2D66"/>
    <w:rsid w:val="00EF67E0"/>
    <w:rsid w:val="00F243DE"/>
    <w:rsid w:val="00F34468"/>
    <w:rsid w:val="00F56A31"/>
    <w:rsid w:val="00F6129D"/>
    <w:rsid w:val="00F7165F"/>
    <w:rsid w:val="00F80C3A"/>
    <w:rsid w:val="00FD5D46"/>
    <w:rsid w:val="00FE16B6"/>
    <w:rsid w:val="00FE543E"/>
    <w:rsid w:val="00FF4A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BE7DE5-9A06-403C-87EE-A206C9539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78E1"/>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3C78E1"/>
    <w:pPr>
      <w:keepNext/>
      <w:spacing w:before="240" w:after="60"/>
      <w:outlineLvl w:val="0"/>
    </w:pPr>
    <w:rPr>
      <w:rFonts w:ascii="Calibri Light" w:eastAsia="Times New Roman" w:hAnsi="Calibri Light"/>
      <w:b/>
      <w:bCs/>
      <w:kern w:val="32"/>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C78E1"/>
    <w:rPr>
      <w:color w:val="0563C1"/>
      <w:u w:val="single"/>
    </w:rPr>
  </w:style>
  <w:style w:type="character" w:customStyle="1" w:styleId="Heading1Char">
    <w:name w:val="Heading 1 Char"/>
    <w:basedOn w:val="DefaultParagraphFont"/>
    <w:link w:val="Heading1"/>
    <w:uiPriority w:val="9"/>
    <w:rsid w:val="003C78E1"/>
    <w:rPr>
      <w:rFonts w:ascii="Calibri Light" w:eastAsia="Times New Roman" w:hAnsi="Calibri Light" w:cs="Times New Roman"/>
      <w:b/>
      <w:bCs/>
      <w:kern w:val="32"/>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934546">
      <w:bodyDiv w:val="1"/>
      <w:marLeft w:val="0"/>
      <w:marRight w:val="0"/>
      <w:marTop w:val="0"/>
      <w:marBottom w:val="0"/>
      <w:divBdr>
        <w:top w:val="none" w:sz="0" w:space="0" w:color="auto"/>
        <w:left w:val="none" w:sz="0" w:space="0" w:color="auto"/>
        <w:bottom w:val="none" w:sz="0" w:space="0" w:color="auto"/>
        <w:right w:val="none" w:sz="0" w:space="0" w:color="auto"/>
      </w:divBdr>
    </w:div>
    <w:div w:id="890772751">
      <w:bodyDiv w:val="1"/>
      <w:marLeft w:val="0"/>
      <w:marRight w:val="0"/>
      <w:marTop w:val="0"/>
      <w:marBottom w:val="0"/>
      <w:divBdr>
        <w:top w:val="none" w:sz="0" w:space="0" w:color="auto"/>
        <w:left w:val="none" w:sz="0" w:space="0" w:color="auto"/>
        <w:bottom w:val="none" w:sz="0" w:space="0" w:color="auto"/>
        <w:right w:val="none" w:sz="0" w:space="0" w:color="auto"/>
      </w:divBdr>
    </w:div>
    <w:div w:id="93598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rezi.com/p/teedzp36z4-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2844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West London</Company>
  <LinksUpToDate>false</LinksUpToDate>
  <CharactersWithSpaces>3336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Mcglamery</dc:creator>
  <cp:keywords/>
  <dc:description/>
  <cp:lastModifiedBy>Dominic Walker</cp:lastModifiedBy>
  <cp:revision>2</cp:revision>
  <dcterms:created xsi:type="dcterms:W3CDTF">2017-07-03T12:30:00Z</dcterms:created>
  <dcterms:modified xsi:type="dcterms:W3CDTF">2017-07-03T12:30:00Z</dcterms:modified>
</cp:coreProperties>
</file>