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5AF68" w14:textId="2D896DD6" w:rsidR="00382CE8" w:rsidRDefault="00767083">
      <w:pPr>
        <w:rPr>
          <w:b/>
        </w:rPr>
      </w:pPr>
      <w:r>
        <w:rPr>
          <w:b/>
        </w:rPr>
        <w:t xml:space="preserve">Title: </w:t>
      </w:r>
      <w:r w:rsidR="004B3C2B" w:rsidRPr="00767083">
        <w:t>Challenging the Gendered Discourse of Domestic Violence</w:t>
      </w:r>
      <w:r w:rsidR="002E4A2A" w:rsidRPr="00767083">
        <w:t>: Comments on the Istanbul Convention</w:t>
      </w:r>
    </w:p>
    <w:p w14:paraId="6BD6CE78" w14:textId="2A989933" w:rsidR="004B3C2B" w:rsidRPr="00767083" w:rsidRDefault="00767083">
      <w:pPr>
        <w:rPr>
          <w:b/>
        </w:rPr>
      </w:pPr>
      <w:r>
        <w:rPr>
          <w:b/>
        </w:rPr>
        <w:t xml:space="preserve">Author: </w:t>
      </w:r>
      <w:r w:rsidR="004B3C2B" w:rsidRPr="00767083">
        <w:t>Dr Ben Hine</w:t>
      </w:r>
      <w:r>
        <w:rPr>
          <w:vertAlign w:val="superscript"/>
        </w:rPr>
        <w:t>i</w:t>
      </w:r>
    </w:p>
    <w:p w14:paraId="2ABBB972" w14:textId="44EB2A91" w:rsidR="004B3C2B" w:rsidRPr="00767083" w:rsidRDefault="00767083">
      <w:pPr>
        <w:rPr>
          <w:sz w:val="20"/>
        </w:rPr>
      </w:pPr>
      <w:r w:rsidRPr="00767083">
        <w:rPr>
          <w:sz w:val="20"/>
          <w:vertAlign w:val="superscript"/>
        </w:rPr>
        <w:t>i</w:t>
      </w:r>
      <w:r w:rsidR="004B3C2B" w:rsidRPr="00767083">
        <w:rPr>
          <w:sz w:val="20"/>
        </w:rPr>
        <w:t>Senior Lecturer in Psychology, University of West London</w:t>
      </w:r>
    </w:p>
    <w:p w14:paraId="7EC61AF5" w14:textId="77777777" w:rsidR="004B3C2B" w:rsidRDefault="004B3C2B">
      <w:pPr>
        <w:rPr>
          <w:b/>
        </w:rPr>
      </w:pPr>
    </w:p>
    <w:p w14:paraId="246A43B1" w14:textId="799E8A53" w:rsidR="00263E02" w:rsidRDefault="00981983" w:rsidP="00263E02">
      <w:bookmarkStart w:id="0" w:name="_GoBack"/>
      <w:bookmarkEnd w:id="0"/>
      <w:r>
        <w:t xml:space="preserve">The </w:t>
      </w:r>
      <w:r w:rsidRPr="00686A27">
        <w:rPr>
          <w:i/>
        </w:rPr>
        <w:t xml:space="preserve">Istanbul </w:t>
      </w:r>
      <w:r w:rsidR="00686A27">
        <w:rPr>
          <w:i/>
        </w:rPr>
        <w:t>C</w:t>
      </w:r>
      <w:r w:rsidRPr="00686A27">
        <w:rPr>
          <w:i/>
        </w:rPr>
        <w:t>onvention</w:t>
      </w:r>
      <w:r w:rsidR="00E62339">
        <w:t xml:space="preserve"> </w:t>
      </w:r>
      <w:r w:rsidR="00E62339">
        <w:fldChar w:fldCharType="begin"/>
      </w:r>
      <w:r w:rsidR="00E62339">
        <w:instrText xml:space="preserve"> ADDIN EN.CITE &lt;EndNote&gt;&lt;Cite&gt;&lt;Author&gt;Europe&lt;/Author&gt;&lt;Year&gt;2017&lt;/Year&gt;&lt;RecNum&gt;938&lt;/RecNum&gt;&lt;DisplayText&gt;(Council of Europe, 2017)&lt;/DisplayText&gt;&lt;record&gt;&lt;rec-number&gt;938&lt;/rec-number&gt;&lt;foreign-keys&gt;&lt;key app="EN" db-id="f5p9zd5zqsratqef5sv5pz2wpve092vrdw52" timestamp="1489582162"&gt;938&lt;/key&gt;&lt;/foreign-keys&gt;&lt;ref-type name="Web Page"&gt;12&lt;/ref-type&gt;&lt;contributors&gt;&lt;authors&gt;&lt;author&gt;Council of Europe,&lt;/author&gt;&lt;/authors&gt;&lt;/contributors&gt;&lt;titles&gt;&lt;title&gt;Istanbul Convention: Action against violence against women and domestic violence&lt;/title&gt;&lt;/titles&gt;&lt;dates&gt;&lt;year&gt;2017&lt;/year&gt;&lt;/dates&gt;&lt;urls&gt;&lt;related-urls&gt;&lt;url&gt;http://www.coe.int/en/web/istanbul-convention/home&lt;/url&gt;&lt;/related-urls&gt;&lt;/urls&gt;&lt;/record&gt;&lt;/Cite&gt;&lt;/EndNote&gt;</w:instrText>
      </w:r>
      <w:r w:rsidR="00E62339">
        <w:fldChar w:fldCharType="separate"/>
      </w:r>
      <w:r w:rsidR="00E62339">
        <w:rPr>
          <w:noProof/>
        </w:rPr>
        <w:t>(Council of Europe, 2017)</w:t>
      </w:r>
      <w:r w:rsidR="00E62339">
        <w:fldChar w:fldCharType="end"/>
      </w:r>
      <w:r w:rsidR="00C623AC">
        <w:t xml:space="preserve"> </w:t>
      </w:r>
      <w:r w:rsidR="00263E02">
        <w:t>is arguably a landmark policy</w:t>
      </w:r>
      <w:r w:rsidR="00A850CF">
        <w:t>, designed to</w:t>
      </w:r>
      <w:r w:rsidR="00263E02">
        <w:t xml:space="preserve"> tackle domestic violence across </w:t>
      </w:r>
      <w:r w:rsidR="00C623AC">
        <w:t>the continent</w:t>
      </w:r>
      <w:r w:rsidR="00263E02">
        <w:t>. A</w:t>
      </w:r>
      <w:r w:rsidR="00A850CF">
        <w:t>t present</w:t>
      </w:r>
      <w:r w:rsidR="00263E02">
        <w:t xml:space="preserve"> this has been signed</w:t>
      </w:r>
      <w:r w:rsidR="00C623AC">
        <w:t xml:space="preserve"> by 44 members of the European C</w:t>
      </w:r>
      <w:r w:rsidR="00263E02">
        <w:t xml:space="preserve">ouncil, and has subsequently been ratified in 22 of those nations. </w:t>
      </w:r>
      <w:r w:rsidR="00C623AC">
        <w:t>As</w:t>
      </w:r>
      <w:r w:rsidR="00263E02">
        <w:t xml:space="preserve"> with many </w:t>
      </w:r>
      <w:r w:rsidR="00A850CF">
        <w:t xml:space="preserve">corresponding </w:t>
      </w:r>
      <w:r w:rsidR="00263E02">
        <w:t xml:space="preserve">legislative examples </w:t>
      </w:r>
      <w:r w:rsidR="00A850CF">
        <w:t>with</w:t>
      </w:r>
      <w:r w:rsidR="00263E02">
        <w:t xml:space="preserve">in </w:t>
      </w:r>
      <w:r w:rsidR="003F0067">
        <w:t>individual</w:t>
      </w:r>
      <w:r w:rsidR="00263E02">
        <w:t xml:space="preserve"> </w:t>
      </w:r>
      <w:r w:rsidR="003F0067">
        <w:t>nations</w:t>
      </w:r>
      <w:r w:rsidR="00263E02">
        <w:t>, the definition provided for ‘domestic violence’ is characteristically ‘neutral’ in its use of language</w:t>
      </w:r>
      <w:r w:rsidR="00981856">
        <w:t xml:space="preserve"> in terms of</w:t>
      </w:r>
      <w:r w:rsidR="00263E02">
        <w:t xml:space="preserve"> gender or sexuality</w:t>
      </w:r>
      <w:r w:rsidR="00981856">
        <w:t>, in this case making no reference to either</w:t>
      </w:r>
      <w:r w:rsidR="00263E02">
        <w:t>:</w:t>
      </w:r>
    </w:p>
    <w:p w14:paraId="5101C42E" w14:textId="77777777" w:rsidR="00263E02" w:rsidRDefault="00263E02" w:rsidP="00263E02"/>
    <w:p w14:paraId="4F8C5922" w14:textId="770AC3DA" w:rsidR="00263E02" w:rsidRPr="00263E02" w:rsidRDefault="00263E02" w:rsidP="00A42A9C">
      <w:pPr>
        <w:ind w:left="288" w:right="288"/>
        <w:rPr>
          <w:sz w:val="20"/>
          <w:szCs w:val="20"/>
        </w:rPr>
      </w:pPr>
      <w:r w:rsidRPr="00263E02">
        <w:rPr>
          <w:sz w:val="20"/>
          <w:szCs w:val="20"/>
        </w:rPr>
        <w:t>‘“domestic violence” shall mean all acts of physical, sexual, psychological or economic violence that occur within the family or domestic unit or between former or current spouses or partners, whether or not the perpetrator shares or has shared the same residence with the victim’</w:t>
      </w:r>
      <w:r w:rsidR="00A42A9C">
        <w:rPr>
          <w:sz w:val="20"/>
          <w:szCs w:val="20"/>
        </w:rPr>
        <w:t xml:space="preserve"> (p. 8)</w:t>
      </w:r>
    </w:p>
    <w:p w14:paraId="3A09095C" w14:textId="77777777" w:rsidR="0072020D" w:rsidRDefault="0072020D"/>
    <w:p w14:paraId="11053353" w14:textId="1065BF1F" w:rsidR="004B3C2B" w:rsidRDefault="00981856">
      <w:r>
        <w:t>Using</w:t>
      </w:r>
      <w:r w:rsidR="002350DB">
        <w:t xml:space="preserve"> </w:t>
      </w:r>
      <w:r>
        <w:t xml:space="preserve">the UK government’s definition as </w:t>
      </w:r>
      <w:r w:rsidR="00A850CF">
        <w:t>a</w:t>
      </w:r>
      <w:r w:rsidR="002350DB">
        <w:t xml:space="preserve"> corresponding national example, </w:t>
      </w:r>
      <w:r>
        <w:t>this aspect is even clearer, as the current definition illustrates</w:t>
      </w:r>
      <w:r w:rsidR="00215DB3">
        <w:t>:</w:t>
      </w:r>
    </w:p>
    <w:p w14:paraId="0F8EB69F" w14:textId="77777777" w:rsidR="00215DB3" w:rsidRDefault="00215DB3"/>
    <w:p w14:paraId="3138C6AE" w14:textId="59350A48" w:rsidR="00215DB3" w:rsidRPr="002350DB" w:rsidRDefault="00263E02" w:rsidP="00A42A9C">
      <w:pPr>
        <w:ind w:left="288" w:right="288"/>
        <w:rPr>
          <w:sz w:val="20"/>
          <w:szCs w:val="20"/>
        </w:rPr>
      </w:pPr>
      <w:r>
        <w:rPr>
          <w:sz w:val="20"/>
          <w:szCs w:val="20"/>
          <w:lang w:val="en-US"/>
        </w:rPr>
        <w:t>‘</w:t>
      </w:r>
      <w:r w:rsidR="00215DB3" w:rsidRPr="00263E02">
        <w:rPr>
          <w:sz w:val="20"/>
          <w:szCs w:val="20"/>
          <w:lang w:val="en-US"/>
        </w:rPr>
        <w:t xml:space="preserve">Any incident or pattern of incidents of controlling, coercive or threatening behaviour, violence or abuse between those aged 16 or over who are or have been intimate partners or family members regardless of </w:t>
      </w:r>
      <w:r w:rsidR="00215DB3" w:rsidRPr="00263E02">
        <w:rPr>
          <w:b/>
          <w:bCs/>
          <w:sz w:val="20"/>
          <w:szCs w:val="20"/>
          <w:lang w:val="en-US"/>
        </w:rPr>
        <w:t>gender or sexuality</w:t>
      </w:r>
      <w:r w:rsidR="00215DB3" w:rsidRPr="00263E02">
        <w:rPr>
          <w:sz w:val="20"/>
          <w:szCs w:val="20"/>
          <w:lang w:val="en-US"/>
        </w:rPr>
        <w:t>. This can encompass but is not limited to the following types of abuse:</w:t>
      </w:r>
      <w:r>
        <w:rPr>
          <w:sz w:val="20"/>
          <w:szCs w:val="20"/>
        </w:rPr>
        <w:t xml:space="preserve"> </w:t>
      </w:r>
      <w:r w:rsidR="00382CE8" w:rsidRPr="00263E02">
        <w:rPr>
          <w:sz w:val="20"/>
          <w:szCs w:val="20"/>
          <w:lang w:val="en-US"/>
        </w:rPr>
        <w:t>Psychological</w:t>
      </w:r>
      <w:r>
        <w:rPr>
          <w:sz w:val="20"/>
          <w:szCs w:val="20"/>
        </w:rPr>
        <w:t xml:space="preserve">, </w:t>
      </w:r>
      <w:r w:rsidR="00382CE8" w:rsidRPr="00263E02">
        <w:rPr>
          <w:sz w:val="20"/>
          <w:szCs w:val="20"/>
          <w:lang w:val="en-US"/>
        </w:rPr>
        <w:t>Physical</w:t>
      </w:r>
      <w:r>
        <w:rPr>
          <w:sz w:val="20"/>
          <w:szCs w:val="20"/>
        </w:rPr>
        <w:t xml:space="preserve">, </w:t>
      </w:r>
      <w:r w:rsidR="00382CE8" w:rsidRPr="00263E02">
        <w:rPr>
          <w:sz w:val="20"/>
          <w:szCs w:val="20"/>
          <w:lang w:val="en-US"/>
        </w:rPr>
        <w:t>Sexual</w:t>
      </w:r>
      <w:r>
        <w:rPr>
          <w:sz w:val="20"/>
          <w:szCs w:val="20"/>
        </w:rPr>
        <w:t xml:space="preserve">, </w:t>
      </w:r>
      <w:r w:rsidR="00382CE8" w:rsidRPr="00263E02">
        <w:rPr>
          <w:sz w:val="20"/>
          <w:szCs w:val="20"/>
          <w:lang w:val="en-US"/>
        </w:rPr>
        <w:t>Financial</w:t>
      </w:r>
      <w:r>
        <w:rPr>
          <w:sz w:val="20"/>
          <w:szCs w:val="20"/>
        </w:rPr>
        <w:t xml:space="preserve">, </w:t>
      </w:r>
      <w:r w:rsidR="00215DB3" w:rsidRPr="00263E02">
        <w:rPr>
          <w:sz w:val="20"/>
          <w:szCs w:val="20"/>
          <w:lang w:val="en-US"/>
        </w:rPr>
        <w:t>Emotional</w:t>
      </w:r>
      <w:r>
        <w:rPr>
          <w:sz w:val="20"/>
          <w:szCs w:val="20"/>
        </w:rPr>
        <w:t>’</w:t>
      </w:r>
    </w:p>
    <w:p w14:paraId="6C5D0E63" w14:textId="0C83EBE1" w:rsidR="003F0067" w:rsidRDefault="00215DB3" w:rsidP="002350DB">
      <w:pPr>
        <w:pStyle w:val="NormalWeb"/>
        <w:rPr>
          <w:rFonts w:asciiTheme="minorHAnsi" w:hAnsiTheme="minorHAnsi" w:cstheme="minorBidi"/>
          <w:lang w:eastAsia="en-US"/>
        </w:rPr>
      </w:pPr>
      <w:r w:rsidRPr="002350DB">
        <w:rPr>
          <w:rFonts w:asciiTheme="minorHAnsi" w:hAnsiTheme="minorHAnsi" w:cstheme="minorBidi"/>
          <w:lang w:eastAsia="en-US"/>
        </w:rPr>
        <w:t>The</w:t>
      </w:r>
      <w:r w:rsidR="002350DB" w:rsidRPr="002350DB">
        <w:rPr>
          <w:rFonts w:asciiTheme="minorHAnsi" w:hAnsiTheme="minorHAnsi" w:cstheme="minorBidi"/>
          <w:lang w:eastAsia="en-US"/>
        </w:rPr>
        <w:t>se definitions</w:t>
      </w:r>
      <w:r w:rsidRPr="002350DB">
        <w:rPr>
          <w:rFonts w:asciiTheme="minorHAnsi" w:hAnsiTheme="minorHAnsi" w:cstheme="minorBidi"/>
          <w:lang w:eastAsia="en-US"/>
        </w:rPr>
        <w:t xml:space="preserve">, </w:t>
      </w:r>
      <w:r w:rsidR="006C61F7" w:rsidRPr="002350DB">
        <w:rPr>
          <w:rFonts w:asciiTheme="minorHAnsi" w:hAnsiTheme="minorHAnsi" w:cstheme="minorBidi"/>
          <w:lang w:eastAsia="en-US"/>
        </w:rPr>
        <w:t>like</w:t>
      </w:r>
      <w:r w:rsidR="00DA46E8">
        <w:rPr>
          <w:rFonts w:asciiTheme="minorHAnsi" w:hAnsiTheme="minorHAnsi" w:cstheme="minorBidi"/>
          <w:lang w:eastAsia="en-US"/>
        </w:rPr>
        <w:t xml:space="preserve"> most legislative language, </w:t>
      </w:r>
      <w:r w:rsidR="00981856">
        <w:rPr>
          <w:rFonts w:asciiTheme="minorHAnsi" w:hAnsiTheme="minorHAnsi" w:cstheme="minorBidi"/>
          <w:lang w:eastAsia="en-US"/>
        </w:rPr>
        <w:t xml:space="preserve">therefore </w:t>
      </w:r>
      <w:r w:rsidR="00DA46E8">
        <w:rPr>
          <w:rFonts w:asciiTheme="minorHAnsi" w:hAnsiTheme="minorHAnsi" w:cstheme="minorBidi"/>
          <w:lang w:eastAsia="en-US"/>
        </w:rPr>
        <w:t>do</w:t>
      </w:r>
      <w:r w:rsidR="006C61F7" w:rsidRPr="002350DB">
        <w:rPr>
          <w:rFonts w:asciiTheme="minorHAnsi" w:hAnsiTheme="minorHAnsi" w:cstheme="minorBidi"/>
          <w:lang w:eastAsia="en-US"/>
        </w:rPr>
        <w:t xml:space="preserve"> not make any distinctions based on g</w:t>
      </w:r>
      <w:r w:rsidR="002350DB">
        <w:rPr>
          <w:rFonts w:asciiTheme="minorHAnsi" w:hAnsiTheme="minorHAnsi" w:cstheme="minorBidi"/>
          <w:lang w:eastAsia="en-US"/>
        </w:rPr>
        <w:t>ender or sexuality, and include</w:t>
      </w:r>
      <w:r w:rsidR="006C61F7" w:rsidRPr="002350DB">
        <w:rPr>
          <w:rFonts w:asciiTheme="minorHAnsi" w:hAnsiTheme="minorHAnsi" w:cstheme="minorBidi"/>
          <w:lang w:eastAsia="en-US"/>
        </w:rPr>
        <w:t xml:space="preserve"> </w:t>
      </w:r>
      <w:r w:rsidR="002350DB" w:rsidRPr="002350DB">
        <w:rPr>
          <w:rFonts w:asciiTheme="minorHAnsi" w:hAnsiTheme="minorHAnsi" w:cstheme="minorBidi"/>
          <w:lang w:eastAsia="en-US"/>
        </w:rPr>
        <w:t>several</w:t>
      </w:r>
      <w:r w:rsidR="006C61F7" w:rsidRPr="002350DB">
        <w:rPr>
          <w:rFonts w:asciiTheme="minorHAnsi" w:hAnsiTheme="minorHAnsi" w:cstheme="minorBidi"/>
          <w:lang w:eastAsia="en-US"/>
        </w:rPr>
        <w:t xml:space="preserve"> different ‘types</w:t>
      </w:r>
      <w:r w:rsidR="00A850CF">
        <w:rPr>
          <w:rFonts w:asciiTheme="minorHAnsi" w:hAnsiTheme="minorHAnsi" w:cstheme="minorBidi"/>
          <w:lang w:eastAsia="en-US"/>
        </w:rPr>
        <w:t>’</w:t>
      </w:r>
      <w:r w:rsidR="006C61F7" w:rsidRPr="002350DB">
        <w:rPr>
          <w:rFonts w:asciiTheme="minorHAnsi" w:hAnsiTheme="minorHAnsi" w:cstheme="minorBidi"/>
          <w:lang w:eastAsia="en-US"/>
        </w:rPr>
        <w:t xml:space="preserve"> of abuse, covering a wide range of actions. </w:t>
      </w:r>
      <w:r w:rsidR="002350DB" w:rsidRPr="002350DB">
        <w:rPr>
          <w:rFonts w:asciiTheme="minorHAnsi" w:hAnsiTheme="minorHAnsi" w:cstheme="minorBidi"/>
          <w:lang w:eastAsia="en-US"/>
        </w:rPr>
        <w:t xml:space="preserve">However, </w:t>
      </w:r>
      <w:r w:rsidR="00981856">
        <w:rPr>
          <w:rFonts w:asciiTheme="minorHAnsi" w:hAnsiTheme="minorHAnsi" w:cstheme="minorBidi"/>
          <w:lang w:eastAsia="en-US"/>
        </w:rPr>
        <w:t>beyond this</w:t>
      </w:r>
      <w:r w:rsidR="005B5628">
        <w:rPr>
          <w:rFonts w:asciiTheme="minorHAnsi" w:hAnsiTheme="minorHAnsi" w:cstheme="minorBidi"/>
          <w:lang w:eastAsia="en-US"/>
        </w:rPr>
        <w:t>,</w:t>
      </w:r>
      <w:r w:rsidR="00981856">
        <w:rPr>
          <w:rFonts w:asciiTheme="minorHAnsi" w:hAnsiTheme="minorHAnsi" w:cstheme="minorBidi"/>
          <w:lang w:eastAsia="en-US"/>
        </w:rPr>
        <w:t xml:space="preserve"> </w:t>
      </w:r>
      <w:r w:rsidR="002350DB" w:rsidRPr="002350DB">
        <w:rPr>
          <w:rFonts w:asciiTheme="minorHAnsi" w:hAnsiTheme="minorHAnsi" w:cstheme="minorBidi"/>
          <w:lang w:eastAsia="en-US"/>
        </w:rPr>
        <w:t xml:space="preserve">large proportions of the </w:t>
      </w:r>
      <w:r w:rsidR="002350DB" w:rsidRPr="00981856">
        <w:rPr>
          <w:rFonts w:asciiTheme="minorHAnsi" w:hAnsiTheme="minorHAnsi" w:cstheme="minorBidi"/>
          <w:i/>
          <w:lang w:eastAsia="en-US"/>
        </w:rPr>
        <w:t xml:space="preserve">Istanbul </w:t>
      </w:r>
      <w:r w:rsidR="00981856" w:rsidRPr="00981856">
        <w:rPr>
          <w:rFonts w:asciiTheme="minorHAnsi" w:hAnsiTheme="minorHAnsi" w:cstheme="minorBidi"/>
          <w:i/>
          <w:lang w:eastAsia="en-US"/>
        </w:rPr>
        <w:t>C</w:t>
      </w:r>
      <w:r w:rsidR="002350DB" w:rsidRPr="00981856">
        <w:rPr>
          <w:rFonts w:asciiTheme="minorHAnsi" w:hAnsiTheme="minorHAnsi" w:cstheme="minorBidi"/>
          <w:i/>
          <w:lang w:eastAsia="en-US"/>
        </w:rPr>
        <w:t>onvention</w:t>
      </w:r>
      <w:r w:rsidR="002350DB" w:rsidRPr="002350DB">
        <w:rPr>
          <w:rFonts w:asciiTheme="minorHAnsi" w:hAnsiTheme="minorHAnsi" w:cstheme="minorBidi"/>
          <w:lang w:eastAsia="en-US"/>
        </w:rPr>
        <w:t>, as well as the official title for the treaty (</w:t>
      </w:r>
      <w:r w:rsidR="002350DB" w:rsidRPr="00981856">
        <w:rPr>
          <w:rFonts w:asciiTheme="minorHAnsi" w:hAnsiTheme="minorHAnsi" w:cstheme="minorBidi"/>
          <w:i/>
          <w:lang w:eastAsia="en-US"/>
        </w:rPr>
        <w:t>Council of Europe Convention on preventing and combating violence against women and domestic violence</w:t>
      </w:r>
      <w:r w:rsidR="002350DB" w:rsidRPr="002350DB">
        <w:rPr>
          <w:rFonts w:asciiTheme="minorHAnsi" w:hAnsiTheme="minorHAnsi" w:cstheme="minorBidi"/>
          <w:lang w:eastAsia="en-US"/>
        </w:rPr>
        <w:t xml:space="preserve">) are deeply </w:t>
      </w:r>
      <w:r w:rsidR="00A850CF">
        <w:rPr>
          <w:rFonts w:asciiTheme="minorHAnsi" w:hAnsiTheme="minorHAnsi" w:cstheme="minorBidi"/>
          <w:lang w:eastAsia="en-US"/>
        </w:rPr>
        <w:t xml:space="preserve">influenced and </w:t>
      </w:r>
      <w:r w:rsidR="00981856">
        <w:rPr>
          <w:rFonts w:asciiTheme="minorHAnsi" w:hAnsiTheme="minorHAnsi" w:cstheme="minorBidi"/>
          <w:lang w:eastAsia="en-US"/>
        </w:rPr>
        <w:t>shaped</w:t>
      </w:r>
      <w:r w:rsidR="002350DB" w:rsidRPr="002350DB">
        <w:rPr>
          <w:rFonts w:asciiTheme="minorHAnsi" w:hAnsiTheme="minorHAnsi" w:cstheme="minorBidi"/>
          <w:lang w:eastAsia="en-US"/>
        </w:rPr>
        <w:t xml:space="preserve"> by gender, </w:t>
      </w:r>
      <w:r w:rsidR="00A850CF">
        <w:rPr>
          <w:rFonts w:asciiTheme="minorHAnsi" w:hAnsiTheme="minorHAnsi" w:cstheme="minorBidi"/>
          <w:lang w:eastAsia="en-US"/>
        </w:rPr>
        <w:t>along with</w:t>
      </w:r>
      <w:r w:rsidR="002350DB" w:rsidRPr="002350DB">
        <w:rPr>
          <w:rFonts w:asciiTheme="minorHAnsi" w:hAnsiTheme="minorHAnsi" w:cstheme="minorBidi"/>
          <w:lang w:eastAsia="en-US"/>
        </w:rPr>
        <w:t xml:space="preserve"> accompanying </w:t>
      </w:r>
      <w:r w:rsidR="007F4DDF">
        <w:rPr>
          <w:rFonts w:asciiTheme="minorHAnsi" w:hAnsiTheme="minorHAnsi" w:cstheme="minorBidi"/>
          <w:lang w:eastAsia="en-US"/>
        </w:rPr>
        <w:t>stereotypes</w:t>
      </w:r>
      <w:r w:rsidR="00A850CF">
        <w:rPr>
          <w:rFonts w:asciiTheme="minorHAnsi" w:hAnsiTheme="minorHAnsi" w:cstheme="minorBidi"/>
          <w:lang w:eastAsia="en-US"/>
        </w:rPr>
        <w:t xml:space="preserve"> surrounding domestic abuse</w:t>
      </w:r>
      <w:r w:rsidR="007F4DDF">
        <w:rPr>
          <w:rFonts w:asciiTheme="minorHAnsi" w:hAnsiTheme="minorHAnsi" w:cstheme="minorBidi"/>
          <w:lang w:eastAsia="en-US"/>
        </w:rPr>
        <w:t xml:space="preserve">. </w:t>
      </w:r>
      <w:r w:rsidR="003F0067">
        <w:rPr>
          <w:rFonts w:asciiTheme="minorHAnsi" w:hAnsiTheme="minorHAnsi" w:cstheme="minorBidi"/>
          <w:lang w:eastAsia="en-US"/>
        </w:rPr>
        <w:t xml:space="preserve">In other words, whilst the convention </w:t>
      </w:r>
      <w:r w:rsidR="00981856">
        <w:rPr>
          <w:rFonts w:asciiTheme="minorHAnsi" w:hAnsiTheme="minorHAnsi" w:cstheme="minorBidi"/>
          <w:lang w:eastAsia="en-US"/>
        </w:rPr>
        <w:t>provides some</w:t>
      </w:r>
      <w:r w:rsidR="00A42A9C">
        <w:rPr>
          <w:rFonts w:asciiTheme="minorHAnsi" w:hAnsiTheme="minorHAnsi" w:cstheme="minorBidi"/>
          <w:lang w:eastAsia="en-US"/>
        </w:rPr>
        <w:t xml:space="preserve"> gend</w:t>
      </w:r>
      <w:r w:rsidR="00A850CF">
        <w:rPr>
          <w:rFonts w:asciiTheme="minorHAnsi" w:hAnsiTheme="minorHAnsi" w:cstheme="minorBidi"/>
          <w:lang w:eastAsia="en-US"/>
        </w:rPr>
        <w:t>er-inclusive</w:t>
      </w:r>
      <w:r w:rsidR="00A42A9C">
        <w:rPr>
          <w:rFonts w:asciiTheme="minorHAnsi" w:hAnsiTheme="minorHAnsi" w:cstheme="minorBidi"/>
          <w:lang w:eastAsia="en-US"/>
        </w:rPr>
        <w:t xml:space="preserve"> overarching principles, such as the statement that:</w:t>
      </w:r>
    </w:p>
    <w:p w14:paraId="4B40FA15" w14:textId="315DF8DF" w:rsidR="003F0067" w:rsidRPr="00A42A9C" w:rsidRDefault="00A42A9C" w:rsidP="00A42A9C">
      <w:pPr>
        <w:pStyle w:val="NormalWeb"/>
        <w:spacing w:before="0" w:beforeAutospacing="0"/>
        <w:ind w:left="288" w:right="288"/>
        <w:rPr>
          <w:rFonts w:asciiTheme="minorHAnsi" w:hAnsiTheme="minorHAnsi" w:cstheme="minorBidi"/>
          <w:sz w:val="20"/>
          <w:szCs w:val="20"/>
          <w:lang w:val="en-US" w:eastAsia="en-US"/>
        </w:rPr>
      </w:pPr>
      <w:r>
        <w:rPr>
          <w:rFonts w:asciiTheme="minorHAnsi" w:hAnsiTheme="minorHAnsi" w:cstheme="minorBidi"/>
          <w:sz w:val="20"/>
          <w:szCs w:val="20"/>
          <w:lang w:val="en-US" w:eastAsia="en-US"/>
        </w:rPr>
        <w:t>‘</w:t>
      </w:r>
      <w:r w:rsidRPr="00A42A9C">
        <w:rPr>
          <w:rFonts w:asciiTheme="minorHAnsi" w:hAnsiTheme="minorHAnsi" w:cstheme="minorBidi"/>
          <w:sz w:val="20"/>
          <w:szCs w:val="20"/>
          <w:lang w:val="en-US" w:eastAsia="en-US"/>
        </w:rPr>
        <w:t>The implementation of the provisions of this Convention by the Parties, in particular measures to protect the rights of victims, shall be secured without discrimination on any ground such as sex, gender, race, colour, language, religion, political or other opinion, national or social origin, association with a national minority, property, birth, sexual orientation, gender identity, age, state of health, disability, marital status, migrant or r</w:t>
      </w:r>
      <w:r>
        <w:rPr>
          <w:rFonts w:asciiTheme="minorHAnsi" w:hAnsiTheme="minorHAnsi" w:cstheme="minorBidi"/>
          <w:sz w:val="20"/>
          <w:szCs w:val="20"/>
          <w:lang w:val="en-US" w:eastAsia="en-US"/>
        </w:rPr>
        <w:t>efugee status, or other status’ (p. 8)</w:t>
      </w:r>
    </w:p>
    <w:p w14:paraId="08081924" w14:textId="1A75D790" w:rsidR="002350DB" w:rsidRDefault="00981856" w:rsidP="002350DB">
      <w:pPr>
        <w:pStyle w:val="NormalWeb"/>
        <w:rPr>
          <w:rFonts w:asciiTheme="minorHAnsi" w:hAnsiTheme="minorHAnsi" w:cstheme="minorBidi"/>
          <w:lang w:eastAsia="en-US"/>
        </w:rPr>
      </w:pPr>
      <w:r>
        <w:rPr>
          <w:rFonts w:asciiTheme="minorHAnsi" w:hAnsiTheme="minorHAnsi" w:cstheme="minorBidi"/>
          <w:lang w:eastAsia="en-US"/>
        </w:rPr>
        <w:t>There are numerous gender-</w:t>
      </w:r>
      <w:r w:rsidR="00A42A9C">
        <w:rPr>
          <w:rFonts w:asciiTheme="minorHAnsi" w:hAnsiTheme="minorHAnsi" w:cstheme="minorBidi"/>
          <w:lang w:eastAsia="en-US"/>
        </w:rPr>
        <w:t xml:space="preserve">specific references throughout the treaty. </w:t>
      </w:r>
      <w:r w:rsidR="007F4DDF">
        <w:rPr>
          <w:rFonts w:asciiTheme="minorHAnsi" w:hAnsiTheme="minorHAnsi" w:cstheme="minorBidi"/>
          <w:lang w:eastAsia="en-US"/>
        </w:rPr>
        <w:t xml:space="preserve">From </w:t>
      </w:r>
      <w:r w:rsidR="00DA46E8">
        <w:rPr>
          <w:rFonts w:asciiTheme="minorHAnsi" w:hAnsiTheme="minorHAnsi" w:cstheme="minorBidi"/>
          <w:lang w:eastAsia="en-US"/>
        </w:rPr>
        <w:t>recognising</w:t>
      </w:r>
      <w:r w:rsidR="007F4DDF">
        <w:rPr>
          <w:rFonts w:asciiTheme="minorHAnsi" w:hAnsiTheme="minorHAnsi" w:cstheme="minorBidi"/>
          <w:lang w:eastAsia="en-US"/>
        </w:rPr>
        <w:t>:</w:t>
      </w:r>
    </w:p>
    <w:p w14:paraId="47E02EEE" w14:textId="0CA34008" w:rsidR="007F4DDF" w:rsidRPr="00DA46E8" w:rsidRDefault="00DA46E8" w:rsidP="00A42A9C">
      <w:pPr>
        <w:pStyle w:val="NormalWeb"/>
        <w:spacing w:before="0" w:beforeAutospacing="0"/>
        <w:ind w:left="288" w:right="288"/>
        <w:rPr>
          <w:rFonts w:asciiTheme="minorHAnsi" w:hAnsiTheme="minorHAnsi" w:cstheme="minorBidi"/>
          <w:sz w:val="20"/>
          <w:szCs w:val="20"/>
          <w:lang w:val="en-US" w:eastAsia="en-US"/>
        </w:rPr>
      </w:pPr>
      <w:r>
        <w:rPr>
          <w:rFonts w:asciiTheme="minorHAnsi" w:hAnsiTheme="minorHAnsi" w:cstheme="minorBidi"/>
          <w:sz w:val="20"/>
          <w:szCs w:val="20"/>
          <w:lang w:val="en-US" w:eastAsia="en-US"/>
        </w:rPr>
        <w:t>‘…</w:t>
      </w:r>
      <w:r w:rsidR="007F4DDF" w:rsidRPr="00DA46E8">
        <w:rPr>
          <w:rFonts w:asciiTheme="minorHAnsi" w:hAnsiTheme="minorHAnsi" w:cstheme="minorBidi"/>
          <w:sz w:val="20"/>
          <w:szCs w:val="20"/>
          <w:lang w:val="en-US" w:eastAsia="en-US"/>
        </w:rPr>
        <w:t xml:space="preserve">with grave concern, that women and girls are often exposed to serious forms of violence such as domestic violence, sexual harassment, rape, forced marriage, crimes committed in the name of so‐called “honour” and genital mutilation, which constitute a serious violation of the human rights of women and girls and a major obstacle to the achievement of </w:t>
      </w:r>
      <w:r>
        <w:rPr>
          <w:rFonts w:asciiTheme="minorHAnsi" w:hAnsiTheme="minorHAnsi" w:cstheme="minorBidi"/>
          <w:sz w:val="20"/>
          <w:szCs w:val="20"/>
          <w:lang w:val="en-US" w:eastAsia="en-US"/>
        </w:rPr>
        <w:t>equality between women and men’</w:t>
      </w:r>
      <w:r w:rsidR="00A42A9C">
        <w:rPr>
          <w:rFonts w:asciiTheme="minorHAnsi" w:hAnsiTheme="minorHAnsi" w:cstheme="minorBidi"/>
          <w:sz w:val="20"/>
          <w:szCs w:val="20"/>
          <w:lang w:val="en-US" w:eastAsia="en-US"/>
        </w:rPr>
        <w:t xml:space="preserve"> (p. 6)</w:t>
      </w:r>
    </w:p>
    <w:p w14:paraId="16751454" w14:textId="2499A3DF" w:rsidR="007F4DDF" w:rsidRPr="00DA46E8" w:rsidRDefault="007F4DDF" w:rsidP="00A42A9C">
      <w:pPr>
        <w:pStyle w:val="NormalWeb"/>
        <w:spacing w:before="0" w:beforeAutospacing="0"/>
        <w:ind w:left="288" w:right="288"/>
        <w:rPr>
          <w:rFonts w:asciiTheme="minorHAnsi" w:hAnsiTheme="minorHAnsi" w:cstheme="minorBidi"/>
          <w:sz w:val="20"/>
          <w:szCs w:val="20"/>
          <w:lang w:val="en-US" w:eastAsia="en-US"/>
        </w:rPr>
      </w:pPr>
      <w:r w:rsidRPr="00DA46E8">
        <w:rPr>
          <w:rFonts w:asciiTheme="minorHAnsi" w:hAnsiTheme="minorHAnsi" w:cstheme="minorBidi"/>
          <w:sz w:val="20"/>
          <w:szCs w:val="20"/>
          <w:lang w:val="en-US" w:eastAsia="en-US"/>
        </w:rPr>
        <w:t>and</w:t>
      </w:r>
    </w:p>
    <w:p w14:paraId="7E978924" w14:textId="2C3B6149" w:rsidR="007F4DDF" w:rsidRPr="00DA46E8" w:rsidRDefault="00DA46E8" w:rsidP="00A42A9C">
      <w:pPr>
        <w:pStyle w:val="NormalWeb"/>
        <w:spacing w:before="0" w:beforeAutospacing="0"/>
        <w:ind w:left="288" w:right="288"/>
        <w:rPr>
          <w:rFonts w:asciiTheme="minorHAnsi" w:hAnsiTheme="minorHAnsi" w:cstheme="minorBidi"/>
          <w:sz w:val="20"/>
          <w:szCs w:val="20"/>
          <w:lang w:val="en-US" w:eastAsia="en-US"/>
        </w:rPr>
      </w:pPr>
      <w:r>
        <w:rPr>
          <w:rFonts w:asciiTheme="minorHAnsi" w:hAnsiTheme="minorHAnsi" w:cstheme="minorBidi"/>
          <w:sz w:val="20"/>
          <w:szCs w:val="20"/>
          <w:lang w:val="en-US" w:eastAsia="en-US"/>
        </w:rPr>
        <w:t>‘…</w:t>
      </w:r>
      <w:r w:rsidR="007F4DDF" w:rsidRPr="00DA46E8">
        <w:rPr>
          <w:rFonts w:asciiTheme="minorHAnsi" w:hAnsiTheme="minorHAnsi" w:cstheme="minorBidi"/>
          <w:sz w:val="20"/>
          <w:szCs w:val="20"/>
          <w:lang w:val="en-US" w:eastAsia="en-US"/>
        </w:rPr>
        <w:t>that women and girls are exposed to a higher risk of gender‐</w:t>
      </w:r>
      <w:r>
        <w:rPr>
          <w:rFonts w:asciiTheme="minorHAnsi" w:hAnsiTheme="minorHAnsi" w:cstheme="minorBidi"/>
          <w:sz w:val="20"/>
          <w:szCs w:val="20"/>
          <w:lang w:val="en-US" w:eastAsia="en-US"/>
        </w:rPr>
        <w:t>based violence than men’</w:t>
      </w:r>
      <w:r w:rsidR="00A42A9C">
        <w:rPr>
          <w:rFonts w:asciiTheme="minorHAnsi" w:hAnsiTheme="minorHAnsi" w:cstheme="minorBidi"/>
          <w:sz w:val="20"/>
          <w:szCs w:val="20"/>
          <w:lang w:val="en-US" w:eastAsia="en-US"/>
        </w:rPr>
        <w:t xml:space="preserve"> (p. 6)</w:t>
      </w:r>
    </w:p>
    <w:p w14:paraId="7FD48249" w14:textId="7BD8794A" w:rsidR="007F4DDF" w:rsidRDefault="00DA46E8" w:rsidP="002350DB">
      <w:pPr>
        <w:pStyle w:val="NormalWeb"/>
        <w:rPr>
          <w:rFonts w:asciiTheme="minorHAnsi" w:hAnsiTheme="minorHAnsi" w:cstheme="minorBidi"/>
          <w:lang w:eastAsia="en-US"/>
        </w:rPr>
      </w:pPr>
      <w:r>
        <w:rPr>
          <w:rFonts w:asciiTheme="minorHAnsi" w:hAnsiTheme="minorHAnsi" w:cstheme="minorBidi"/>
          <w:lang w:eastAsia="en-US"/>
        </w:rPr>
        <w:t>To</w:t>
      </w:r>
      <w:r w:rsidR="007F4DDF">
        <w:rPr>
          <w:rFonts w:asciiTheme="minorHAnsi" w:hAnsiTheme="minorHAnsi" w:cstheme="minorBidi"/>
          <w:lang w:eastAsia="en-US"/>
        </w:rPr>
        <w:t xml:space="preserve"> stating that the aims of this treaty are to:</w:t>
      </w:r>
    </w:p>
    <w:p w14:paraId="42CA1FC8" w14:textId="3B07395F" w:rsidR="007F4DDF" w:rsidRDefault="00DA46E8" w:rsidP="00A42A9C">
      <w:pPr>
        <w:pStyle w:val="NormalWeb"/>
        <w:spacing w:before="0" w:beforeAutospacing="0"/>
        <w:ind w:left="288" w:right="288"/>
        <w:rPr>
          <w:rFonts w:asciiTheme="minorHAnsi" w:hAnsiTheme="minorHAnsi" w:cstheme="minorBidi"/>
          <w:sz w:val="20"/>
          <w:szCs w:val="20"/>
          <w:lang w:val="en-US" w:eastAsia="en-US"/>
        </w:rPr>
      </w:pPr>
      <w:r>
        <w:rPr>
          <w:rFonts w:asciiTheme="minorHAnsi" w:hAnsiTheme="minorHAnsi" w:cstheme="minorBidi"/>
          <w:sz w:val="20"/>
          <w:szCs w:val="20"/>
          <w:lang w:val="en-US" w:eastAsia="en-US"/>
        </w:rPr>
        <w:lastRenderedPageBreak/>
        <w:t>‘</w:t>
      </w:r>
      <w:r w:rsidR="007F4DDF" w:rsidRPr="00DA46E8">
        <w:rPr>
          <w:rFonts w:asciiTheme="minorHAnsi" w:hAnsiTheme="minorHAnsi" w:cstheme="minorBidi"/>
          <w:sz w:val="20"/>
          <w:szCs w:val="20"/>
          <w:lang w:val="en-US" w:eastAsia="en-US"/>
        </w:rPr>
        <w:t>protect women against all forms of violence, and prevent, prosecute and eliminate violence again</w:t>
      </w:r>
      <w:r>
        <w:rPr>
          <w:rFonts w:asciiTheme="minorHAnsi" w:hAnsiTheme="minorHAnsi" w:cstheme="minorBidi"/>
          <w:sz w:val="20"/>
          <w:szCs w:val="20"/>
          <w:lang w:val="en-US" w:eastAsia="en-US"/>
        </w:rPr>
        <w:t>st women and domestic violence’</w:t>
      </w:r>
      <w:r w:rsidR="00A42A9C">
        <w:rPr>
          <w:rFonts w:asciiTheme="minorHAnsi" w:hAnsiTheme="minorHAnsi" w:cstheme="minorBidi"/>
          <w:sz w:val="20"/>
          <w:szCs w:val="20"/>
          <w:lang w:val="en-US" w:eastAsia="en-US"/>
        </w:rPr>
        <w:t xml:space="preserve"> (p. 7)</w:t>
      </w:r>
    </w:p>
    <w:p w14:paraId="0A6E2C46" w14:textId="3FA531B4" w:rsidR="00DA46E8" w:rsidRPr="00DA46E8" w:rsidRDefault="00DA46E8" w:rsidP="00A42A9C">
      <w:pPr>
        <w:pStyle w:val="NormalWeb"/>
        <w:spacing w:before="0" w:beforeAutospacing="0"/>
        <w:ind w:left="288" w:right="288"/>
        <w:rPr>
          <w:rFonts w:asciiTheme="minorHAnsi" w:hAnsiTheme="minorHAnsi" w:cstheme="minorBidi"/>
          <w:sz w:val="20"/>
          <w:szCs w:val="20"/>
          <w:lang w:val="en-US" w:eastAsia="en-US"/>
        </w:rPr>
      </w:pPr>
      <w:r>
        <w:rPr>
          <w:rFonts w:asciiTheme="minorHAnsi" w:hAnsiTheme="minorHAnsi" w:cstheme="minorBidi"/>
          <w:sz w:val="20"/>
          <w:szCs w:val="20"/>
          <w:lang w:val="en-US" w:eastAsia="en-US"/>
        </w:rPr>
        <w:t>and</w:t>
      </w:r>
    </w:p>
    <w:p w14:paraId="326142D4" w14:textId="1F30BFD0" w:rsidR="007F4DDF" w:rsidRDefault="00DA46E8" w:rsidP="00A42A9C">
      <w:pPr>
        <w:pStyle w:val="NormalWeb"/>
        <w:spacing w:before="0" w:beforeAutospacing="0"/>
        <w:ind w:left="288" w:right="288"/>
        <w:rPr>
          <w:rFonts w:asciiTheme="minorHAnsi" w:hAnsiTheme="minorHAnsi" w:cstheme="minorBidi"/>
          <w:sz w:val="20"/>
          <w:szCs w:val="20"/>
          <w:lang w:val="en-US" w:eastAsia="en-US"/>
        </w:rPr>
      </w:pPr>
      <w:r>
        <w:rPr>
          <w:rFonts w:asciiTheme="minorHAnsi" w:hAnsiTheme="minorHAnsi" w:cstheme="minorBidi"/>
          <w:sz w:val="20"/>
          <w:szCs w:val="20"/>
          <w:lang w:val="en-US" w:eastAsia="en-US"/>
        </w:rPr>
        <w:t>‘</w:t>
      </w:r>
      <w:r w:rsidR="007F4DDF" w:rsidRPr="00DA46E8">
        <w:rPr>
          <w:rFonts w:asciiTheme="minorHAnsi" w:hAnsiTheme="minorHAnsi" w:cstheme="minorBidi"/>
          <w:sz w:val="20"/>
          <w:szCs w:val="20"/>
          <w:lang w:val="en-US" w:eastAsia="en-US"/>
        </w:rPr>
        <w:t>contribute to the elimination of all forms of discrimination against women and promote substantive equality between women and men, including by empowering wome</w:t>
      </w:r>
      <w:r>
        <w:rPr>
          <w:rFonts w:asciiTheme="minorHAnsi" w:hAnsiTheme="minorHAnsi" w:cstheme="minorBidi"/>
          <w:sz w:val="20"/>
          <w:szCs w:val="20"/>
          <w:lang w:val="en-US" w:eastAsia="en-US"/>
        </w:rPr>
        <w:t>n’</w:t>
      </w:r>
      <w:r w:rsidR="00A42A9C">
        <w:rPr>
          <w:rFonts w:asciiTheme="minorHAnsi" w:hAnsiTheme="minorHAnsi" w:cstheme="minorBidi"/>
          <w:sz w:val="20"/>
          <w:szCs w:val="20"/>
          <w:lang w:val="en-US" w:eastAsia="en-US"/>
        </w:rPr>
        <w:t xml:space="preserve"> (p. 7)</w:t>
      </w:r>
    </w:p>
    <w:p w14:paraId="508BBCE1" w14:textId="2CD97B12" w:rsidR="00A850CF" w:rsidRDefault="00A42A9C" w:rsidP="00A850CF">
      <w:pPr>
        <w:pStyle w:val="NormalWeb"/>
        <w:rPr>
          <w:rFonts w:asciiTheme="minorHAnsi" w:hAnsiTheme="minorHAnsi" w:cstheme="minorBidi"/>
          <w:lang w:val="en-US" w:eastAsia="en-US"/>
        </w:rPr>
      </w:pPr>
      <w:r>
        <w:rPr>
          <w:rFonts w:asciiTheme="minorHAnsi" w:hAnsiTheme="minorHAnsi" w:cstheme="minorBidi"/>
          <w:lang w:val="en-US" w:eastAsia="en-US"/>
        </w:rPr>
        <w:t xml:space="preserve">This document presents the distinct impression of legislation that is specifically focused on eliminating domestic violence perpetrated towards women and girls. </w:t>
      </w:r>
      <w:r w:rsidR="00841DDD">
        <w:rPr>
          <w:rFonts w:asciiTheme="minorHAnsi" w:hAnsiTheme="minorHAnsi" w:cstheme="minorBidi"/>
          <w:lang w:val="en-US" w:eastAsia="en-US"/>
        </w:rPr>
        <w:t>As such the</w:t>
      </w:r>
      <w:r>
        <w:rPr>
          <w:rFonts w:asciiTheme="minorHAnsi" w:hAnsiTheme="minorHAnsi" w:cstheme="minorBidi"/>
          <w:lang w:val="en-US" w:eastAsia="en-US"/>
        </w:rPr>
        <w:t xml:space="preserve"> language in this document sits firmly congruent with the general stereotype that domestic violence happens almost exclusively towards women and girls, and that men (who ‘may also be victims of domestic violence’ p. 6)</w:t>
      </w:r>
      <w:r w:rsidR="00A850CF">
        <w:rPr>
          <w:rFonts w:asciiTheme="minorHAnsi" w:hAnsiTheme="minorHAnsi" w:cstheme="minorBidi"/>
          <w:lang w:val="en-US" w:eastAsia="en-US"/>
        </w:rPr>
        <w:t xml:space="preserve"> rarely become as such (and if they do, they are distinctly </w:t>
      </w:r>
      <w:r w:rsidR="00A850CF" w:rsidRPr="00981856">
        <w:rPr>
          <w:rFonts w:asciiTheme="minorHAnsi" w:hAnsiTheme="minorHAnsi" w:cstheme="minorBidi"/>
          <w:i/>
          <w:lang w:val="en-US" w:eastAsia="en-US"/>
        </w:rPr>
        <w:t xml:space="preserve">not </w:t>
      </w:r>
      <w:r w:rsidR="00A850CF">
        <w:rPr>
          <w:rFonts w:asciiTheme="minorHAnsi" w:hAnsiTheme="minorHAnsi" w:cstheme="minorBidi"/>
          <w:lang w:val="en-US" w:eastAsia="en-US"/>
        </w:rPr>
        <w:t>a priority).</w:t>
      </w:r>
    </w:p>
    <w:p w14:paraId="6A2ACE4F" w14:textId="4D9A5B3D" w:rsidR="00215DB3" w:rsidRDefault="00A850CF" w:rsidP="00A850CF">
      <w:pPr>
        <w:pStyle w:val="NormalWeb"/>
      </w:pPr>
      <w:r>
        <w:rPr>
          <w:rFonts w:asciiTheme="minorHAnsi" w:hAnsiTheme="minorHAnsi" w:cstheme="minorBidi"/>
          <w:lang w:val="en-US" w:eastAsia="en-US"/>
        </w:rPr>
        <w:t>This approach is particularly worrying when co</w:t>
      </w:r>
      <w:r w:rsidR="00981856">
        <w:rPr>
          <w:rFonts w:asciiTheme="minorHAnsi" w:hAnsiTheme="minorHAnsi" w:cstheme="minorBidi"/>
          <w:lang w:val="en-US" w:eastAsia="en-US"/>
        </w:rPr>
        <w:t>ntrasted against</w:t>
      </w:r>
      <w:r>
        <w:rPr>
          <w:rFonts w:asciiTheme="minorHAnsi" w:hAnsiTheme="minorHAnsi" w:cstheme="minorBidi"/>
          <w:lang w:val="en-US" w:eastAsia="en-US"/>
        </w:rPr>
        <w:t xml:space="preserve"> the patterns </w:t>
      </w:r>
      <w:r w:rsidR="00981856">
        <w:rPr>
          <w:rFonts w:asciiTheme="minorHAnsi" w:hAnsiTheme="minorHAnsi" w:cstheme="minorBidi"/>
          <w:lang w:val="en-US" w:eastAsia="en-US"/>
        </w:rPr>
        <w:t xml:space="preserve">and picture </w:t>
      </w:r>
      <w:r>
        <w:rPr>
          <w:rFonts w:asciiTheme="minorHAnsi" w:hAnsiTheme="minorHAnsi" w:cstheme="minorBidi"/>
          <w:lang w:val="en-US" w:eastAsia="en-US"/>
        </w:rPr>
        <w:t xml:space="preserve">of abuse and victimization shown through </w:t>
      </w:r>
      <w:r w:rsidR="00981856">
        <w:rPr>
          <w:rFonts w:asciiTheme="minorHAnsi" w:hAnsiTheme="minorHAnsi" w:cstheme="minorBidi"/>
          <w:lang w:val="en-US" w:eastAsia="en-US"/>
        </w:rPr>
        <w:t xml:space="preserve">available </w:t>
      </w:r>
      <w:r>
        <w:rPr>
          <w:rFonts w:asciiTheme="minorHAnsi" w:hAnsiTheme="minorHAnsi" w:cstheme="minorBidi"/>
          <w:lang w:val="en-US" w:eastAsia="en-US"/>
        </w:rPr>
        <w:t>statistics. For example, whilst figures for male victims aren’t available across Europe (</w:t>
      </w:r>
      <w:r w:rsidR="00981856">
        <w:rPr>
          <w:rFonts w:asciiTheme="minorHAnsi" w:hAnsiTheme="minorHAnsi" w:cstheme="minorBidi"/>
          <w:lang w:val="en-US" w:eastAsia="en-US"/>
        </w:rPr>
        <w:t>in and of itself</w:t>
      </w:r>
      <w:r>
        <w:rPr>
          <w:rFonts w:asciiTheme="minorHAnsi" w:hAnsiTheme="minorHAnsi" w:cstheme="minorBidi"/>
          <w:lang w:val="en-US" w:eastAsia="en-US"/>
        </w:rPr>
        <w:t xml:space="preserve"> part of the issue), s</w:t>
      </w:r>
      <w:r w:rsidR="006C61F7" w:rsidRPr="00A850CF">
        <w:rPr>
          <w:rFonts w:asciiTheme="minorHAnsi" w:hAnsiTheme="minorHAnsi" w:cstheme="minorBidi"/>
          <w:lang w:val="en-US" w:eastAsia="en-US"/>
        </w:rPr>
        <w:t>tatistics produced by the Office f</w:t>
      </w:r>
      <w:r w:rsidR="00FF1081" w:rsidRPr="00A850CF">
        <w:rPr>
          <w:rFonts w:asciiTheme="minorHAnsi" w:hAnsiTheme="minorHAnsi" w:cstheme="minorBidi"/>
          <w:lang w:val="en-US" w:eastAsia="en-US"/>
        </w:rPr>
        <w:t>or National Statistics</w:t>
      </w:r>
      <w:r>
        <w:rPr>
          <w:rFonts w:asciiTheme="minorHAnsi" w:hAnsiTheme="minorHAnsi" w:cstheme="minorBidi"/>
          <w:lang w:val="en-US" w:eastAsia="en-US"/>
        </w:rPr>
        <w:t xml:space="preserve"> in the UK</w:t>
      </w:r>
      <w:r w:rsidR="00FF1081" w:rsidRPr="00A850CF">
        <w:rPr>
          <w:rFonts w:asciiTheme="minorHAnsi" w:hAnsiTheme="minorHAnsi" w:cstheme="minorBidi"/>
          <w:lang w:val="en-US" w:eastAsia="en-US"/>
        </w:rPr>
        <w:t xml:space="preserve"> </w:t>
      </w:r>
      <w:r>
        <w:rPr>
          <w:rFonts w:asciiTheme="minorHAnsi" w:hAnsiTheme="minorHAnsi" w:cstheme="minorBidi"/>
          <w:lang w:val="en-US" w:eastAsia="en-US"/>
        </w:rPr>
        <w:fldChar w:fldCharType="begin"/>
      </w:r>
      <w:r w:rsidR="00BC30CA">
        <w:rPr>
          <w:rFonts w:asciiTheme="minorHAnsi" w:hAnsiTheme="minorHAnsi" w:cstheme="minorBidi"/>
          <w:lang w:val="en-US" w:eastAsia="en-US"/>
        </w:rPr>
        <w:instrText xml:space="preserve"> ADDIN EN.CITE &lt;EndNote&gt;&lt;Cite&gt;&lt;Author&gt;ONS&lt;/Author&gt;&lt;Year&gt;2016&lt;/Year&gt;&lt;RecNum&gt;935&lt;/RecNum&gt;&lt;DisplayText&gt;(ONS, 2016)&lt;/DisplayText&gt;&lt;record&gt;&lt;rec-number&gt;935&lt;/rec-number&gt;&lt;foreign-keys&gt;&lt;key app="EN" db-id="f5p9zd5zqsratqef5sv5pz2wpve092vrdw52" timestamp="1489579550"&gt;935&lt;/key&gt;&lt;/foreign-keys&gt;&lt;ref-type name="Government Document"&gt;46&lt;/ref-type&gt;&lt;contributors&gt;&lt;authors&gt;&lt;author&gt;ONS,&lt;/author&gt;&lt;/authors&gt;&lt;/contributors&gt;&lt;titles&gt;&lt;title&gt;Focus on violet crime and sexual offences: Year ending March 2015 &lt;/title&gt;&lt;/titles&gt;&lt;dates&gt;&lt;year&gt;2016&lt;/year&gt;&lt;/dates&gt;&lt;pub-location&gt;London&lt;/pub-location&gt;&lt;publisher&gt;Office for National Statistics&lt;/publisher&gt;&lt;urls&gt;&lt;/urls&gt;&lt;/record&gt;&lt;/Cite&gt;&lt;/EndNote&gt;</w:instrText>
      </w:r>
      <w:r>
        <w:rPr>
          <w:rFonts w:asciiTheme="minorHAnsi" w:hAnsiTheme="minorHAnsi" w:cstheme="minorBidi"/>
          <w:lang w:val="en-US" w:eastAsia="en-US"/>
        </w:rPr>
        <w:fldChar w:fldCharType="separate"/>
      </w:r>
      <w:r w:rsidR="00BC30CA">
        <w:rPr>
          <w:rFonts w:asciiTheme="minorHAnsi" w:hAnsiTheme="minorHAnsi" w:cstheme="minorBidi"/>
          <w:noProof/>
          <w:lang w:val="en-US" w:eastAsia="en-US"/>
        </w:rPr>
        <w:t>(ONS, 2016)</w:t>
      </w:r>
      <w:r>
        <w:rPr>
          <w:rFonts w:asciiTheme="minorHAnsi" w:hAnsiTheme="minorHAnsi" w:cstheme="minorBidi"/>
          <w:lang w:val="en-US" w:eastAsia="en-US"/>
        </w:rPr>
        <w:fldChar w:fldCharType="end"/>
      </w:r>
      <w:r>
        <w:rPr>
          <w:rFonts w:asciiTheme="minorHAnsi" w:hAnsiTheme="minorHAnsi" w:cstheme="minorBidi"/>
          <w:lang w:val="en-US" w:eastAsia="en-US"/>
        </w:rPr>
        <w:t xml:space="preserve"> </w:t>
      </w:r>
      <w:r w:rsidR="00FF1081" w:rsidRPr="00A850CF">
        <w:rPr>
          <w:rFonts w:asciiTheme="minorHAnsi" w:hAnsiTheme="minorHAnsi" w:cstheme="minorBidi"/>
          <w:lang w:val="en-US" w:eastAsia="en-US"/>
        </w:rPr>
        <w:t>support a</w:t>
      </w:r>
      <w:r w:rsidR="006C61F7" w:rsidRPr="00A850CF">
        <w:rPr>
          <w:rFonts w:asciiTheme="minorHAnsi" w:hAnsiTheme="minorHAnsi" w:cstheme="minorBidi"/>
          <w:lang w:val="en-US" w:eastAsia="en-US"/>
        </w:rPr>
        <w:t xml:space="preserve"> </w:t>
      </w:r>
      <w:r w:rsidR="00981856" w:rsidRPr="00A850CF">
        <w:rPr>
          <w:rFonts w:asciiTheme="minorHAnsi" w:hAnsiTheme="minorHAnsi" w:cstheme="minorBidi"/>
          <w:lang w:val="en-US" w:eastAsia="en-US"/>
        </w:rPr>
        <w:t>portrait</w:t>
      </w:r>
      <w:r w:rsidR="006C61F7" w:rsidRPr="00A850CF">
        <w:rPr>
          <w:rFonts w:asciiTheme="minorHAnsi" w:hAnsiTheme="minorHAnsi" w:cstheme="minorBidi"/>
          <w:lang w:val="en-US" w:eastAsia="en-US"/>
        </w:rPr>
        <w:t xml:space="preserve"> of domestic abuse that is varied, compl</w:t>
      </w:r>
      <w:r w:rsidR="00FF1081" w:rsidRPr="00A850CF">
        <w:rPr>
          <w:rFonts w:asciiTheme="minorHAnsi" w:hAnsiTheme="minorHAnsi" w:cstheme="minorBidi"/>
          <w:lang w:val="en-US" w:eastAsia="en-US"/>
        </w:rPr>
        <w:t>ex</w:t>
      </w:r>
      <w:r w:rsidR="006C61F7" w:rsidRPr="00A850CF">
        <w:rPr>
          <w:rFonts w:asciiTheme="minorHAnsi" w:hAnsiTheme="minorHAnsi" w:cstheme="minorBidi"/>
          <w:lang w:val="en-US" w:eastAsia="en-US"/>
        </w:rPr>
        <w:t>, and not defined by one gender over the other. For example, 1 in every 3 domestic violence victims is male, and 13.2% of men (</w:t>
      </w:r>
      <w:r w:rsidR="00981856">
        <w:rPr>
          <w:rFonts w:asciiTheme="minorHAnsi" w:hAnsiTheme="minorHAnsi" w:cstheme="minorBidi"/>
          <w:lang w:val="en-US" w:eastAsia="en-US"/>
        </w:rPr>
        <w:t xml:space="preserve">compared to </w:t>
      </w:r>
      <w:r w:rsidR="006C61F7" w:rsidRPr="00A850CF">
        <w:rPr>
          <w:rFonts w:asciiTheme="minorHAnsi" w:hAnsiTheme="minorHAnsi" w:cstheme="minorBidi"/>
          <w:lang w:val="en-US" w:eastAsia="en-US"/>
        </w:rPr>
        <w:t xml:space="preserve">27.1% of women) say they have been the victim of domestic abuse since they were 16. </w:t>
      </w:r>
      <w:r w:rsidR="00E35F85" w:rsidRPr="00A850CF">
        <w:rPr>
          <w:rFonts w:asciiTheme="minorHAnsi" w:hAnsiTheme="minorHAnsi" w:cstheme="minorBidi"/>
          <w:lang w:val="en-US" w:eastAsia="en-US"/>
        </w:rPr>
        <w:t xml:space="preserve">Roughly </w:t>
      </w:r>
      <w:r w:rsidR="006C61F7" w:rsidRPr="00A850CF">
        <w:rPr>
          <w:rFonts w:asciiTheme="minorHAnsi" w:hAnsiTheme="minorHAnsi" w:cstheme="minorBidi"/>
          <w:lang w:val="en-US" w:eastAsia="en-US"/>
        </w:rPr>
        <w:t>1 in 6 men (</w:t>
      </w:r>
      <w:r w:rsidR="00981856">
        <w:rPr>
          <w:rFonts w:asciiTheme="minorHAnsi" w:hAnsiTheme="minorHAnsi" w:cstheme="minorBidi"/>
          <w:lang w:val="en-US" w:eastAsia="en-US"/>
        </w:rPr>
        <w:t xml:space="preserve">vs. </w:t>
      </w:r>
      <w:r w:rsidR="006C61F7" w:rsidRPr="00A850CF">
        <w:rPr>
          <w:rFonts w:asciiTheme="minorHAnsi" w:hAnsiTheme="minorHAnsi" w:cstheme="minorBidi"/>
          <w:lang w:val="en-US" w:eastAsia="en-US"/>
        </w:rPr>
        <w:t>1 in 4 women) will suffer domestic abuse in their lifetime, and in any given 12 months in the UK 600,000 men (and 1.3m women) will experience domestic abuse. In addition, men and women suffer equally severe consequences at the hands of their abusers, both physically and psychologically</w:t>
      </w:r>
      <w:r w:rsidR="003A6CCE">
        <w:rPr>
          <w:rFonts w:asciiTheme="minorHAnsi" w:hAnsiTheme="minorHAnsi" w:cstheme="minorBidi"/>
          <w:lang w:val="en-US" w:eastAsia="en-US"/>
        </w:rPr>
        <w:t xml:space="preserve"> </w:t>
      </w:r>
      <w:r w:rsidR="003A6CCE">
        <w:rPr>
          <w:rFonts w:asciiTheme="minorHAnsi" w:hAnsiTheme="minorHAnsi" w:cstheme="minorBidi"/>
          <w:lang w:val="en-US" w:eastAsia="en-US"/>
        </w:rPr>
        <w:fldChar w:fldCharType="begin"/>
      </w:r>
      <w:r w:rsidR="00BC30CA">
        <w:rPr>
          <w:rFonts w:asciiTheme="minorHAnsi" w:hAnsiTheme="minorHAnsi" w:cstheme="minorBidi"/>
          <w:lang w:val="en-US" w:eastAsia="en-US"/>
        </w:rPr>
        <w:instrText xml:space="preserve"> ADDIN EN.CITE &lt;EndNote&gt;&lt;Cite&gt;&lt;Author&gt;Hines&lt;/Author&gt;&lt;Year&gt;2007&lt;/Year&gt;&lt;RecNum&gt;936&lt;/RecNum&gt;&lt;DisplayText&gt;(Hines, Brown, &amp;amp; Dunning, 2007; ONS, 2016)&lt;/DisplayText&gt;&lt;record&gt;&lt;rec-number&gt;936&lt;/rec-number&gt;&lt;foreign-keys&gt;&lt;key app="EN" db-id="f5p9zd5zqsratqef5sv5pz2wpve092vrdw52" timestamp="1489580571"&gt;936&lt;/key&gt;&lt;/foreign-keys&gt;&lt;ref-type name="Journal Article"&gt;17&lt;/ref-type&gt;&lt;contributors&gt;&lt;authors&gt;&lt;author&gt;Hines, D. A.&lt;/author&gt;&lt;author&gt;Brown, J.&lt;/author&gt;&lt;author&gt;Dunning, E.&lt;/author&gt;&lt;/authors&gt;&lt;/contributors&gt;&lt;titles&gt;&lt;title&gt;Characteristics of callers to the domestic abuse helpline for men&lt;/title&gt;&lt;secondary-title&gt;Journal of Family Violence&lt;/secondary-title&gt;&lt;/titles&gt;&lt;periodical&gt;&lt;full-title&gt;Journal of Family Violence&lt;/full-title&gt;&lt;/periodical&gt;&lt;pages&gt;63-72&lt;/pages&gt;&lt;volume&gt;22&lt;/volume&gt;&lt;dates&gt;&lt;year&gt;2007&lt;/year&gt;&lt;/dates&gt;&lt;urls&gt;&lt;/urls&gt;&lt;electronic-resource-num&gt;10.1007/s10896-006-9052-0&lt;/electronic-resource-num&gt;&lt;/record&gt;&lt;/Cite&gt;&lt;Cite&gt;&lt;Author&gt;ONS&lt;/Author&gt;&lt;Year&gt;2016&lt;/Year&gt;&lt;RecNum&gt;935&lt;/RecNum&gt;&lt;record&gt;&lt;rec-number&gt;935&lt;/rec-number&gt;&lt;foreign-keys&gt;&lt;key app="EN" db-id="f5p9zd5zqsratqef5sv5pz2wpve092vrdw52" timestamp="1489579550"&gt;935&lt;/key&gt;&lt;/foreign-keys&gt;&lt;ref-type name="Government Document"&gt;46&lt;/ref-type&gt;&lt;contributors&gt;&lt;authors&gt;&lt;author&gt;ONS,&lt;/author&gt;&lt;/authors&gt;&lt;/contributors&gt;&lt;titles&gt;&lt;title&gt;Focus on violet crime and sexual offences: Year ending March 2015 &lt;/title&gt;&lt;/titles&gt;&lt;dates&gt;&lt;year&gt;2016&lt;/year&gt;&lt;/dates&gt;&lt;pub-location&gt;London&lt;/pub-location&gt;&lt;publisher&gt;Office for National Statistics&lt;/publisher&gt;&lt;urls&gt;&lt;/urls&gt;&lt;/record&gt;&lt;/Cite&gt;&lt;/EndNote&gt;</w:instrText>
      </w:r>
      <w:r w:rsidR="003A6CCE">
        <w:rPr>
          <w:rFonts w:asciiTheme="minorHAnsi" w:hAnsiTheme="minorHAnsi" w:cstheme="minorBidi"/>
          <w:lang w:val="en-US" w:eastAsia="en-US"/>
        </w:rPr>
        <w:fldChar w:fldCharType="separate"/>
      </w:r>
      <w:r w:rsidR="00BC30CA">
        <w:rPr>
          <w:rFonts w:asciiTheme="minorHAnsi" w:hAnsiTheme="minorHAnsi" w:cstheme="minorBidi"/>
          <w:noProof/>
          <w:lang w:val="en-US" w:eastAsia="en-US"/>
        </w:rPr>
        <w:t>(Hines, Brown, &amp; Dunning, 2007; ONS, 2016)</w:t>
      </w:r>
      <w:r w:rsidR="003A6CCE">
        <w:rPr>
          <w:rFonts w:asciiTheme="minorHAnsi" w:hAnsiTheme="minorHAnsi" w:cstheme="minorBidi"/>
          <w:lang w:val="en-US" w:eastAsia="en-US"/>
        </w:rPr>
        <w:fldChar w:fldCharType="end"/>
      </w:r>
      <w:r w:rsidR="003A6CCE">
        <w:rPr>
          <w:rFonts w:asciiTheme="minorHAnsi" w:hAnsiTheme="minorHAnsi" w:cstheme="minorBidi"/>
          <w:lang w:val="en-US" w:eastAsia="en-US"/>
        </w:rPr>
        <w:t>.</w:t>
      </w:r>
    </w:p>
    <w:p w14:paraId="7212F2EC" w14:textId="5B7A83FF" w:rsidR="0061000A" w:rsidRDefault="00981856" w:rsidP="0061000A">
      <w:r>
        <w:t xml:space="preserve">This begs the question of why </w:t>
      </w:r>
      <w:r w:rsidR="00686A27">
        <w:t xml:space="preserve">the language in such important policy, such as the </w:t>
      </w:r>
      <w:r w:rsidR="00686A27" w:rsidRPr="00686A27">
        <w:rPr>
          <w:i/>
        </w:rPr>
        <w:t>Istanbul Convention</w:t>
      </w:r>
      <w:r w:rsidR="00686A27">
        <w:t xml:space="preserve">, </w:t>
      </w:r>
      <w:r>
        <w:t xml:space="preserve">is </w:t>
      </w:r>
      <w:r w:rsidR="00686A27">
        <w:t xml:space="preserve">so gendered, and </w:t>
      </w:r>
      <w:r w:rsidR="00FB2A8E">
        <w:t xml:space="preserve">where </w:t>
      </w:r>
      <w:r>
        <w:t xml:space="preserve">the </w:t>
      </w:r>
      <w:r w:rsidR="00A850CF">
        <w:t xml:space="preserve">stereotypes </w:t>
      </w:r>
      <w:r>
        <w:t>it is supporting</w:t>
      </w:r>
      <w:r w:rsidR="0061000A">
        <w:t xml:space="preserve"> come from?</w:t>
      </w:r>
      <w:r w:rsidR="00CB72F9">
        <w:t xml:space="preserve"> A </w:t>
      </w:r>
      <w:r w:rsidR="00CB72F9" w:rsidRPr="00981856">
        <w:t xml:space="preserve">convincing argument comes from understanding </w:t>
      </w:r>
      <w:r w:rsidR="00610E8A" w:rsidRPr="00981856">
        <w:t xml:space="preserve">the role </w:t>
      </w:r>
      <w:r w:rsidR="00CB72F9" w:rsidRPr="00981856">
        <w:t xml:space="preserve">of </w:t>
      </w:r>
      <w:r w:rsidRPr="00981856">
        <w:t>‘Social Cognition’</w:t>
      </w:r>
      <w:r>
        <w:t xml:space="preserve">, otherwise known as </w:t>
      </w:r>
      <w:r w:rsidR="00CB72F9">
        <w:t>our understanding of the social world in which we live. Across the course of our lifetime we continually absorb knowledge about how our social relationships operate, building up mental representations or ‘schemas’ which act as sets of rules as to how people</w:t>
      </w:r>
      <w:r w:rsidR="002E0F47">
        <w:t xml:space="preserve"> are ‘supposed’ to act</w:t>
      </w:r>
      <w:r w:rsidR="00CB72F9">
        <w:t xml:space="preserve"> and situations are ‘supposed’ to go. One of the most fundamental schemas is our understanding of gender, and the associated characteristics assigned to men and masculinity, and women and femininity. This </w:t>
      </w:r>
      <w:r w:rsidR="002E0F47">
        <w:t>‘</w:t>
      </w:r>
      <w:r w:rsidR="003A558E" w:rsidRPr="002E0F47">
        <w:t>Gender Schema Theory</w:t>
      </w:r>
      <w:r w:rsidR="002E0F47">
        <w:t>’</w:t>
      </w:r>
      <w:r w:rsidR="003A558E">
        <w:t xml:space="preserve"> was outlined by Sandra Bem</w:t>
      </w:r>
      <w:r w:rsidR="002E0F47">
        <w:t xml:space="preserve"> in 1981</w:t>
      </w:r>
      <w:r w:rsidR="002E0F47">
        <w:fldChar w:fldCharType="begin"/>
      </w:r>
      <w:r w:rsidR="00BC30CA">
        <w:instrText xml:space="preserve"> ADDIN EN.CITE &lt;EndNote&gt;&lt;Cite Hidden="1"&gt;&lt;Author&gt;Bem&lt;/Author&gt;&lt;Year&gt;1981&lt;/Year&gt;&lt;RecNum&gt;176&lt;/RecNum&gt;&lt;record&gt;&lt;rec-number&gt;176&lt;/rec-number&gt;&lt;foreign-keys&gt;&lt;key app="EN" db-id="f5p9zd5zqsratqef5sv5pz2wpve092vrdw52" timestamp="1331902640"&gt;176&lt;/key&gt;&lt;/foreign-keys&gt;&lt;ref-type name="Journal Article"&gt;17&lt;/ref-type&gt;&lt;contributors&gt;&lt;authors&gt;&lt;author&gt;Bem, S. L.&lt;/author&gt;&lt;/authors&gt;&lt;/contributors&gt;&lt;titles&gt;&lt;title&gt;Gender schema theory: A cognitive account of sex typing&lt;/title&gt;&lt;secondary-title&gt;Psychological Review&lt;/secondary-title&gt;&lt;/titles&gt;&lt;periodical&gt;&lt;full-title&gt;Psychological Review&lt;/full-title&gt;&lt;/periodical&gt;&lt;pages&gt;354-364&lt;/pages&gt;&lt;volume&gt;88&lt;/volume&gt;&lt;dates&gt;&lt;year&gt;1981&lt;/year&gt;&lt;/dates&gt;&lt;urls&gt;&lt;/urls&gt;&lt;/record&gt;&lt;/Cite&gt;&lt;/EndNote&gt;</w:instrText>
      </w:r>
      <w:r w:rsidR="002E0F47">
        <w:fldChar w:fldCharType="separate"/>
      </w:r>
      <w:r w:rsidR="002E0F47">
        <w:fldChar w:fldCharType="end"/>
      </w:r>
      <w:r w:rsidR="00CB72F9">
        <w:t xml:space="preserve">, and when we examine the characteristics </w:t>
      </w:r>
      <w:r w:rsidR="00D73C2F">
        <w:t xml:space="preserve">typically </w:t>
      </w:r>
      <w:r w:rsidR="00CB72F9">
        <w:t xml:space="preserve">associated with men </w:t>
      </w:r>
      <w:r w:rsidR="003F1694">
        <w:t xml:space="preserve">(i.e., Aggressive, independent, strong, dominant) </w:t>
      </w:r>
      <w:r w:rsidR="00CB72F9">
        <w:t xml:space="preserve">and women </w:t>
      </w:r>
      <w:r w:rsidR="003F1694">
        <w:t>(i.e., Passive, interdependent, weak, emotional)</w:t>
      </w:r>
      <w:r w:rsidR="00CB72F9">
        <w:t xml:space="preserve">, it is easy to see how men are much more likely to be seen as aggressors and perpetrators, and women as recipients and victims of </w:t>
      </w:r>
      <w:r w:rsidR="003A558E">
        <w:t>acts</w:t>
      </w:r>
      <w:r w:rsidR="00CB72F9">
        <w:t xml:space="preserve"> like domestic violence. </w:t>
      </w:r>
    </w:p>
    <w:p w14:paraId="3C7FA0F3" w14:textId="77777777" w:rsidR="00CB72F9" w:rsidRPr="004B3C2B" w:rsidRDefault="00CB72F9" w:rsidP="0061000A"/>
    <w:p w14:paraId="4A23D1AB" w14:textId="0922394B" w:rsidR="006C61F7" w:rsidRDefault="00F35B62" w:rsidP="00215DB3">
      <w:r>
        <w:t xml:space="preserve">In addition to this general information about gender, we will also build up ‘Scripts’ for </w:t>
      </w:r>
      <w:r w:rsidR="003A558E">
        <w:t>specific</w:t>
      </w:r>
      <w:r>
        <w:t xml:space="preserve"> events. For example, when </w:t>
      </w:r>
      <w:r w:rsidR="002E0F47">
        <w:t>entering</w:t>
      </w:r>
      <w:r>
        <w:t xml:space="preserve"> a restaurant, we know how this event will usually go and the sequence of </w:t>
      </w:r>
      <w:r w:rsidR="00B31CDD">
        <w:t>actions</w:t>
      </w:r>
      <w:r>
        <w:t xml:space="preserve"> that will follow </w:t>
      </w:r>
      <w:r w:rsidR="00B31CDD">
        <w:t xml:space="preserve">upon </w:t>
      </w:r>
      <w:r>
        <w:t xml:space="preserve">us entering (i.e., being given a menu, ordering, eating, then paying etc.). We </w:t>
      </w:r>
      <w:r w:rsidR="00B31CDD">
        <w:t xml:space="preserve">build up a similar type </w:t>
      </w:r>
      <w:r>
        <w:t xml:space="preserve">script for domestic violence, drawn from both our general gender schemas, and specific depictions that we might pick up from the world around us (i.e., in </w:t>
      </w:r>
      <w:r w:rsidR="00FB2A8E">
        <w:t xml:space="preserve">the </w:t>
      </w:r>
      <w:r>
        <w:t xml:space="preserve">popular media). As </w:t>
      </w:r>
      <w:r w:rsidR="003A558E">
        <w:t xml:space="preserve">a result of this natural cognitive </w:t>
      </w:r>
      <w:r>
        <w:t>process, many people view domestic violence through a very narrow, over-simplified lens, represented by the stereotype outlined above</w:t>
      </w:r>
      <w:r w:rsidR="00FB2A8E">
        <w:t xml:space="preserve"> (i.e., an aggressive, strong man physically attacking a smaller, weaker woman</w:t>
      </w:r>
      <w:r>
        <w:t>.</w:t>
      </w:r>
    </w:p>
    <w:p w14:paraId="21F2C7A3" w14:textId="77777777" w:rsidR="00F35B62" w:rsidRDefault="00F35B62" w:rsidP="00215DB3"/>
    <w:p w14:paraId="5718B826" w14:textId="72FA6712" w:rsidR="003A558E" w:rsidRDefault="00F35B62" w:rsidP="00215DB3">
      <w:r>
        <w:t xml:space="preserve">Most of the time, social cognition and the shortcuts it produces (known as ‘heuristics’) help us in our day to day interactions. They </w:t>
      </w:r>
      <w:r w:rsidR="00382CE8">
        <w:t xml:space="preserve">allow us to make assumptions that save our brain the time and effort it would take to work out every detail of any given scenario. However, when </w:t>
      </w:r>
      <w:r w:rsidR="003A558E">
        <w:t>we examine examples such as</w:t>
      </w:r>
      <w:r w:rsidR="00382CE8">
        <w:t xml:space="preserve"> domestic violence, this can lead to severe and damaging consequences. F</w:t>
      </w:r>
      <w:r w:rsidR="00250D0E">
        <w:t xml:space="preserve">or example, </w:t>
      </w:r>
      <w:r w:rsidR="00A56E38">
        <w:t>several</w:t>
      </w:r>
      <w:r w:rsidR="00250D0E">
        <w:t xml:space="preserve"> studies</w:t>
      </w:r>
      <w:r w:rsidR="00A56E38">
        <w:t xml:space="preserve"> have highlighted that evaluations on several measures, such as severity, trauma, responsibility, intervention, and punishment etc. are influence</w:t>
      </w:r>
      <w:r w:rsidR="00E1199A">
        <w:t>d</w:t>
      </w:r>
      <w:r w:rsidR="00A56E38">
        <w:t xml:space="preserve"> by victim and perpetrator gender</w:t>
      </w:r>
      <w:r w:rsidR="003F1694">
        <w:t xml:space="preserve"> </w:t>
      </w:r>
      <w:r w:rsidR="003F1694">
        <w:fldChar w:fldCharType="begin">
          <w:fldData xml:space="preserve">PEVuZE5vdGU+PENpdGU+PEF1dGhvcj5Qb29ybWFuPC9BdXRob3I+PFllYXI+MjAwMzwvWWVhcj48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</w:fldData>
        </w:fldChar>
      </w:r>
      <w:r w:rsidR="008E3384">
        <w:instrText xml:space="preserve"> ADDIN EN.CITE </w:instrText>
      </w:r>
      <w:r w:rsidR="008E3384">
        <w:fldChar w:fldCharType="begin">
          <w:fldData xml:space="preserve">PEVuZE5vdGU+PENpdGU+PEF1dGhvcj5Qb29ybWFuPC9BdXRob3I+PFllYXI+MjAwMzwvWWVhcj48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</w:fldData>
        </w:fldChar>
      </w:r>
      <w:r w:rsidR="008E3384">
        <w:instrText xml:space="preserve"> ADDIN EN.CITE.DATA </w:instrText>
      </w:r>
      <w:r w:rsidR="008E3384">
        <w:fldChar w:fldCharType="end"/>
      </w:r>
      <w:r w:rsidR="003F1694">
        <w:fldChar w:fldCharType="separate"/>
      </w:r>
      <w:r w:rsidR="003F1694">
        <w:rPr>
          <w:noProof/>
        </w:rPr>
        <w:t>(Poorman, Seelau, &amp; Seelau, 2003; E. P. Seelau, Seelau, &amp; Poorman, 2003; S. M. Seelau &amp; Seelau, 2005)</w:t>
      </w:r>
      <w:r w:rsidR="003F1694">
        <w:fldChar w:fldCharType="end"/>
      </w:r>
      <w:r w:rsidR="00A56E38">
        <w:t xml:space="preserve">. </w:t>
      </w:r>
      <w:r w:rsidR="00D73C2F">
        <w:t>For example, s</w:t>
      </w:r>
      <w:r w:rsidR="00A56E38">
        <w:t>cenarios involving a male victim and female perpetrator are evaluated as less serious than those involving a female</w:t>
      </w:r>
      <w:r w:rsidR="00E1199A">
        <w:t xml:space="preserve"> victim and a male perpetrator. Results such as these are explained by existence of stereotypes not only about each gender (i.e., men are strong and tough and can ‘handle’ physical assault), but also about the crime (i.e., men can’t be/aren’t the victims of domestic abuse). Judgements</w:t>
      </w:r>
      <w:r w:rsidR="00A56E38">
        <w:t xml:space="preserve"> regarding same-sex domestic abuse (an ev</w:t>
      </w:r>
      <w:r w:rsidR="00674870">
        <w:t>en less well known phenomenon),</w:t>
      </w:r>
      <w:r w:rsidR="00A56E38">
        <w:t xml:space="preserve"> fall somewhere between the two scenario types outlined above</w:t>
      </w:r>
      <w:r w:rsidR="00E1199A">
        <w:t>, and are again subject to evaluation against existing stereotypes (</w:t>
      </w:r>
      <w:r w:rsidR="00674870">
        <w:t>as well as societal</w:t>
      </w:r>
      <w:r w:rsidR="00E1199A">
        <w:t xml:space="preserve"> prejudices)</w:t>
      </w:r>
      <w:r w:rsidR="00A56E38">
        <w:t>.</w:t>
      </w:r>
    </w:p>
    <w:p w14:paraId="1C121F20" w14:textId="77777777" w:rsidR="003A558E" w:rsidRDefault="003A558E" w:rsidP="00215DB3"/>
    <w:p w14:paraId="12869EC5" w14:textId="2CEF02BC" w:rsidR="00423615" w:rsidRDefault="00D73C2F" w:rsidP="00423615">
      <w:r>
        <w:t xml:space="preserve">Further implications exist for male victims when they </w:t>
      </w:r>
      <w:r w:rsidR="00AD3D93">
        <w:t>chose to repo</w:t>
      </w:r>
      <w:r w:rsidR="00E1199A">
        <w:t xml:space="preserve">rt their abuse (which is rare). Male victims often describe </w:t>
      </w:r>
      <w:r w:rsidR="0032040B">
        <w:t>negative experiences with peers and services</w:t>
      </w:r>
      <w:r w:rsidR="006C02CB">
        <w:t xml:space="preserve"> </w:t>
      </w:r>
      <w:r w:rsidR="006C02CB">
        <w:fldChar w:fldCharType="begin">
          <w:fldData xml:space="preserve">PEVuZE5vdGU+PENpdGU+PEF1dGhvcj5Uc3VpPC9BdXRob3I+PFllYXI+MjAxNDwvWWVhcj48UmVj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</w:fldData>
        </w:fldChar>
      </w:r>
      <w:r w:rsidR="001B09EA">
        <w:instrText xml:space="preserve"> ADDIN EN.CITE </w:instrText>
      </w:r>
      <w:r w:rsidR="001B09EA">
        <w:fldChar w:fldCharType="begin">
          <w:fldData xml:space="preserve">PEVuZE5vdGU+PENpdGU+PEF1dGhvcj5Uc3VpPC9BdXRob3I+PFllYXI+MjAxNDwvWWVhcj48UmVj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</w:fldData>
        </w:fldChar>
      </w:r>
      <w:r w:rsidR="001B09EA">
        <w:instrText xml:space="preserve"> ADDIN EN.CITE.DATA </w:instrText>
      </w:r>
      <w:r w:rsidR="001B09EA">
        <w:fldChar w:fldCharType="end"/>
      </w:r>
      <w:r w:rsidR="006C02CB">
        <w:fldChar w:fldCharType="separate"/>
      </w:r>
      <w:r w:rsidR="001B09EA">
        <w:rPr>
          <w:noProof/>
        </w:rPr>
        <w:t>(Dutton &amp; White, 2013; Tsui, 2014; Tsui, Cheung, &amp; Leung, 2010)</w:t>
      </w:r>
      <w:r w:rsidR="006C02CB">
        <w:fldChar w:fldCharType="end"/>
      </w:r>
      <w:r w:rsidR="0032040B">
        <w:t>,</w:t>
      </w:r>
      <w:r w:rsidR="00A75475">
        <w:t xml:space="preserve"> and counsellors themselves both recognise and feel impeded by domestic abuse and gender stereotypes when working with male victims </w:t>
      </w:r>
      <w:r w:rsidR="00A75475">
        <w:fldChar w:fldCharType="begin"/>
      </w:r>
      <w:r w:rsidR="00A75475">
        <w:instrText xml:space="preserve"> ADDIN EN.CITE &lt;EndNote&gt;&lt;Cite&gt;&lt;Author&gt;Hogan&lt;/Author&gt;&lt;Year&gt;2012&lt;/Year&gt;&lt;RecNum&gt;939&lt;/RecNum&gt;&lt;DisplayText&gt;(Hogan, Hegarty, Ward, &amp;amp; Dodd, 2012)&lt;/DisplayText&gt;&lt;record&gt;&lt;rec-number&gt;939&lt;/rec-number&gt;&lt;foreign-keys&gt;&lt;key app="EN" db-id="f5p9zd5zqsratqef5sv5pz2wpve092vrdw52" timestamp="1489657477"&gt;939&lt;/key&gt;&lt;/foreign-keys&gt;&lt;ref-type name="Journal Article"&gt;17&lt;/ref-type&gt;&lt;contributors&gt;&lt;authors&gt;&lt;author&gt;Hogan, K. F.&lt;/author&gt;&lt;author&gt;Hegarty, J. R.&lt;/author&gt;&lt;author&gt;Ward, T.&lt;/author&gt;&lt;author&gt;Dodd, L. J.&lt;/author&gt;&lt;/authors&gt;&lt;/contributors&gt;&lt;titles&gt;&lt;title&gt;Counsellors&amp;apos; experiences of working with male victims of female-perpetrated domestic abuse&lt;/title&gt;&lt;secondary-title&gt;Counselling and Psychotherapy Research&lt;/secondary-title&gt;&lt;/titles&gt;&lt;periodical&gt;&lt;full-title&gt;Counselling and Psychotherapy Research&lt;/full-title&gt;&lt;/periodical&gt;&lt;pages&gt;44-52&lt;/pages&gt;&lt;volume&gt;12&lt;/volume&gt;&lt;dates&gt;&lt;year&gt;2012&lt;/year&gt;&lt;/dates&gt;&lt;urls&gt;&lt;/urls&gt;&lt;electronic-resource-num&gt;10.1080/14733145.2011.630479&lt;/electronic-resource-num&gt;&lt;/record&gt;&lt;/Cite&gt;&lt;/EndNote&gt;</w:instrText>
      </w:r>
      <w:r w:rsidR="00A75475">
        <w:fldChar w:fldCharType="separate"/>
      </w:r>
      <w:r w:rsidR="00A75475">
        <w:rPr>
          <w:noProof/>
        </w:rPr>
        <w:t>(Hogan, Hegarty, Ward, &amp; Dodd, 2012)</w:t>
      </w:r>
      <w:r w:rsidR="00A75475">
        <w:fldChar w:fldCharType="end"/>
      </w:r>
      <w:r w:rsidR="00A75475">
        <w:t>. Negative experiences are also reported for</w:t>
      </w:r>
      <w:r w:rsidR="00E1199A">
        <w:t xml:space="preserve"> interaction</w:t>
      </w:r>
      <w:r w:rsidR="00A75475">
        <w:t>s</w:t>
      </w:r>
      <w:r w:rsidR="00E1199A">
        <w:t xml:space="preserve"> with </w:t>
      </w:r>
      <w:r w:rsidR="00AD3D93">
        <w:t>the criminal justice system, particularly police officers</w:t>
      </w:r>
      <w:r w:rsidR="006C02CB">
        <w:t xml:space="preserve"> </w:t>
      </w:r>
      <w:r w:rsidR="006C02CB">
        <w:fldChar w:fldCharType="begin"/>
      </w:r>
      <w:r w:rsidR="006C02CB">
        <w:instrText xml:space="preserve"> ADDIN EN.CITE &lt;EndNote&gt;&lt;Cite&gt;&lt;Author&gt;McCarrick&lt;/Author&gt;&lt;Year&gt;2016&lt;/Year&gt;&lt;RecNum&gt;932&lt;/RecNum&gt;&lt;DisplayText&gt;(McCarrick, Davis-McCabe, &amp;amp; Hirst-Winthrop, 2016)&lt;/DisplayText&gt;&lt;record&gt;&lt;rec-number&gt;932&lt;/rec-number&gt;&lt;foreign-keys&gt;&lt;key app="EN" db-id="f5p9zd5zqsratqef5sv5pz2wpve092vrdw52" timestamp="1489575661"&gt;932&lt;/key&gt;&lt;/foreign-keys&gt;&lt;ref-type name="Journal Article"&gt;17&lt;/ref-type&gt;&lt;contributors&gt;&lt;authors&gt;&lt;author&gt;McCarrick, J.&lt;/author&gt;&lt;author&gt;Davis-McCabe, C.&lt;/author&gt;&lt;author&gt;Hirst-Winthrop, S.&lt;/author&gt;&lt;/authors&gt;&lt;/contributors&gt;&lt;titles&gt;&lt;title&gt;Men&amp;apos;s experiences of the criminal justice system following female perpetrated intimate partner violence&lt;/title&gt;&lt;secondary-title&gt;Journal of Family Violence&lt;/secondary-title&gt;&lt;/titles&gt;&lt;periodical&gt;&lt;full-title&gt;Journal of Family Violence&lt;/full-title&gt;&lt;/periodical&gt;&lt;pages&gt;203-213&lt;/pages&gt;&lt;volume&gt;31&lt;/volume&gt;&lt;dates&gt;&lt;year&gt;2016&lt;/year&gt;&lt;/dates&gt;&lt;urls&gt;&lt;/urls&gt;&lt;electronic-resource-num&gt;10.1007/s10896-015-9749-z&lt;/electronic-resource-num&gt;&lt;/record&gt;&lt;/Cite&gt;&lt;/EndNote&gt;</w:instrText>
      </w:r>
      <w:r w:rsidR="006C02CB">
        <w:fldChar w:fldCharType="separate"/>
      </w:r>
      <w:r w:rsidR="006C02CB">
        <w:rPr>
          <w:noProof/>
        </w:rPr>
        <w:t>(McCarrick, Davis-McCabe, &amp; Hirst-Winthrop, 2016)</w:t>
      </w:r>
      <w:r w:rsidR="006C02CB">
        <w:fldChar w:fldCharType="end"/>
      </w:r>
      <w:r w:rsidR="00AD3D93">
        <w:t xml:space="preserve">. </w:t>
      </w:r>
      <w:r>
        <w:t xml:space="preserve">Worryingly, </w:t>
      </w:r>
      <w:r w:rsidR="00014086">
        <w:t>male victims are often automatically cast as the perpetrator and arrested, even when they have made the complaint</w:t>
      </w:r>
      <w:r>
        <w:t xml:space="preserve"> </w:t>
      </w:r>
      <w:r>
        <w:fldChar w:fldCharType="begin"/>
      </w:r>
      <w:r>
        <w:instrText xml:space="preserve"> ADDIN EN.CITE &lt;EndNote&gt;&lt;Cite&gt;&lt;Author&gt;McCarrick&lt;/Author&gt;&lt;Year&gt;2016&lt;/Year&gt;&lt;RecNum&gt;932&lt;/RecNum&gt;&lt;DisplayText&gt;(McCarrick et al., 2016)&lt;/DisplayText&gt;&lt;record&gt;&lt;rec-number&gt;932&lt;/rec-number&gt;&lt;foreign-keys&gt;&lt;key app="EN" db-id="f5p9zd5zqsratqef5sv5pz2wpve092vrdw52" timestamp="1489575661"&gt;932&lt;/key&gt;&lt;/foreign-keys&gt;&lt;ref-type name="Journal Article"&gt;17&lt;/ref-type&gt;&lt;contributors&gt;&lt;authors&gt;&lt;author&gt;McCarrick, J.&lt;/author&gt;&lt;author&gt;Davis-McCabe, C.&lt;/author&gt;&lt;author&gt;Hirst-Winthrop, S.&lt;/author&gt;&lt;/authors&gt;&lt;/contributors&gt;&lt;titles&gt;&lt;title&gt;Men&amp;apos;s experiences of the criminal justice system following female perpetrated intimate partner violence&lt;/title&gt;&lt;secondary-title&gt;Journal of Family Violence&lt;/secondary-title&gt;&lt;/titles&gt;&lt;periodical&gt;&lt;full-title&gt;Journal of Family Violence&lt;/full-title&gt;&lt;/periodical&gt;&lt;pages&gt;203-213&lt;/pages&gt;&lt;volume&gt;31&lt;/volume&gt;&lt;dates&gt;&lt;year&gt;2016&lt;/year&gt;&lt;/dates&gt;&lt;urls&gt;&lt;/urls&gt;&lt;electronic-resource-num&gt;10.1007/s10896-015-9749-z&lt;/electronic-resource-num&gt;&lt;/record&gt;&lt;/Cite&gt;&lt;/EndNote&gt;</w:instrText>
      </w:r>
      <w:r>
        <w:fldChar w:fldCharType="separate"/>
      </w:r>
      <w:r>
        <w:rPr>
          <w:noProof/>
        </w:rPr>
        <w:t>(McCarrick et al., 2016)</w:t>
      </w:r>
      <w:r>
        <w:fldChar w:fldCharType="end"/>
      </w:r>
      <w:r w:rsidR="00014086">
        <w:t>.</w:t>
      </w:r>
      <w:r w:rsidR="00B31CDD">
        <w:t xml:space="preserve"> </w:t>
      </w:r>
      <w:r w:rsidR="003A558E">
        <w:t xml:space="preserve">Other studies suggest that officers assign more blame to male victims for their victimisation </w:t>
      </w:r>
      <w:r w:rsidR="003A558E">
        <w:fldChar w:fldCharType="begin"/>
      </w:r>
      <w:r w:rsidR="003A558E">
        <w:instrText xml:space="preserve"> ADDIN EN.CITE &lt;EndNote&gt;&lt;Cite&gt;&lt;Author&gt;Stewart&lt;/Author&gt;&lt;Year&gt;1997&lt;/Year&gt;&lt;RecNum&gt;933&lt;/RecNum&gt;&lt;DisplayText&gt;(Stewart &amp;amp; Maddren, 1997)&lt;/DisplayText&gt;&lt;record&gt;&lt;rec-number&gt;933&lt;/rec-number&gt;&lt;foreign-keys&gt;&lt;key app="EN" db-id="f5p9zd5zqsratqef5sv5pz2wpve092vrdw52" timestamp="1489575843"&gt;933&lt;/key&gt;&lt;/foreign-keys&gt;&lt;ref-type name="Journal Article"&gt;17&lt;/ref-type&gt;&lt;contributors&gt;&lt;authors&gt;&lt;author&gt;Stewart, A.&lt;/author&gt;&lt;author&gt;Maddren, K.&lt;/author&gt;&lt;/authors&gt;&lt;/contributors&gt;&lt;titles&gt;&lt;title&gt;Police officers&amp;apos; judgements of blame in family violence: The impact of gender and alcohol&lt;/title&gt;&lt;secondary-title&gt;Sex Roles&lt;/secondary-title&gt;&lt;/titles&gt;&lt;periodical&gt;&lt;full-title&gt;Sex Roles&lt;/full-title&gt;&lt;/periodical&gt;&lt;volume&gt;37&lt;/volume&gt;&lt;number&gt;921-933&lt;/number&gt;&lt;dates&gt;&lt;year&gt;1997&lt;/year&gt;&lt;/dates&gt;&lt;urls&gt;&lt;/urls&gt;&lt;electronic-resource-num&gt;10.1007/BF02936347&lt;/electronic-resource-num&gt;&lt;/record&gt;&lt;/Cite&gt;&lt;/EndNote&gt;</w:instrText>
      </w:r>
      <w:r w:rsidR="003A558E">
        <w:fldChar w:fldCharType="separate"/>
      </w:r>
      <w:r w:rsidR="003A558E">
        <w:rPr>
          <w:noProof/>
        </w:rPr>
        <w:t>(Stewart &amp; Maddren, 1997)</w:t>
      </w:r>
      <w:r w:rsidR="003A558E">
        <w:fldChar w:fldCharType="end"/>
      </w:r>
      <w:r w:rsidR="003A558E">
        <w:t xml:space="preserve">, and victims often report the belief that officers won’t take any action </w:t>
      </w:r>
      <w:r w:rsidR="003A558E">
        <w:fldChar w:fldCharType="begin"/>
      </w:r>
      <w:r w:rsidR="003A558E">
        <w:instrText xml:space="preserve"> ADDIN EN.CITE &lt;EndNote&gt;&lt;Cite&gt;&lt;Author&gt;Drijber&lt;/Author&gt;&lt;Year&gt;2013&lt;/Year&gt;&lt;RecNum&gt;934&lt;/RecNum&gt;&lt;DisplayText&gt;(Drijber, Reijnders, &amp;amp; Ceelen, 2013)&lt;/DisplayText&gt;&lt;record&gt;&lt;rec-number&gt;934&lt;/rec-number&gt;&lt;foreign-keys&gt;&lt;key app="EN" db-id="f5p9zd5zqsratqef5sv5pz2wpve092vrdw52" timestamp="1489576217"&gt;934&lt;/key&gt;&lt;/foreign-keys&gt;&lt;ref-type name="Journal Article"&gt;17&lt;/ref-type&gt;&lt;contributors&gt;&lt;authors&gt;&lt;author&gt;Drijber, B. C.&lt;/author&gt;&lt;author&gt;Reijnders, U. J. L.&lt;/author&gt;&lt;author&gt;Ceelen, M.&lt;/author&gt;&lt;/authors&gt;&lt;/contributors&gt;&lt;titles&gt;&lt;title&gt;Male victims of domestic violence&lt;/title&gt;&lt;secondary-title&gt;Journal of Family Violence&lt;/secondary-title&gt;&lt;/titles&gt;&lt;periodical&gt;&lt;full-title&gt;Journal of Family Violence&lt;/full-title&gt;&lt;/periodical&gt;&lt;pages&gt;173-178&lt;/pages&gt;&lt;volume&gt;28&lt;/volume&gt;&lt;dates&gt;&lt;year&gt;2013&lt;/year&gt;&lt;/dates&gt;&lt;urls&gt;&lt;/urls&gt;&lt;electronic-resource-num&gt;10.1007/s10896-012-9482-9&lt;/electronic-resource-num&gt;&lt;/record&gt;&lt;/Cite&gt;&lt;/EndNote&gt;</w:instrText>
      </w:r>
      <w:r w:rsidR="003A558E">
        <w:fldChar w:fldCharType="separate"/>
      </w:r>
      <w:r w:rsidR="003A558E">
        <w:rPr>
          <w:noProof/>
        </w:rPr>
        <w:t>(Drijber, Reijnders, &amp; Ceelen, 2013)</w:t>
      </w:r>
      <w:r w:rsidR="003A558E">
        <w:fldChar w:fldCharType="end"/>
      </w:r>
      <w:r w:rsidR="003A558E">
        <w:t>.</w:t>
      </w:r>
      <w:r w:rsidR="00E1199A">
        <w:t xml:space="preserve"> Whilst more research is needed, c</w:t>
      </w:r>
      <w:r w:rsidR="00423615">
        <w:t>learly there are serious consequences associated with the stereotypes surrounding domestic abuse</w:t>
      </w:r>
      <w:r w:rsidR="00FA1593">
        <w:t>, with male, gay, and lesbian victims of domestic violence regarded as fundamentally less ‘in-need’ than female victims by social networks, services, and even within the victim’s own minds.</w:t>
      </w:r>
    </w:p>
    <w:p w14:paraId="14A820F2" w14:textId="77777777" w:rsidR="00014086" w:rsidRDefault="00014086" w:rsidP="00215DB3"/>
    <w:p w14:paraId="7F295ADF" w14:textId="2A4263C8" w:rsidR="00F14FDE" w:rsidRPr="00783D4F" w:rsidRDefault="00E1199A" w:rsidP="00215DB3">
      <w:r>
        <w:t>Even with acknowledgement of</w:t>
      </w:r>
      <w:r w:rsidR="00F14FDE">
        <w:t xml:space="preserve"> the limitations of both the statisti</w:t>
      </w:r>
      <w:r w:rsidR="004A3092">
        <w:t xml:space="preserve">cs and research presented above, </w:t>
      </w:r>
      <w:r w:rsidR="00783D4F">
        <w:t xml:space="preserve">a mismatch between domestic violence stereotypes and reality is </w:t>
      </w:r>
      <w:r>
        <w:t xml:space="preserve">plainly </w:t>
      </w:r>
      <w:r w:rsidR="00783D4F">
        <w:t>evident</w:t>
      </w:r>
      <w:r>
        <w:t>, and u</w:t>
      </w:r>
      <w:r w:rsidR="00783D4F">
        <w:t xml:space="preserve">nfortunately, documents such as the </w:t>
      </w:r>
      <w:r w:rsidR="00783D4F">
        <w:rPr>
          <w:i/>
        </w:rPr>
        <w:t xml:space="preserve">Istanbul Convention </w:t>
      </w:r>
      <w:r w:rsidR="00423615">
        <w:t>serve</w:t>
      </w:r>
      <w:r w:rsidR="00783D4F">
        <w:t xml:space="preserve"> to </w:t>
      </w:r>
      <w:r>
        <w:t xml:space="preserve">only </w:t>
      </w:r>
      <w:r w:rsidR="00783D4F">
        <w:t>reinforce these unhelpful, inaccurate and dangerous stereotypes</w:t>
      </w:r>
      <w:r w:rsidR="00423615">
        <w:t>.</w:t>
      </w:r>
      <w:r w:rsidR="00E62339">
        <w:t xml:space="preserve"> </w:t>
      </w:r>
      <w:r w:rsidR="00FA1593">
        <w:t>Furthermore,</w:t>
      </w:r>
      <w:r w:rsidR="00E62339">
        <w:t xml:space="preserve"> whilst the convention </w:t>
      </w:r>
      <w:r w:rsidR="00E62339" w:rsidRPr="00FA1593">
        <w:rPr>
          <w:i/>
        </w:rPr>
        <w:t>alone</w:t>
      </w:r>
      <w:r w:rsidR="00E62339">
        <w:t xml:space="preserve"> is not responsible for perpetuating such stereotypes, documents such as this are particularly important considering their reach, coverage, and publicity. In this sense, they help to shape the broader, societal narrative surrounding domestic abuse as </w:t>
      </w:r>
      <w:r w:rsidR="00FA1593">
        <w:t>‘</w:t>
      </w:r>
      <w:r w:rsidR="00E62339">
        <w:t>a gendered crime</w:t>
      </w:r>
      <w:r w:rsidR="00FA1593">
        <w:t>’</w:t>
      </w:r>
      <w:r w:rsidR="00E62339">
        <w:t xml:space="preserve">, </w:t>
      </w:r>
      <w:r w:rsidR="00FA1593">
        <w:t>‘</w:t>
      </w:r>
      <w:r w:rsidR="00E62339">
        <w:t>a manifestation of patriarchal oppression</w:t>
      </w:r>
      <w:r w:rsidR="00FA1593">
        <w:t>’</w:t>
      </w:r>
      <w:r w:rsidR="00E62339">
        <w:t xml:space="preserve"> etc. that serve to fundamentally undermine and exclude male victims, and victims within homosexual relationships.</w:t>
      </w:r>
    </w:p>
    <w:p w14:paraId="1CDDAC58" w14:textId="77777777" w:rsidR="00F14FDE" w:rsidRDefault="00F14FDE" w:rsidP="00215DB3"/>
    <w:p w14:paraId="13498EEC" w14:textId="0086EFC3" w:rsidR="00014086" w:rsidRDefault="00014086" w:rsidP="00215DB3">
      <w:r>
        <w:t xml:space="preserve">So how do we begin to change this? </w:t>
      </w:r>
      <w:r w:rsidR="00B31CDD">
        <w:t xml:space="preserve">An increasing amount of work is already being done </w:t>
      </w:r>
      <w:r>
        <w:t xml:space="preserve">to advocate on behalf of male victims, and, as such, there </w:t>
      </w:r>
      <w:r w:rsidR="00B31CDD">
        <w:t>has been a slow but steady</w:t>
      </w:r>
      <w:r>
        <w:t xml:space="preserve"> </w:t>
      </w:r>
      <w:r w:rsidR="00B31CDD">
        <w:t>rise in</w:t>
      </w:r>
      <w:r>
        <w:t xml:space="preserve"> discourse in the public and political sphere surrounding male victims</w:t>
      </w:r>
      <w:r w:rsidR="00E62339">
        <w:t xml:space="preserve"> (e.g., identification of the absence of a male-only domestic abuse refuge in London, UK, Hunte, 201</w:t>
      </w:r>
      <w:r w:rsidR="00E62339">
        <w:fldChar w:fldCharType="begin"/>
      </w:r>
      <w:r w:rsidR="00E62339">
        <w:instrText xml:space="preserve"> ADDIN EN.CITE &lt;EndNote&gt;&lt;Cite Hidden="1"&gt;&lt;Author&gt;Hunte&lt;/Author&gt;&lt;Year&gt;2017&lt;/Year&gt;&lt;RecNum&gt;937&lt;/RecNum&gt;&lt;record&gt;&lt;rec-number&gt;937&lt;/rec-number&gt;&lt;foreign-keys&gt;&lt;key app="EN" db-id="f5p9zd5zqsratqef5sv5pz2wpve092vrdw52" timestamp="1489582008"&gt;937&lt;/key&gt;&lt;/foreign-keys&gt;&lt;ref-type name="Web Page"&gt;12&lt;/ref-type&gt;&lt;contributors&gt;&lt;authors&gt;&lt;author&gt;Hunte, B.&lt;/author&gt;&lt;/authors&gt;&lt;/contributors&gt;&lt;titles&gt;&lt;title&gt;London safe house call for male domestic abuse victims&lt;/title&gt;&lt;/titles&gt;&lt;dates&gt;&lt;year&gt;2017&lt;/year&gt;&lt;pub-dates&gt;&lt;date&gt;February&lt;/date&gt;&lt;/pub-dates&gt;&lt;/dates&gt;&lt;urls&gt;&lt;related-urls&gt;&lt;url&gt;http://www.bbc.co.uk/news/uk-england-london-38986336&lt;/url&gt;&lt;/related-urls&gt;&lt;/urls&gt;&lt;/record&gt;&lt;/Cite&gt;&lt;/EndNote&gt;</w:instrText>
      </w:r>
      <w:r w:rsidR="00E62339">
        <w:fldChar w:fldCharType="end"/>
      </w:r>
      <w:r w:rsidR="00E62339">
        <w:t>7)</w:t>
      </w:r>
      <w:r>
        <w:t xml:space="preserve">. However, </w:t>
      </w:r>
      <w:r w:rsidR="00FF1081">
        <w:t xml:space="preserve">five key areas of improvement are </w:t>
      </w:r>
      <w:r w:rsidR="00FA1593">
        <w:t>desperately needed.</w:t>
      </w:r>
    </w:p>
    <w:p w14:paraId="01AA9FAD" w14:textId="77777777" w:rsidR="00014086" w:rsidRDefault="00014086" w:rsidP="00215DB3"/>
    <w:p w14:paraId="0B920240" w14:textId="6D6DFA11" w:rsidR="00FF1081" w:rsidRDefault="00FA1593" w:rsidP="00FA1593">
      <w:r>
        <w:t>First, even g</w:t>
      </w:r>
      <w:r w:rsidR="000C1519">
        <w:t>reater efforts are needed to</w:t>
      </w:r>
      <w:r w:rsidR="00014086">
        <w:t xml:space="preserve"> challenge the current political </w:t>
      </w:r>
      <w:r w:rsidR="00FF1081">
        <w:t xml:space="preserve">and societal </w:t>
      </w:r>
      <w:r w:rsidR="00014086">
        <w:t xml:space="preserve">narrative that portrays women as the exclusive victims </w:t>
      </w:r>
      <w:r>
        <w:t>of</w:t>
      </w:r>
      <w:r w:rsidR="00014086">
        <w:t xml:space="preserve"> domestic violence. </w:t>
      </w:r>
      <w:r w:rsidR="00FF1081">
        <w:t xml:space="preserve">For example, whilst the language used in legislation </w:t>
      </w:r>
      <w:r w:rsidR="00FF1081" w:rsidRPr="00FA1593">
        <w:rPr>
          <w:i/>
        </w:rPr>
        <w:t>is</w:t>
      </w:r>
      <w:r w:rsidR="00FF1081">
        <w:t xml:space="preserve"> often neutral, the term ‘Violence Against Women and Girls’ is frequently used in reports</w:t>
      </w:r>
      <w:r w:rsidR="00B31CDD">
        <w:t xml:space="preserve"> on domestic and sexual violence,</w:t>
      </w:r>
      <w:r w:rsidR="00FF1081">
        <w:t xml:space="preserve"> and as the name for strategies designed to tackle </w:t>
      </w:r>
      <w:r w:rsidR="00B31CDD">
        <w:t>these crimes</w:t>
      </w:r>
      <w:r w:rsidR="00FF1081">
        <w:t>. This fundamentally undermines the experie</w:t>
      </w:r>
      <w:r w:rsidR="00A71C8C">
        <w:t xml:space="preserve">nces, </w:t>
      </w:r>
      <w:r w:rsidR="00FF1081">
        <w:t>needs</w:t>
      </w:r>
      <w:r w:rsidR="00A71C8C">
        <w:t xml:space="preserve"> and existence</w:t>
      </w:r>
      <w:r w:rsidR="00FF1081">
        <w:t xml:space="preserve"> of m</w:t>
      </w:r>
      <w:r w:rsidR="00B31CDD">
        <w:t xml:space="preserve">ale victims, and, importantly, </w:t>
      </w:r>
      <w:r w:rsidR="00FF1081">
        <w:t>this prejudice is often mirrored in inequality of funding and support (e.g., no male-only refugees currently exist in London)</w:t>
      </w:r>
      <w:r>
        <w:t>.</w:t>
      </w:r>
    </w:p>
    <w:p w14:paraId="32CD9907" w14:textId="77777777" w:rsidR="00FA1593" w:rsidRDefault="00FA1593" w:rsidP="00FA1593"/>
    <w:p w14:paraId="50A885F3" w14:textId="55EE8D41" w:rsidR="00FF1081" w:rsidRDefault="00FA1593" w:rsidP="00FA1593">
      <w:r>
        <w:t>Second, s</w:t>
      </w:r>
      <w:r w:rsidR="00014086">
        <w:t>ervices</w:t>
      </w:r>
      <w:r>
        <w:t xml:space="preserve"> (e.g.,</w:t>
      </w:r>
      <w:r w:rsidR="00014086">
        <w:t xml:space="preserve"> police forces, </w:t>
      </w:r>
      <w:r w:rsidR="000C1519">
        <w:t>prosecution services</w:t>
      </w:r>
      <w:r w:rsidR="00014086">
        <w:t>, and other professional bodies</w:t>
      </w:r>
      <w:r>
        <w:t xml:space="preserve"> etc.)</w:t>
      </w:r>
      <w:r w:rsidR="00014086">
        <w:t xml:space="preserve"> need to respond, immediately, to the </w:t>
      </w:r>
      <w:r w:rsidR="00FF1081">
        <w:t>specific</w:t>
      </w:r>
      <w:r w:rsidR="00014086">
        <w:t xml:space="preserve"> needs of male victims</w:t>
      </w:r>
      <w:r w:rsidR="00B31CDD">
        <w:t xml:space="preserve"> in their provision and</w:t>
      </w:r>
      <w:r w:rsidR="00FF1081">
        <w:t xml:space="preserve"> training. </w:t>
      </w:r>
      <w:r w:rsidR="000C1519">
        <w:t>In addition,</w:t>
      </w:r>
      <w:r w:rsidR="00A71C8C">
        <w:t xml:space="preserve"> </w:t>
      </w:r>
      <w:r w:rsidR="00B31CDD">
        <w:t>whilst m</w:t>
      </w:r>
      <w:r w:rsidR="00FF1081">
        <w:t>any services argue that their training is ‘neutral’</w:t>
      </w:r>
      <w:r w:rsidR="00B31CDD">
        <w:t>, many programmes don’</w:t>
      </w:r>
      <w:r w:rsidR="00FF1081">
        <w:t>t consider the very specific and nuanced experiences of female vs. male victims</w:t>
      </w:r>
      <w:r w:rsidR="000C1519">
        <w:t xml:space="preserve"> (and those who are victims in homosexual relationships)</w:t>
      </w:r>
      <w:r>
        <w:t>. In this sense, a dedicated effort to provide gender-inclusive as opposed to ‘neutral’ training is required.</w:t>
      </w:r>
    </w:p>
    <w:p w14:paraId="6B841604" w14:textId="77777777" w:rsidR="00FA1593" w:rsidRDefault="00FA1593" w:rsidP="00FA1593"/>
    <w:p w14:paraId="11048EA0" w14:textId="4AEDF231" w:rsidR="00014086" w:rsidRDefault="00FA1593" w:rsidP="00FA1593">
      <w:r>
        <w:t>Third, the academic community</w:t>
      </w:r>
      <w:r w:rsidR="00FF1081">
        <w:t xml:space="preserve"> </w:t>
      </w:r>
      <w:r w:rsidR="000C1519">
        <w:t>must</w:t>
      </w:r>
      <w:r w:rsidR="00FF1081">
        <w:t xml:space="preserve"> continue invest</w:t>
      </w:r>
      <w:r w:rsidR="000C1519">
        <w:t>igating which factors influence</w:t>
      </w:r>
      <w:r w:rsidR="00FF1081">
        <w:t xml:space="preserve"> judgements and attitudes towards domestic violence, in an effort to educate and inform policy and discourse</w:t>
      </w:r>
      <w:r w:rsidR="00B31CDD">
        <w:t xml:space="preserve">. </w:t>
      </w:r>
      <w:r w:rsidR="00BC30CA">
        <w:t xml:space="preserve">Greater efforts must also be made to use more diverse methodology to examine abuse in ways that are more representative of its occurrence (i.e., abuse over long periods of time vs. singular incidences; dual-perpetrator abuse vs. distinct perpetrator and victim scenarios). </w:t>
      </w:r>
      <w:r w:rsidR="000C1519">
        <w:t>Furthermore,</w:t>
      </w:r>
      <w:r w:rsidR="00A71C8C">
        <w:t xml:space="preserve"> non-politicised models of domestic violence </w:t>
      </w:r>
      <w:r>
        <w:t>require urgent development</w:t>
      </w:r>
      <w:r w:rsidR="000C1519">
        <w:t xml:space="preserve">. In other words, models are required </w:t>
      </w:r>
      <w:r w:rsidR="00A71C8C">
        <w:t xml:space="preserve">that </w:t>
      </w:r>
      <w:r w:rsidR="00A71C8C" w:rsidRPr="00FA1593">
        <w:rPr>
          <w:i/>
        </w:rPr>
        <w:t>account</w:t>
      </w:r>
      <w:r w:rsidR="00A71C8C">
        <w:t xml:space="preserve"> for gender, but are not determined</w:t>
      </w:r>
      <w:r>
        <w:t xml:space="preserve"> or driven</w:t>
      </w:r>
      <w:r w:rsidR="00A71C8C">
        <w:t xml:space="preserve"> by specific, political</w:t>
      </w:r>
      <w:r w:rsidR="000C1519">
        <w:t xml:space="preserve">, </w:t>
      </w:r>
      <w:r>
        <w:t xml:space="preserve">and </w:t>
      </w:r>
      <w:r w:rsidR="000C1519">
        <w:t>gendered</w:t>
      </w:r>
      <w:r w:rsidR="00A71C8C">
        <w:t xml:space="preserve"> narratives (i.e., feminism and the Duluth model)</w:t>
      </w:r>
    </w:p>
    <w:p w14:paraId="5A61D392" w14:textId="77777777" w:rsidR="00FA1593" w:rsidRDefault="00FA1593" w:rsidP="00FA1593"/>
    <w:p w14:paraId="3A90989A" w14:textId="24BDEF14" w:rsidR="00BD67A0" w:rsidRDefault="00FA1593" w:rsidP="00FA1593">
      <w:r>
        <w:t>Fourth, t</w:t>
      </w:r>
      <w:r w:rsidR="000C1519">
        <w:t>he media</w:t>
      </w:r>
      <w:r w:rsidR="00B31CDD">
        <w:t xml:space="preserve"> n</w:t>
      </w:r>
      <w:r w:rsidR="00FF1081">
        <w:t xml:space="preserve">eeds to </w:t>
      </w:r>
      <w:r w:rsidR="000C1519">
        <w:t>increasingly</w:t>
      </w:r>
      <w:r w:rsidR="00FF1081">
        <w:t xml:space="preserve"> provide varied and</w:t>
      </w:r>
      <w:r w:rsidR="00B31CDD">
        <w:t xml:space="preserve"> more nuanced representations of domestic violence to audiences, </w:t>
      </w:r>
      <w:r w:rsidR="000C1519">
        <w:t>to</w:t>
      </w:r>
      <w:r w:rsidR="00B31CDD">
        <w:t xml:space="preserve"> broaden stereotypical understandings of abuse</w:t>
      </w:r>
      <w:r>
        <w:t xml:space="preserve">. </w:t>
      </w:r>
      <w:r w:rsidR="00BC30CA">
        <w:t>This is particularly important considering a) the broad reach of the media (including social media and internet) in today’s world and b) the powerful indirect that this type of material can have on stereotype formation. F</w:t>
      </w:r>
      <w:r w:rsidR="000C1519">
        <w:t>inally, o</w:t>
      </w:r>
      <w:r w:rsidR="00014086">
        <w:t>n</w:t>
      </w:r>
      <w:r w:rsidR="000C1519">
        <w:t xml:space="preserve"> a broader, societal level, we must increasingly</w:t>
      </w:r>
      <w:r w:rsidR="00014086">
        <w:t xml:space="preserve"> </w:t>
      </w:r>
      <w:r w:rsidR="00FF1081">
        <w:t>open our minds to th</w:t>
      </w:r>
      <w:r w:rsidR="00014086">
        <w:t xml:space="preserve">e complexities of domestic violence </w:t>
      </w:r>
      <w:r w:rsidR="00A71C8C">
        <w:t xml:space="preserve">and abuse </w:t>
      </w:r>
      <w:r w:rsidR="00FF1081">
        <w:t>as a crime, a</w:t>
      </w:r>
      <w:r w:rsidR="0032040B">
        <w:t>nd guard against utilising stereotypes when confronted with a victim in need of our help</w:t>
      </w:r>
      <w:r w:rsidR="00BC30CA">
        <w:t xml:space="preserve">. </w:t>
      </w:r>
    </w:p>
    <w:p w14:paraId="7D0D5143" w14:textId="77777777" w:rsidR="00BD67A0" w:rsidRDefault="00BD67A0" w:rsidP="00BD67A0"/>
    <w:p w14:paraId="61714C5E" w14:textId="0E83F411" w:rsidR="00014086" w:rsidRDefault="00E1199A" w:rsidP="00BD67A0">
      <w:r>
        <w:t>In conclusion</w:t>
      </w:r>
      <w:r w:rsidR="000C1519">
        <w:t xml:space="preserve">, </w:t>
      </w:r>
      <w:r>
        <w:t xml:space="preserve">it is becoming increasingly clear that </w:t>
      </w:r>
      <w:r w:rsidR="00674870">
        <w:t xml:space="preserve">whilst </w:t>
      </w:r>
      <w:r w:rsidR="000C1519">
        <w:t>d</w:t>
      </w:r>
      <w:r w:rsidR="00BD67A0">
        <w:t>omestic violence is a crime that is deeply coloured</w:t>
      </w:r>
      <w:r w:rsidR="000C1519">
        <w:t xml:space="preserve"> and influenced</w:t>
      </w:r>
      <w:r w:rsidR="00BD67A0">
        <w:t xml:space="preserve"> by gender, </w:t>
      </w:r>
      <w:r w:rsidR="00674870">
        <w:t>it is</w:t>
      </w:r>
      <w:r w:rsidR="00BD67A0">
        <w:t xml:space="preserve"> not a </w:t>
      </w:r>
      <w:r w:rsidR="00A71C8C">
        <w:t>crime that is committed exclusively by one gender towards another</w:t>
      </w:r>
      <w:r w:rsidR="00BD67A0">
        <w:t xml:space="preserve">, and substantive and immediate action </w:t>
      </w:r>
      <w:r w:rsidR="000C1519">
        <w:t xml:space="preserve">must be taken </w:t>
      </w:r>
      <w:r w:rsidR="00BD67A0">
        <w:t xml:space="preserve">to acknowledge the wide </w:t>
      </w:r>
      <w:r w:rsidR="002E154F">
        <w:t xml:space="preserve">range of perpetrators and victims, as well as behaviours and circumstances involved </w:t>
      </w:r>
      <w:r w:rsidR="00A71C8C">
        <w:t>when domestic abuse occurs</w:t>
      </w:r>
      <w:r w:rsidR="000C1519">
        <w:t>, particularly in legislative documentation and policy.</w:t>
      </w:r>
      <w:r w:rsidR="00BC30CA">
        <w:t xml:space="preserve"> It is action that we owe </w:t>
      </w:r>
      <w:r w:rsidR="00BC30CA" w:rsidRPr="00CC2449">
        <w:rPr>
          <w:i/>
        </w:rPr>
        <w:t>every</w:t>
      </w:r>
      <w:r w:rsidR="00BC30CA">
        <w:t xml:space="preserve"> victim of domestic violence</w:t>
      </w:r>
      <w:r w:rsidR="00CC2449">
        <w:t>.</w:t>
      </w:r>
    </w:p>
    <w:p w14:paraId="2FE96C0B" w14:textId="77777777" w:rsidR="003F1694" w:rsidRDefault="003F1694" w:rsidP="00215DB3"/>
    <w:p w14:paraId="5B6821E8" w14:textId="77777777" w:rsidR="00767083" w:rsidRDefault="00767083">
      <w:pPr>
        <w:rPr>
          <w:b/>
        </w:rPr>
      </w:pPr>
      <w:r>
        <w:rPr>
          <w:b/>
        </w:rPr>
        <w:br w:type="page"/>
      </w:r>
    </w:p>
    <w:p w14:paraId="47FFA373" w14:textId="14354A17" w:rsidR="003F1694" w:rsidRDefault="003F1694" w:rsidP="00215DB3">
      <w:pPr>
        <w:rPr>
          <w:b/>
        </w:rPr>
      </w:pPr>
      <w:r>
        <w:rPr>
          <w:b/>
        </w:rPr>
        <w:t>References</w:t>
      </w:r>
    </w:p>
    <w:p w14:paraId="352E3E88" w14:textId="77777777" w:rsidR="003F1694" w:rsidRPr="003F1694" w:rsidRDefault="003F1694" w:rsidP="00215DB3">
      <w:pPr>
        <w:rPr>
          <w:b/>
        </w:rPr>
      </w:pPr>
    </w:p>
    <w:p w14:paraId="49C0DFEB" w14:textId="77777777" w:rsidR="008E3384" w:rsidRPr="008E3384" w:rsidRDefault="003F1694" w:rsidP="008E3384">
      <w:pPr>
        <w:pStyle w:val="EndNoteBibliography"/>
        <w:ind w:left="720" w:hanging="720"/>
        <w:rPr>
          <w:noProof/>
        </w:rPr>
      </w:pPr>
      <w:r>
        <w:fldChar w:fldCharType="begin"/>
      </w:r>
      <w:r>
        <w:instrText xml:space="preserve"> ADDIN EN.REFLIST </w:instrText>
      </w:r>
      <w:r>
        <w:fldChar w:fldCharType="separate"/>
      </w:r>
      <w:r w:rsidR="008E3384" w:rsidRPr="008E3384">
        <w:rPr>
          <w:noProof/>
        </w:rPr>
        <w:t xml:space="preserve">Bem, S. L. (1981). Gender schema theory: A cognitive account of sex typing. </w:t>
      </w:r>
      <w:r w:rsidR="008E3384" w:rsidRPr="008E3384">
        <w:rPr>
          <w:i/>
          <w:noProof/>
        </w:rPr>
        <w:t>Psychological Review, 88</w:t>
      </w:r>
      <w:r w:rsidR="008E3384" w:rsidRPr="008E3384">
        <w:rPr>
          <w:noProof/>
        </w:rPr>
        <w:t xml:space="preserve">, 354-364. </w:t>
      </w:r>
    </w:p>
    <w:p w14:paraId="613221BC" w14:textId="2A5B8EB0" w:rsidR="008E3384" w:rsidRPr="008E3384" w:rsidRDefault="008E3384" w:rsidP="008E3384">
      <w:pPr>
        <w:pStyle w:val="EndNoteBibliography"/>
        <w:ind w:left="720" w:hanging="720"/>
        <w:rPr>
          <w:noProof/>
        </w:rPr>
      </w:pPr>
      <w:r w:rsidRPr="008E3384">
        <w:rPr>
          <w:noProof/>
        </w:rPr>
        <w:t xml:space="preserve">Council of Europe. (2017). Istanbul Convention: Action against violence against women and domestic violence.   Retrieved from </w:t>
      </w:r>
      <w:hyperlink r:id="rId8" w:history="1">
        <w:r w:rsidRPr="008E3384">
          <w:rPr>
            <w:rStyle w:val="Hyperlink"/>
            <w:rFonts w:asciiTheme="minorHAnsi" w:hAnsiTheme="minorHAnsi"/>
            <w:noProof/>
            <w:lang w:val="en-GB"/>
          </w:rPr>
          <w:t>http://www.coe.int/en/web/istanbul-convention/home</w:t>
        </w:r>
      </w:hyperlink>
    </w:p>
    <w:p w14:paraId="04F1A0B9" w14:textId="77777777" w:rsidR="008E3384" w:rsidRPr="008E3384" w:rsidRDefault="008E3384" w:rsidP="008E3384">
      <w:pPr>
        <w:pStyle w:val="EndNoteBibliography"/>
        <w:ind w:left="720" w:hanging="720"/>
        <w:rPr>
          <w:noProof/>
        </w:rPr>
      </w:pPr>
      <w:r w:rsidRPr="008E3384">
        <w:rPr>
          <w:noProof/>
        </w:rPr>
        <w:t xml:space="preserve">Drijber, B. C., Reijnders, U. J. L., &amp; Ceelen, M. (2013). Male victims of domestic violence. </w:t>
      </w:r>
      <w:r w:rsidRPr="008E3384">
        <w:rPr>
          <w:i/>
          <w:noProof/>
        </w:rPr>
        <w:t>Journal of Family Violence, 28</w:t>
      </w:r>
      <w:r w:rsidRPr="008E3384">
        <w:rPr>
          <w:noProof/>
        </w:rPr>
        <w:t>, 173-178. doi:10.1007/s10896-012-9482-9</w:t>
      </w:r>
    </w:p>
    <w:p w14:paraId="63AA7E9A" w14:textId="77777777" w:rsidR="008E3384" w:rsidRPr="008E3384" w:rsidRDefault="008E3384" w:rsidP="008E3384">
      <w:pPr>
        <w:pStyle w:val="EndNoteBibliography"/>
        <w:ind w:left="720" w:hanging="720"/>
        <w:rPr>
          <w:noProof/>
        </w:rPr>
      </w:pPr>
      <w:r w:rsidRPr="008E3384">
        <w:rPr>
          <w:noProof/>
        </w:rPr>
        <w:t xml:space="preserve">Dutton, D. G., &amp; White, K. R. (2013). Male victims of domestic violence. </w:t>
      </w:r>
      <w:r w:rsidRPr="008E3384">
        <w:rPr>
          <w:i/>
          <w:noProof/>
        </w:rPr>
        <w:t>New Male Studies: An International Journal, 2</w:t>
      </w:r>
      <w:r w:rsidRPr="008E3384">
        <w:rPr>
          <w:noProof/>
        </w:rPr>
        <w:t xml:space="preserve">, 5-17. </w:t>
      </w:r>
    </w:p>
    <w:p w14:paraId="6E8834D8" w14:textId="77777777" w:rsidR="008E3384" w:rsidRPr="008E3384" w:rsidRDefault="008E3384" w:rsidP="008E3384">
      <w:pPr>
        <w:pStyle w:val="EndNoteBibliography"/>
        <w:ind w:left="720" w:hanging="720"/>
        <w:rPr>
          <w:noProof/>
        </w:rPr>
      </w:pPr>
      <w:r w:rsidRPr="008E3384">
        <w:rPr>
          <w:noProof/>
        </w:rPr>
        <w:t xml:space="preserve">Hines, D. A., Brown, J., &amp; Dunning, E. (2007). Characteristics of callers to the domestic abuse helpline for men. </w:t>
      </w:r>
      <w:r w:rsidRPr="008E3384">
        <w:rPr>
          <w:i/>
          <w:noProof/>
        </w:rPr>
        <w:t>Journal of Family Violence, 22</w:t>
      </w:r>
      <w:r w:rsidRPr="008E3384">
        <w:rPr>
          <w:noProof/>
        </w:rPr>
        <w:t>, 63-72. doi:10.1007/s10896-006-9052-0</w:t>
      </w:r>
    </w:p>
    <w:p w14:paraId="622956DB" w14:textId="77777777" w:rsidR="008E3384" w:rsidRPr="008E3384" w:rsidRDefault="008E3384" w:rsidP="008E3384">
      <w:pPr>
        <w:pStyle w:val="EndNoteBibliography"/>
        <w:ind w:left="720" w:hanging="720"/>
        <w:rPr>
          <w:noProof/>
        </w:rPr>
      </w:pPr>
      <w:r w:rsidRPr="008E3384">
        <w:rPr>
          <w:noProof/>
        </w:rPr>
        <w:t xml:space="preserve">Hogan, K. F., Hegarty, J. R., Ward, T., &amp; Dodd, L. J. (2012). Counsellors' experiences of working with male victims of female-perpetrated domestic abuse. </w:t>
      </w:r>
      <w:r w:rsidRPr="008E3384">
        <w:rPr>
          <w:i/>
          <w:noProof/>
        </w:rPr>
        <w:t>Counselling and Psychotherapy Research, 12</w:t>
      </w:r>
      <w:r w:rsidRPr="008E3384">
        <w:rPr>
          <w:noProof/>
        </w:rPr>
        <w:t>, 44-52. doi:10.1080/14733145.2011.630479</w:t>
      </w:r>
    </w:p>
    <w:p w14:paraId="1392F7C7" w14:textId="348C0049" w:rsidR="008E3384" w:rsidRPr="008E3384" w:rsidRDefault="008E3384" w:rsidP="008E3384">
      <w:pPr>
        <w:pStyle w:val="EndNoteBibliography"/>
        <w:ind w:left="720" w:hanging="720"/>
        <w:rPr>
          <w:noProof/>
        </w:rPr>
      </w:pPr>
      <w:r w:rsidRPr="008E3384">
        <w:rPr>
          <w:noProof/>
        </w:rPr>
        <w:t xml:space="preserve">Hunte, B. (2017, February). London safe house call for male domestic abuse victims.   Retrieved from </w:t>
      </w:r>
      <w:hyperlink r:id="rId9" w:history="1">
        <w:r w:rsidRPr="008E3384">
          <w:rPr>
            <w:rStyle w:val="Hyperlink"/>
            <w:rFonts w:asciiTheme="minorHAnsi" w:hAnsiTheme="minorHAnsi"/>
            <w:noProof/>
            <w:lang w:val="en-GB"/>
          </w:rPr>
          <w:t>http://www.bbc.co.uk/news/uk-england-london-38986336</w:t>
        </w:r>
      </w:hyperlink>
    </w:p>
    <w:p w14:paraId="1F19E67E" w14:textId="77777777" w:rsidR="008E3384" w:rsidRPr="008E3384" w:rsidRDefault="008E3384" w:rsidP="008E3384">
      <w:pPr>
        <w:pStyle w:val="EndNoteBibliography"/>
        <w:ind w:left="720" w:hanging="720"/>
        <w:rPr>
          <w:noProof/>
        </w:rPr>
      </w:pPr>
      <w:r w:rsidRPr="008E3384">
        <w:rPr>
          <w:noProof/>
        </w:rPr>
        <w:t xml:space="preserve">McCarrick, J., Davis-McCabe, C., &amp; Hirst-Winthrop, S. (2016). Men's experiences of the criminal justice system following female perpetrated intimate partner violence. </w:t>
      </w:r>
      <w:r w:rsidRPr="008E3384">
        <w:rPr>
          <w:i/>
          <w:noProof/>
        </w:rPr>
        <w:t>Journal of Family Violence, 31</w:t>
      </w:r>
      <w:r w:rsidRPr="008E3384">
        <w:rPr>
          <w:noProof/>
        </w:rPr>
        <w:t>, 203-213. doi:10.1007/s10896-015-9749-z</w:t>
      </w:r>
    </w:p>
    <w:p w14:paraId="4D40B859" w14:textId="77777777" w:rsidR="008E3384" w:rsidRPr="008E3384" w:rsidRDefault="008E3384" w:rsidP="008E3384">
      <w:pPr>
        <w:pStyle w:val="EndNoteBibliography"/>
        <w:ind w:left="720" w:hanging="720"/>
        <w:rPr>
          <w:noProof/>
        </w:rPr>
      </w:pPr>
      <w:r w:rsidRPr="008E3384">
        <w:rPr>
          <w:noProof/>
        </w:rPr>
        <w:t xml:space="preserve">ONS. (2016). </w:t>
      </w:r>
      <w:r w:rsidRPr="008E3384">
        <w:rPr>
          <w:i/>
          <w:noProof/>
        </w:rPr>
        <w:t xml:space="preserve">Focus on violet crime and sexual offences: Year ending March 2015 </w:t>
      </w:r>
      <w:r w:rsidRPr="008E3384">
        <w:rPr>
          <w:noProof/>
        </w:rPr>
        <w:t>London: Office for National Statistics.</w:t>
      </w:r>
    </w:p>
    <w:p w14:paraId="524D44DC" w14:textId="77777777" w:rsidR="008E3384" w:rsidRPr="008E3384" w:rsidRDefault="008E3384" w:rsidP="008E3384">
      <w:pPr>
        <w:pStyle w:val="EndNoteBibliography"/>
        <w:ind w:left="720" w:hanging="720"/>
        <w:rPr>
          <w:noProof/>
        </w:rPr>
      </w:pPr>
      <w:r w:rsidRPr="008E3384">
        <w:rPr>
          <w:noProof/>
        </w:rPr>
        <w:t xml:space="preserve">Poorman, P. B., Seelau, E. P., &amp; Seelau, S. M. (2003). Perceptions of domestic abuse in same-sex reltionships and implications for crimincal justice and mental health responses. </w:t>
      </w:r>
      <w:r w:rsidRPr="008E3384">
        <w:rPr>
          <w:i/>
          <w:noProof/>
        </w:rPr>
        <w:t>Violence and Victims, 18</w:t>
      </w:r>
      <w:r w:rsidRPr="008E3384">
        <w:rPr>
          <w:noProof/>
        </w:rPr>
        <w:t>, 659-670. doi:10.1891/vivi.2003.18.6.659</w:t>
      </w:r>
    </w:p>
    <w:p w14:paraId="4AAC8433" w14:textId="77777777" w:rsidR="008E3384" w:rsidRPr="008E3384" w:rsidRDefault="008E3384" w:rsidP="008E3384">
      <w:pPr>
        <w:pStyle w:val="EndNoteBibliography"/>
        <w:ind w:left="720" w:hanging="720"/>
        <w:rPr>
          <w:noProof/>
        </w:rPr>
      </w:pPr>
      <w:r w:rsidRPr="008E3384">
        <w:rPr>
          <w:noProof/>
        </w:rPr>
        <w:t xml:space="preserve">Seelau, E. P., Seelau, S. M., &amp; Poorman, P. B. (2003). Gender and role-based perceptions of domestic abuse: Does sexual orientation matter? </w:t>
      </w:r>
      <w:r w:rsidRPr="008E3384">
        <w:rPr>
          <w:i/>
          <w:noProof/>
        </w:rPr>
        <w:t>Behavioral Sciences and the Law, 21</w:t>
      </w:r>
      <w:r w:rsidRPr="008E3384">
        <w:rPr>
          <w:noProof/>
        </w:rPr>
        <w:t>, 199-214. doi:10.1002/bsl.524</w:t>
      </w:r>
    </w:p>
    <w:p w14:paraId="6C60342B" w14:textId="77777777" w:rsidR="008E3384" w:rsidRPr="008E3384" w:rsidRDefault="008E3384" w:rsidP="008E3384">
      <w:pPr>
        <w:pStyle w:val="EndNoteBibliography"/>
        <w:ind w:left="720" w:hanging="720"/>
        <w:rPr>
          <w:noProof/>
        </w:rPr>
      </w:pPr>
      <w:r w:rsidRPr="008E3384">
        <w:rPr>
          <w:noProof/>
        </w:rPr>
        <w:t xml:space="preserve">Seelau, S. M., &amp; Seelau, E. P. (2005). Gender-role stereotypes and perceptions of heterosexual, gay and lesbian domestic violence. </w:t>
      </w:r>
      <w:r w:rsidRPr="008E3384">
        <w:rPr>
          <w:i/>
          <w:noProof/>
        </w:rPr>
        <w:t>Journal of Family Violence, 20</w:t>
      </w:r>
      <w:r w:rsidRPr="008E3384">
        <w:rPr>
          <w:noProof/>
        </w:rPr>
        <w:t>, 363-371. doi:10.1007/s10896-005-7798-4</w:t>
      </w:r>
    </w:p>
    <w:p w14:paraId="7C7334C5" w14:textId="77777777" w:rsidR="008E3384" w:rsidRPr="008E3384" w:rsidRDefault="008E3384" w:rsidP="008E3384">
      <w:pPr>
        <w:pStyle w:val="EndNoteBibliography"/>
        <w:ind w:left="720" w:hanging="720"/>
        <w:rPr>
          <w:noProof/>
        </w:rPr>
      </w:pPr>
      <w:r w:rsidRPr="008E3384">
        <w:rPr>
          <w:noProof/>
        </w:rPr>
        <w:t xml:space="preserve">Stewart, A., &amp; Maddren, K. (1997). Police officers' judgements of blame in family violence: The impact of gender and alcohol. </w:t>
      </w:r>
      <w:r w:rsidRPr="008E3384">
        <w:rPr>
          <w:i/>
          <w:noProof/>
        </w:rPr>
        <w:t>Sex Roles, 37</w:t>
      </w:r>
      <w:r w:rsidRPr="008E3384">
        <w:rPr>
          <w:noProof/>
        </w:rPr>
        <w:t>(921-933). doi:10.1007/BF02936347</w:t>
      </w:r>
    </w:p>
    <w:p w14:paraId="5607E0C8" w14:textId="77777777" w:rsidR="008E3384" w:rsidRPr="008E3384" w:rsidRDefault="008E3384" w:rsidP="008E3384">
      <w:pPr>
        <w:pStyle w:val="EndNoteBibliography"/>
        <w:ind w:left="720" w:hanging="720"/>
        <w:rPr>
          <w:noProof/>
        </w:rPr>
      </w:pPr>
      <w:r w:rsidRPr="008E3384">
        <w:rPr>
          <w:noProof/>
        </w:rPr>
        <w:t xml:space="preserve">Tsui, V. (2014). Male victims of intimate partner abuse: Use and helpfulness of services. </w:t>
      </w:r>
      <w:r w:rsidRPr="008E3384">
        <w:rPr>
          <w:i/>
          <w:noProof/>
        </w:rPr>
        <w:t>Social Work, 59</w:t>
      </w:r>
      <w:r w:rsidRPr="008E3384">
        <w:rPr>
          <w:noProof/>
        </w:rPr>
        <w:t>, 121-130. doi:10.1093/sw/swu007</w:t>
      </w:r>
    </w:p>
    <w:p w14:paraId="5BF3FDAD" w14:textId="77777777" w:rsidR="008E3384" w:rsidRPr="008E3384" w:rsidRDefault="008E3384" w:rsidP="008E3384">
      <w:pPr>
        <w:pStyle w:val="EndNoteBibliography"/>
        <w:ind w:left="720" w:hanging="720"/>
        <w:rPr>
          <w:noProof/>
        </w:rPr>
      </w:pPr>
      <w:r w:rsidRPr="008E3384">
        <w:rPr>
          <w:noProof/>
        </w:rPr>
        <w:t xml:space="preserve">Tsui, V., Cheung, M., &amp; Leung, P. (2010). Help-seeking among male victims of partner abuse: Men's hard times. </w:t>
      </w:r>
      <w:r w:rsidRPr="008E3384">
        <w:rPr>
          <w:i/>
          <w:noProof/>
        </w:rPr>
        <w:t>Journal of Community Psychology, 38</w:t>
      </w:r>
      <w:r w:rsidRPr="008E3384">
        <w:rPr>
          <w:noProof/>
        </w:rPr>
        <w:t>, 769-780. doi:10.1002/jcop.20394</w:t>
      </w:r>
    </w:p>
    <w:p w14:paraId="2CC23801" w14:textId="54124528" w:rsidR="002E154F" w:rsidRPr="00A56E38" w:rsidRDefault="003F1694" w:rsidP="00215DB3">
      <w:r>
        <w:fldChar w:fldCharType="end"/>
      </w:r>
    </w:p>
    <w:sectPr w:rsidR="002E154F" w:rsidRPr="00A56E38" w:rsidSect="00CB72F9">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1803C" w14:textId="77777777" w:rsidR="008927BC" w:rsidRDefault="008927BC" w:rsidP="0011467A">
      <w:r>
        <w:separator/>
      </w:r>
    </w:p>
  </w:endnote>
  <w:endnote w:type="continuationSeparator" w:id="0">
    <w:p w14:paraId="625E0336" w14:textId="77777777" w:rsidR="008927BC" w:rsidRDefault="008927BC" w:rsidP="0011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45D13" w14:textId="77777777" w:rsidR="00767083" w:rsidRDefault="00767083" w:rsidP="00382B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DA3586" w14:textId="77777777" w:rsidR="00767083" w:rsidRDefault="00767083" w:rsidP="0076708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5F660" w14:textId="77777777" w:rsidR="00767083" w:rsidRDefault="00767083" w:rsidP="00382B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27BC">
      <w:rPr>
        <w:rStyle w:val="PageNumber"/>
        <w:noProof/>
      </w:rPr>
      <w:t>1</w:t>
    </w:r>
    <w:r>
      <w:rPr>
        <w:rStyle w:val="PageNumber"/>
      </w:rPr>
      <w:fldChar w:fldCharType="end"/>
    </w:r>
  </w:p>
  <w:p w14:paraId="00EC6AB3" w14:textId="77777777" w:rsidR="00767083" w:rsidRDefault="00767083" w:rsidP="0076708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C5AA6" w14:textId="77777777" w:rsidR="008927BC" w:rsidRDefault="008927BC" w:rsidP="0011467A">
      <w:r>
        <w:separator/>
      </w:r>
    </w:p>
  </w:footnote>
  <w:footnote w:type="continuationSeparator" w:id="0">
    <w:p w14:paraId="49C82C32" w14:textId="77777777" w:rsidR="008927BC" w:rsidRDefault="008927BC" w:rsidP="0011467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F1EC3"/>
    <w:multiLevelType w:val="hybridMultilevel"/>
    <w:tmpl w:val="2730A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F26E97"/>
    <w:multiLevelType w:val="hybridMultilevel"/>
    <w:tmpl w:val="CFB4DEC2"/>
    <w:lvl w:ilvl="0" w:tplc="40D8144C">
      <w:start w:val="1"/>
      <w:numFmt w:val="bullet"/>
      <w:lvlText w:val="–"/>
      <w:lvlJc w:val="left"/>
      <w:pPr>
        <w:tabs>
          <w:tab w:val="num" w:pos="720"/>
        </w:tabs>
        <w:ind w:left="720" w:hanging="360"/>
      </w:pPr>
      <w:rPr>
        <w:rFonts w:ascii="Arial" w:hAnsi="Arial" w:hint="default"/>
      </w:rPr>
    </w:lvl>
    <w:lvl w:ilvl="1" w:tplc="1CE4C64A">
      <w:start w:val="1"/>
      <w:numFmt w:val="bullet"/>
      <w:lvlText w:val="–"/>
      <w:lvlJc w:val="left"/>
      <w:pPr>
        <w:tabs>
          <w:tab w:val="num" w:pos="1440"/>
        </w:tabs>
        <w:ind w:left="1440" w:hanging="360"/>
      </w:pPr>
      <w:rPr>
        <w:rFonts w:ascii="Arial" w:hAnsi="Arial" w:hint="default"/>
      </w:rPr>
    </w:lvl>
    <w:lvl w:ilvl="2" w:tplc="A080E9FA" w:tentative="1">
      <w:start w:val="1"/>
      <w:numFmt w:val="bullet"/>
      <w:lvlText w:val="–"/>
      <w:lvlJc w:val="left"/>
      <w:pPr>
        <w:tabs>
          <w:tab w:val="num" w:pos="2160"/>
        </w:tabs>
        <w:ind w:left="2160" w:hanging="360"/>
      </w:pPr>
      <w:rPr>
        <w:rFonts w:ascii="Arial" w:hAnsi="Arial" w:hint="default"/>
      </w:rPr>
    </w:lvl>
    <w:lvl w:ilvl="3" w:tplc="CE843762" w:tentative="1">
      <w:start w:val="1"/>
      <w:numFmt w:val="bullet"/>
      <w:lvlText w:val="–"/>
      <w:lvlJc w:val="left"/>
      <w:pPr>
        <w:tabs>
          <w:tab w:val="num" w:pos="2880"/>
        </w:tabs>
        <w:ind w:left="2880" w:hanging="360"/>
      </w:pPr>
      <w:rPr>
        <w:rFonts w:ascii="Arial" w:hAnsi="Arial" w:hint="default"/>
      </w:rPr>
    </w:lvl>
    <w:lvl w:ilvl="4" w:tplc="206E6ED0" w:tentative="1">
      <w:start w:val="1"/>
      <w:numFmt w:val="bullet"/>
      <w:lvlText w:val="–"/>
      <w:lvlJc w:val="left"/>
      <w:pPr>
        <w:tabs>
          <w:tab w:val="num" w:pos="3600"/>
        </w:tabs>
        <w:ind w:left="3600" w:hanging="360"/>
      </w:pPr>
      <w:rPr>
        <w:rFonts w:ascii="Arial" w:hAnsi="Arial" w:hint="default"/>
      </w:rPr>
    </w:lvl>
    <w:lvl w:ilvl="5" w:tplc="AFACED32" w:tentative="1">
      <w:start w:val="1"/>
      <w:numFmt w:val="bullet"/>
      <w:lvlText w:val="–"/>
      <w:lvlJc w:val="left"/>
      <w:pPr>
        <w:tabs>
          <w:tab w:val="num" w:pos="4320"/>
        </w:tabs>
        <w:ind w:left="4320" w:hanging="360"/>
      </w:pPr>
      <w:rPr>
        <w:rFonts w:ascii="Arial" w:hAnsi="Arial" w:hint="default"/>
      </w:rPr>
    </w:lvl>
    <w:lvl w:ilvl="6" w:tplc="1D6AE940" w:tentative="1">
      <w:start w:val="1"/>
      <w:numFmt w:val="bullet"/>
      <w:lvlText w:val="–"/>
      <w:lvlJc w:val="left"/>
      <w:pPr>
        <w:tabs>
          <w:tab w:val="num" w:pos="5040"/>
        </w:tabs>
        <w:ind w:left="5040" w:hanging="360"/>
      </w:pPr>
      <w:rPr>
        <w:rFonts w:ascii="Arial" w:hAnsi="Arial" w:hint="default"/>
      </w:rPr>
    </w:lvl>
    <w:lvl w:ilvl="7" w:tplc="F0385C88" w:tentative="1">
      <w:start w:val="1"/>
      <w:numFmt w:val="bullet"/>
      <w:lvlText w:val="–"/>
      <w:lvlJc w:val="left"/>
      <w:pPr>
        <w:tabs>
          <w:tab w:val="num" w:pos="5760"/>
        </w:tabs>
        <w:ind w:left="5760" w:hanging="360"/>
      </w:pPr>
      <w:rPr>
        <w:rFonts w:ascii="Arial" w:hAnsi="Arial" w:hint="default"/>
      </w:rPr>
    </w:lvl>
    <w:lvl w:ilvl="8" w:tplc="4BBE1C4A" w:tentative="1">
      <w:start w:val="1"/>
      <w:numFmt w:val="bullet"/>
      <w:lvlText w:val="–"/>
      <w:lvlJc w:val="left"/>
      <w:pPr>
        <w:tabs>
          <w:tab w:val="num" w:pos="6480"/>
        </w:tabs>
        <w:ind w:left="6480" w:hanging="360"/>
      </w:pPr>
      <w:rPr>
        <w:rFonts w:ascii="Arial" w:hAnsi="Arial" w:hint="default"/>
      </w:rPr>
    </w:lvl>
  </w:abstractNum>
  <w:abstractNum w:abstractNumId="2">
    <w:nsid w:val="4D4477A2"/>
    <w:multiLevelType w:val="hybridMultilevel"/>
    <w:tmpl w:val="8342F3EC"/>
    <w:lvl w:ilvl="0" w:tplc="6EA41996">
      <w:start w:val="1"/>
      <w:numFmt w:val="bullet"/>
      <w:lvlText w:val="•"/>
      <w:lvlJc w:val="left"/>
      <w:pPr>
        <w:tabs>
          <w:tab w:val="num" w:pos="720"/>
        </w:tabs>
        <w:ind w:left="720" w:hanging="360"/>
      </w:pPr>
      <w:rPr>
        <w:rFonts w:ascii="Arial" w:hAnsi="Arial" w:hint="default"/>
      </w:rPr>
    </w:lvl>
    <w:lvl w:ilvl="1" w:tplc="F46C93D2" w:tentative="1">
      <w:start w:val="1"/>
      <w:numFmt w:val="bullet"/>
      <w:lvlText w:val="•"/>
      <w:lvlJc w:val="left"/>
      <w:pPr>
        <w:tabs>
          <w:tab w:val="num" w:pos="1440"/>
        </w:tabs>
        <w:ind w:left="1440" w:hanging="360"/>
      </w:pPr>
      <w:rPr>
        <w:rFonts w:ascii="Arial" w:hAnsi="Arial" w:hint="default"/>
      </w:rPr>
    </w:lvl>
    <w:lvl w:ilvl="2" w:tplc="88F80348" w:tentative="1">
      <w:start w:val="1"/>
      <w:numFmt w:val="bullet"/>
      <w:lvlText w:val="•"/>
      <w:lvlJc w:val="left"/>
      <w:pPr>
        <w:tabs>
          <w:tab w:val="num" w:pos="2160"/>
        </w:tabs>
        <w:ind w:left="2160" w:hanging="360"/>
      </w:pPr>
      <w:rPr>
        <w:rFonts w:ascii="Arial" w:hAnsi="Arial" w:hint="default"/>
      </w:rPr>
    </w:lvl>
    <w:lvl w:ilvl="3" w:tplc="2374766E" w:tentative="1">
      <w:start w:val="1"/>
      <w:numFmt w:val="bullet"/>
      <w:lvlText w:val="•"/>
      <w:lvlJc w:val="left"/>
      <w:pPr>
        <w:tabs>
          <w:tab w:val="num" w:pos="2880"/>
        </w:tabs>
        <w:ind w:left="2880" w:hanging="360"/>
      </w:pPr>
      <w:rPr>
        <w:rFonts w:ascii="Arial" w:hAnsi="Arial" w:hint="default"/>
      </w:rPr>
    </w:lvl>
    <w:lvl w:ilvl="4" w:tplc="FF7E15AC" w:tentative="1">
      <w:start w:val="1"/>
      <w:numFmt w:val="bullet"/>
      <w:lvlText w:val="•"/>
      <w:lvlJc w:val="left"/>
      <w:pPr>
        <w:tabs>
          <w:tab w:val="num" w:pos="3600"/>
        </w:tabs>
        <w:ind w:left="3600" w:hanging="360"/>
      </w:pPr>
      <w:rPr>
        <w:rFonts w:ascii="Arial" w:hAnsi="Arial" w:hint="default"/>
      </w:rPr>
    </w:lvl>
    <w:lvl w:ilvl="5" w:tplc="D804C694" w:tentative="1">
      <w:start w:val="1"/>
      <w:numFmt w:val="bullet"/>
      <w:lvlText w:val="•"/>
      <w:lvlJc w:val="left"/>
      <w:pPr>
        <w:tabs>
          <w:tab w:val="num" w:pos="4320"/>
        </w:tabs>
        <w:ind w:left="4320" w:hanging="360"/>
      </w:pPr>
      <w:rPr>
        <w:rFonts w:ascii="Arial" w:hAnsi="Arial" w:hint="default"/>
      </w:rPr>
    </w:lvl>
    <w:lvl w:ilvl="6" w:tplc="A15E3BB8" w:tentative="1">
      <w:start w:val="1"/>
      <w:numFmt w:val="bullet"/>
      <w:lvlText w:val="•"/>
      <w:lvlJc w:val="left"/>
      <w:pPr>
        <w:tabs>
          <w:tab w:val="num" w:pos="5040"/>
        </w:tabs>
        <w:ind w:left="5040" w:hanging="360"/>
      </w:pPr>
      <w:rPr>
        <w:rFonts w:ascii="Arial" w:hAnsi="Arial" w:hint="default"/>
      </w:rPr>
    </w:lvl>
    <w:lvl w:ilvl="7" w:tplc="760AE4DC" w:tentative="1">
      <w:start w:val="1"/>
      <w:numFmt w:val="bullet"/>
      <w:lvlText w:val="•"/>
      <w:lvlJc w:val="left"/>
      <w:pPr>
        <w:tabs>
          <w:tab w:val="num" w:pos="5760"/>
        </w:tabs>
        <w:ind w:left="5760" w:hanging="360"/>
      </w:pPr>
      <w:rPr>
        <w:rFonts w:ascii="Arial" w:hAnsi="Arial" w:hint="default"/>
      </w:rPr>
    </w:lvl>
    <w:lvl w:ilvl="8" w:tplc="8E302B86" w:tentative="1">
      <w:start w:val="1"/>
      <w:numFmt w:val="bullet"/>
      <w:lvlText w:val="•"/>
      <w:lvlJc w:val="left"/>
      <w:pPr>
        <w:tabs>
          <w:tab w:val="num" w:pos="6480"/>
        </w:tabs>
        <w:ind w:left="6480" w:hanging="360"/>
      </w:pPr>
      <w:rPr>
        <w:rFonts w:ascii="Arial" w:hAnsi="Arial" w:hint="default"/>
      </w:rPr>
    </w:lvl>
  </w:abstractNum>
  <w:abstractNum w:abstractNumId="3">
    <w:nsid w:val="714C30FC"/>
    <w:multiLevelType w:val="hybridMultilevel"/>
    <w:tmpl w:val="E17CED2C"/>
    <w:lvl w:ilvl="0" w:tplc="53A68658">
      <w:start w:val="1"/>
      <w:numFmt w:val="bullet"/>
      <w:lvlText w:val="•"/>
      <w:lvlJc w:val="left"/>
      <w:pPr>
        <w:tabs>
          <w:tab w:val="num" w:pos="720"/>
        </w:tabs>
        <w:ind w:left="720" w:hanging="360"/>
      </w:pPr>
      <w:rPr>
        <w:rFonts w:ascii="Arial" w:hAnsi="Arial" w:hint="default"/>
      </w:rPr>
    </w:lvl>
    <w:lvl w:ilvl="1" w:tplc="63F6514E" w:tentative="1">
      <w:start w:val="1"/>
      <w:numFmt w:val="bullet"/>
      <w:lvlText w:val="•"/>
      <w:lvlJc w:val="left"/>
      <w:pPr>
        <w:tabs>
          <w:tab w:val="num" w:pos="1440"/>
        </w:tabs>
        <w:ind w:left="1440" w:hanging="360"/>
      </w:pPr>
      <w:rPr>
        <w:rFonts w:ascii="Arial" w:hAnsi="Arial" w:hint="default"/>
      </w:rPr>
    </w:lvl>
    <w:lvl w:ilvl="2" w:tplc="82B6EBE6" w:tentative="1">
      <w:start w:val="1"/>
      <w:numFmt w:val="bullet"/>
      <w:lvlText w:val="•"/>
      <w:lvlJc w:val="left"/>
      <w:pPr>
        <w:tabs>
          <w:tab w:val="num" w:pos="2160"/>
        </w:tabs>
        <w:ind w:left="2160" w:hanging="360"/>
      </w:pPr>
      <w:rPr>
        <w:rFonts w:ascii="Arial" w:hAnsi="Arial" w:hint="default"/>
      </w:rPr>
    </w:lvl>
    <w:lvl w:ilvl="3" w:tplc="95682454" w:tentative="1">
      <w:start w:val="1"/>
      <w:numFmt w:val="bullet"/>
      <w:lvlText w:val="•"/>
      <w:lvlJc w:val="left"/>
      <w:pPr>
        <w:tabs>
          <w:tab w:val="num" w:pos="2880"/>
        </w:tabs>
        <w:ind w:left="2880" w:hanging="360"/>
      </w:pPr>
      <w:rPr>
        <w:rFonts w:ascii="Arial" w:hAnsi="Arial" w:hint="default"/>
      </w:rPr>
    </w:lvl>
    <w:lvl w:ilvl="4" w:tplc="13F2B30C" w:tentative="1">
      <w:start w:val="1"/>
      <w:numFmt w:val="bullet"/>
      <w:lvlText w:val="•"/>
      <w:lvlJc w:val="left"/>
      <w:pPr>
        <w:tabs>
          <w:tab w:val="num" w:pos="3600"/>
        </w:tabs>
        <w:ind w:left="3600" w:hanging="360"/>
      </w:pPr>
      <w:rPr>
        <w:rFonts w:ascii="Arial" w:hAnsi="Arial" w:hint="default"/>
      </w:rPr>
    </w:lvl>
    <w:lvl w:ilvl="5" w:tplc="8474BDBC" w:tentative="1">
      <w:start w:val="1"/>
      <w:numFmt w:val="bullet"/>
      <w:lvlText w:val="•"/>
      <w:lvlJc w:val="left"/>
      <w:pPr>
        <w:tabs>
          <w:tab w:val="num" w:pos="4320"/>
        </w:tabs>
        <w:ind w:left="4320" w:hanging="360"/>
      </w:pPr>
      <w:rPr>
        <w:rFonts w:ascii="Arial" w:hAnsi="Arial" w:hint="default"/>
      </w:rPr>
    </w:lvl>
    <w:lvl w:ilvl="6" w:tplc="80C811DE" w:tentative="1">
      <w:start w:val="1"/>
      <w:numFmt w:val="bullet"/>
      <w:lvlText w:val="•"/>
      <w:lvlJc w:val="left"/>
      <w:pPr>
        <w:tabs>
          <w:tab w:val="num" w:pos="5040"/>
        </w:tabs>
        <w:ind w:left="5040" w:hanging="360"/>
      </w:pPr>
      <w:rPr>
        <w:rFonts w:ascii="Arial" w:hAnsi="Arial" w:hint="default"/>
      </w:rPr>
    </w:lvl>
    <w:lvl w:ilvl="7" w:tplc="C8A27CE8" w:tentative="1">
      <w:start w:val="1"/>
      <w:numFmt w:val="bullet"/>
      <w:lvlText w:val="•"/>
      <w:lvlJc w:val="left"/>
      <w:pPr>
        <w:tabs>
          <w:tab w:val="num" w:pos="5760"/>
        </w:tabs>
        <w:ind w:left="5760" w:hanging="360"/>
      </w:pPr>
      <w:rPr>
        <w:rFonts w:ascii="Arial" w:hAnsi="Arial" w:hint="default"/>
      </w:rPr>
    </w:lvl>
    <w:lvl w:ilvl="8" w:tplc="435EEEDC" w:tentative="1">
      <w:start w:val="1"/>
      <w:numFmt w:val="bullet"/>
      <w:lvlText w:val="•"/>
      <w:lvlJc w:val="left"/>
      <w:pPr>
        <w:tabs>
          <w:tab w:val="num" w:pos="6480"/>
        </w:tabs>
        <w:ind w:left="6480" w:hanging="360"/>
      </w:pPr>
      <w:rPr>
        <w:rFonts w:ascii="Arial" w:hAnsi="Arial" w:hint="default"/>
      </w:rPr>
    </w:lvl>
  </w:abstractNum>
  <w:abstractNum w:abstractNumId="4">
    <w:nsid w:val="7BF8334E"/>
    <w:multiLevelType w:val="hybridMultilevel"/>
    <w:tmpl w:val="C84EF3C2"/>
    <w:lvl w:ilvl="0" w:tplc="032E4178">
      <w:start w:val="1"/>
      <w:numFmt w:val="bullet"/>
      <w:lvlText w:val="•"/>
      <w:lvlJc w:val="left"/>
      <w:pPr>
        <w:tabs>
          <w:tab w:val="num" w:pos="720"/>
        </w:tabs>
        <w:ind w:left="720" w:hanging="360"/>
      </w:pPr>
      <w:rPr>
        <w:rFonts w:ascii="Arial" w:hAnsi="Arial" w:hint="default"/>
      </w:rPr>
    </w:lvl>
    <w:lvl w:ilvl="1" w:tplc="F1D87BE6" w:tentative="1">
      <w:start w:val="1"/>
      <w:numFmt w:val="bullet"/>
      <w:lvlText w:val="•"/>
      <w:lvlJc w:val="left"/>
      <w:pPr>
        <w:tabs>
          <w:tab w:val="num" w:pos="1440"/>
        </w:tabs>
        <w:ind w:left="1440" w:hanging="360"/>
      </w:pPr>
      <w:rPr>
        <w:rFonts w:ascii="Arial" w:hAnsi="Arial" w:hint="default"/>
      </w:rPr>
    </w:lvl>
    <w:lvl w:ilvl="2" w:tplc="BC627030" w:tentative="1">
      <w:start w:val="1"/>
      <w:numFmt w:val="bullet"/>
      <w:lvlText w:val="•"/>
      <w:lvlJc w:val="left"/>
      <w:pPr>
        <w:tabs>
          <w:tab w:val="num" w:pos="2160"/>
        </w:tabs>
        <w:ind w:left="2160" w:hanging="360"/>
      </w:pPr>
      <w:rPr>
        <w:rFonts w:ascii="Arial" w:hAnsi="Arial" w:hint="default"/>
      </w:rPr>
    </w:lvl>
    <w:lvl w:ilvl="3" w:tplc="448ACF14" w:tentative="1">
      <w:start w:val="1"/>
      <w:numFmt w:val="bullet"/>
      <w:lvlText w:val="•"/>
      <w:lvlJc w:val="left"/>
      <w:pPr>
        <w:tabs>
          <w:tab w:val="num" w:pos="2880"/>
        </w:tabs>
        <w:ind w:left="2880" w:hanging="360"/>
      </w:pPr>
      <w:rPr>
        <w:rFonts w:ascii="Arial" w:hAnsi="Arial" w:hint="default"/>
      </w:rPr>
    </w:lvl>
    <w:lvl w:ilvl="4" w:tplc="D376DFB4" w:tentative="1">
      <w:start w:val="1"/>
      <w:numFmt w:val="bullet"/>
      <w:lvlText w:val="•"/>
      <w:lvlJc w:val="left"/>
      <w:pPr>
        <w:tabs>
          <w:tab w:val="num" w:pos="3600"/>
        </w:tabs>
        <w:ind w:left="3600" w:hanging="360"/>
      </w:pPr>
      <w:rPr>
        <w:rFonts w:ascii="Arial" w:hAnsi="Arial" w:hint="default"/>
      </w:rPr>
    </w:lvl>
    <w:lvl w:ilvl="5" w:tplc="951853B2" w:tentative="1">
      <w:start w:val="1"/>
      <w:numFmt w:val="bullet"/>
      <w:lvlText w:val="•"/>
      <w:lvlJc w:val="left"/>
      <w:pPr>
        <w:tabs>
          <w:tab w:val="num" w:pos="4320"/>
        </w:tabs>
        <w:ind w:left="4320" w:hanging="360"/>
      </w:pPr>
      <w:rPr>
        <w:rFonts w:ascii="Arial" w:hAnsi="Arial" w:hint="default"/>
      </w:rPr>
    </w:lvl>
    <w:lvl w:ilvl="6" w:tplc="49664216" w:tentative="1">
      <w:start w:val="1"/>
      <w:numFmt w:val="bullet"/>
      <w:lvlText w:val="•"/>
      <w:lvlJc w:val="left"/>
      <w:pPr>
        <w:tabs>
          <w:tab w:val="num" w:pos="5040"/>
        </w:tabs>
        <w:ind w:left="5040" w:hanging="360"/>
      </w:pPr>
      <w:rPr>
        <w:rFonts w:ascii="Arial" w:hAnsi="Arial" w:hint="default"/>
      </w:rPr>
    </w:lvl>
    <w:lvl w:ilvl="7" w:tplc="97ECE396" w:tentative="1">
      <w:start w:val="1"/>
      <w:numFmt w:val="bullet"/>
      <w:lvlText w:val="•"/>
      <w:lvlJc w:val="left"/>
      <w:pPr>
        <w:tabs>
          <w:tab w:val="num" w:pos="5760"/>
        </w:tabs>
        <w:ind w:left="5760" w:hanging="360"/>
      </w:pPr>
      <w:rPr>
        <w:rFonts w:ascii="Arial" w:hAnsi="Arial" w:hint="default"/>
      </w:rPr>
    </w:lvl>
    <w:lvl w:ilvl="8" w:tplc="7D38364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p9zd5zqsratqef5sv5pz2wpve092vrdw52&quot;&gt;My EndNote Library-Saved&lt;record-ids&gt;&lt;item&gt;176&lt;/item&gt;&lt;item&gt;926&lt;/item&gt;&lt;item&gt;928&lt;/item&gt;&lt;item&gt;929&lt;/item&gt;&lt;item&gt;930&lt;/item&gt;&lt;item&gt;931&lt;/item&gt;&lt;item&gt;932&lt;/item&gt;&lt;item&gt;933&lt;/item&gt;&lt;item&gt;934&lt;/item&gt;&lt;item&gt;935&lt;/item&gt;&lt;item&gt;936&lt;/item&gt;&lt;item&gt;937&lt;/item&gt;&lt;item&gt;938&lt;/item&gt;&lt;item&gt;939&lt;/item&gt;&lt;item&gt;940&lt;/item&gt;&lt;/record-ids&gt;&lt;/item&gt;&lt;/Libraries&gt;"/>
  </w:docVars>
  <w:rsids>
    <w:rsidRoot w:val="004B3C2B"/>
    <w:rsid w:val="0001037B"/>
    <w:rsid w:val="00014086"/>
    <w:rsid w:val="00081D2B"/>
    <w:rsid w:val="000929E2"/>
    <w:rsid w:val="000C1519"/>
    <w:rsid w:val="0011467A"/>
    <w:rsid w:val="00137E63"/>
    <w:rsid w:val="0016062A"/>
    <w:rsid w:val="001B0614"/>
    <w:rsid w:val="001B09EA"/>
    <w:rsid w:val="00215DB3"/>
    <w:rsid w:val="002350DB"/>
    <w:rsid w:val="00250D0E"/>
    <w:rsid w:val="00263E02"/>
    <w:rsid w:val="002C79B4"/>
    <w:rsid w:val="002D0732"/>
    <w:rsid w:val="002E0F47"/>
    <w:rsid w:val="002E154F"/>
    <w:rsid w:val="002E4A2A"/>
    <w:rsid w:val="0032040B"/>
    <w:rsid w:val="00382CE8"/>
    <w:rsid w:val="003A558E"/>
    <w:rsid w:val="003A6CCE"/>
    <w:rsid w:val="003B0A97"/>
    <w:rsid w:val="003F0067"/>
    <w:rsid w:val="003F1694"/>
    <w:rsid w:val="00423615"/>
    <w:rsid w:val="004A3092"/>
    <w:rsid w:val="004B3C2B"/>
    <w:rsid w:val="004E2E00"/>
    <w:rsid w:val="00582DF6"/>
    <w:rsid w:val="005963C5"/>
    <w:rsid w:val="005B5628"/>
    <w:rsid w:val="0061000A"/>
    <w:rsid w:val="00610E8A"/>
    <w:rsid w:val="00674870"/>
    <w:rsid w:val="00686A27"/>
    <w:rsid w:val="006C02CB"/>
    <w:rsid w:val="006C61F7"/>
    <w:rsid w:val="0072020D"/>
    <w:rsid w:val="00767083"/>
    <w:rsid w:val="00783D4F"/>
    <w:rsid w:val="007F4DDF"/>
    <w:rsid w:val="00841DDD"/>
    <w:rsid w:val="00843BC7"/>
    <w:rsid w:val="008560D6"/>
    <w:rsid w:val="00887F08"/>
    <w:rsid w:val="008927BC"/>
    <w:rsid w:val="008A2892"/>
    <w:rsid w:val="008C02B0"/>
    <w:rsid w:val="008E3384"/>
    <w:rsid w:val="009113FD"/>
    <w:rsid w:val="00916CD6"/>
    <w:rsid w:val="00931EA5"/>
    <w:rsid w:val="00981856"/>
    <w:rsid w:val="00981983"/>
    <w:rsid w:val="00A42A9C"/>
    <w:rsid w:val="00A56E38"/>
    <w:rsid w:val="00A71C8C"/>
    <w:rsid w:val="00A75475"/>
    <w:rsid w:val="00A850CF"/>
    <w:rsid w:val="00AD3D93"/>
    <w:rsid w:val="00B31CDD"/>
    <w:rsid w:val="00BA4EB3"/>
    <w:rsid w:val="00BC30CA"/>
    <w:rsid w:val="00BD67A0"/>
    <w:rsid w:val="00C001BA"/>
    <w:rsid w:val="00C623AC"/>
    <w:rsid w:val="00CB72F9"/>
    <w:rsid w:val="00CC2449"/>
    <w:rsid w:val="00CE2B62"/>
    <w:rsid w:val="00D73C2F"/>
    <w:rsid w:val="00DA46E8"/>
    <w:rsid w:val="00DC3544"/>
    <w:rsid w:val="00E1199A"/>
    <w:rsid w:val="00E35F85"/>
    <w:rsid w:val="00E62339"/>
    <w:rsid w:val="00E84097"/>
    <w:rsid w:val="00E8426C"/>
    <w:rsid w:val="00ED428F"/>
    <w:rsid w:val="00F14FDE"/>
    <w:rsid w:val="00F35B62"/>
    <w:rsid w:val="00F50A39"/>
    <w:rsid w:val="00F670E0"/>
    <w:rsid w:val="00FA1593"/>
    <w:rsid w:val="00FB2A8E"/>
    <w:rsid w:val="00FB3419"/>
    <w:rsid w:val="00FF108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530F4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11467A"/>
  </w:style>
  <w:style w:type="character" w:customStyle="1" w:styleId="EndnoteTextChar">
    <w:name w:val="Endnote Text Char"/>
    <w:basedOn w:val="DefaultParagraphFont"/>
    <w:link w:val="EndnoteText"/>
    <w:uiPriority w:val="99"/>
    <w:rsid w:val="0011467A"/>
  </w:style>
  <w:style w:type="character" w:styleId="EndnoteReference">
    <w:name w:val="endnote reference"/>
    <w:basedOn w:val="DefaultParagraphFont"/>
    <w:uiPriority w:val="99"/>
    <w:unhideWhenUsed/>
    <w:rsid w:val="0011467A"/>
    <w:rPr>
      <w:vertAlign w:val="superscript"/>
    </w:rPr>
  </w:style>
  <w:style w:type="character" w:customStyle="1" w:styleId="apple-converted-space">
    <w:name w:val="apple-converted-space"/>
    <w:basedOn w:val="DefaultParagraphFont"/>
    <w:rsid w:val="0011467A"/>
  </w:style>
  <w:style w:type="paragraph" w:styleId="ListParagraph">
    <w:name w:val="List Paragraph"/>
    <w:basedOn w:val="Normal"/>
    <w:uiPriority w:val="34"/>
    <w:qFormat/>
    <w:rsid w:val="00014086"/>
    <w:pPr>
      <w:ind w:left="720"/>
      <w:contextualSpacing/>
    </w:pPr>
  </w:style>
  <w:style w:type="character" w:styleId="Hyperlink">
    <w:name w:val="Hyperlink"/>
    <w:basedOn w:val="DefaultParagraphFont"/>
    <w:uiPriority w:val="99"/>
    <w:unhideWhenUsed/>
    <w:rsid w:val="00916CD6"/>
    <w:rPr>
      <w:color w:val="0563C1" w:themeColor="hyperlink"/>
      <w:u w:val="single"/>
    </w:rPr>
  </w:style>
  <w:style w:type="paragraph" w:customStyle="1" w:styleId="EndNoteBibliographyTitle">
    <w:name w:val="EndNote Bibliography Title"/>
    <w:basedOn w:val="Normal"/>
    <w:rsid w:val="003F1694"/>
    <w:pPr>
      <w:jc w:val="center"/>
    </w:pPr>
    <w:rPr>
      <w:rFonts w:ascii="Calibri" w:hAnsi="Calibri"/>
      <w:lang w:val="en-US"/>
    </w:rPr>
  </w:style>
  <w:style w:type="paragraph" w:customStyle="1" w:styleId="EndNoteBibliography">
    <w:name w:val="EndNote Bibliography"/>
    <w:basedOn w:val="Normal"/>
    <w:rsid w:val="003F1694"/>
    <w:rPr>
      <w:rFonts w:ascii="Calibri" w:hAnsi="Calibri"/>
      <w:lang w:val="en-US"/>
    </w:rPr>
  </w:style>
  <w:style w:type="paragraph" w:styleId="NormalWeb">
    <w:name w:val="Normal (Web)"/>
    <w:basedOn w:val="Normal"/>
    <w:uiPriority w:val="99"/>
    <w:unhideWhenUsed/>
    <w:rsid w:val="00263E02"/>
    <w:pPr>
      <w:spacing w:before="100" w:beforeAutospacing="1" w:after="100" w:afterAutospacing="1"/>
    </w:pPr>
    <w:rPr>
      <w:rFonts w:ascii="Times New Roman" w:hAnsi="Times New Roman" w:cs="Times New Roman"/>
      <w:lang w:eastAsia="en-GB"/>
    </w:rPr>
  </w:style>
  <w:style w:type="paragraph" w:styleId="Footer">
    <w:name w:val="footer"/>
    <w:basedOn w:val="Normal"/>
    <w:link w:val="FooterChar"/>
    <w:uiPriority w:val="99"/>
    <w:unhideWhenUsed/>
    <w:rsid w:val="00767083"/>
    <w:pPr>
      <w:tabs>
        <w:tab w:val="center" w:pos="4513"/>
        <w:tab w:val="right" w:pos="9026"/>
      </w:tabs>
    </w:pPr>
  </w:style>
  <w:style w:type="character" w:customStyle="1" w:styleId="FooterChar">
    <w:name w:val="Footer Char"/>
    <w:basedOn w:val="DefaultParagraphFont"/>
    <w:link w:val="Footer"/>
    <w:uiPriority w:val="99"/>
    <w:rsid w:val="00767083"/>
  </w:style>
  <w:style w:type="character" w:styleId="PageNumber">
    <w:name w:val="page number"/>
    <w:basedOn w:val="DefaultParagraphFont"/>
    <w:uiPriority w:val="99"/>
    <w:semiHidden/>
    <w:unhideWhenUsed/>
    <w:rsid w:val="00767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56069">
      <w:bodyDiv w:val="1"/>
      <w:marLeft w:val="0"/>
      <w:marRight w:val="0"/>
      <w:marTop w:val="0"/>
      <w:marBottom w:val="0"/>
      <w:divBdr>
        <w:top w:val="none" w:sz="0" w:space="0" w:color="auto"/>
        <w:left w:val="none" w:sz="0" w:space="0" w:color="auto"/>
        <w:bottom w:val="none" w:sz="0" w:space="0" w:color="auto"/>
        <w:right w:val="none" w:sz="0" w:space="0" w:color="auto"/>
      </w:divBdr>
      <w:divsChild>
        <w:div w:id="512450820">
          <w:marLeft w:val="0"/>
          <w:marRight w:val="0"/>
          <w:marTop w:val="0"/>
          <w:marBottom w:val="0"/>
          <w:divBdr>
            <w:top w:val="none" w:sz="0" w:space="0" w:color="auto"/>
            <w:left w:val="none" w:sz="0" w:space="0" w:color="auto"/>
            <w:bottom w:val="none" w:sz="0" w:space="0" w:color="auto"/>
            <w:right w:val="none" w:sz="0" w:space="0" w:color="auto"/>
          </w:divBdr>
          <w:divsChild>
            <w:div w:id="1655910501">
              <w:marLeft w:val="0"/>
              <w:marRight w:val="0"/>
              <w:marTop w:val="0"/>
              <w:marBottom w:val="0"/>
              <w:divBdr>
                <w:top w:val="none" w:sz="0" w:space="0" w:color="auto"/>
                <w:left w:val="none" w:sz="0" w:space="0" w:color="auto"/>
                <w:bottom w:val="none" w:sz="0" w:space="0" w:color="auto"/>
                <w:right w:val="none" w:sz="0" w:space="0" w:color="auto"/>
              </w:divBdr>
              <w:divsChild>
                <w:div w:id="5389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2190">
      <w:bodyDiv w:val="1"/>
      <w:marLeft w:val="0"/>
      <w:marRight w:val="0"/>
      <w:marTop w:val="0"/>
      <w:marBottom w:val="0"/>
      <w:divBdr>
        <w:top w:val="none" w:sz="0" w:space="0" w:color="auto"/>
        <w:left w:val="none" w:sz="0" w:space="0" w:color="auto"/>
        <w:bottom w:val="none" w:sz="0" w:space="0" w:color="auto"/>
        <w:right w:val="none" w:sz="0" w:space="0" w:color="auto"/>
      </w:divBdr>
    </w:div>
    <w:div w:id="278490645">
      <w:bodyDiv w:val="1"/>
      <w:marLeft w:val="0"/>
      <w:marRight w:val="0"/>
      <w:marTop w:val="0"/>
      <w:marBottom w:val="0"/>
      <w:divBdr>
        <w:top w:val="none" w:sz="0" w:space="0" w:color="auto"/>
        <w:left w:val="none" w:sz="0" w:space="0" w:color="auto"/>
        <w:bottom w:val="none" w:sz="0" w:space="0" w:color="auto"/>
        <w:right w:val="none" w:sz="0" w:space="0" w:color="auto"/>
      </w:divBdr>
      <w:divsChild>
        <w:div w:id="1859079767">
          <w:marLeft w:val="0"/>
          <w:marRight w:val="0"/>
          <w:marTop w:val="0"/>
          <w:marBottom w:val="0"/>
          <w:divBdr>
            <w:top w:val="none" w:sz="0" w:space="0" w:color="auto"/>
            <w:left w:val="none" w:sz="0" w:space="0" w:color="auto"/>
            <w:bottom w:val="none" w:sz="0" w:space="0" w:color="auto"/>
            <w:right w:val="none" w:sz="0" w:space="0" w:color="auto"/>
          </w:divBdr>
          <w:divsChild>
            <w:div w:id="1091048225">
              <w:marLeft w:val="0"/>
              <w:marRight w:val="0"/>
              <w:marTop w:val="0"/>
              <w:marBottom w:val="0"/>
              <w:divBdr>
                <w:top w:val="none" w:sz="0" w:space="0" w:color="auto"/>
                <w:left w:val="none" w:sz="0" w:space="0" w:color="auto"/>
                <w:bottom w:val="none" w:sz="0" w:space="0" w:color="auto"/>
                <w:right w:val="none" w:sz="0" w:space="0" w:color="auto"/>
              </w:divBdr>
              <w:divsChild>
                <w:div w:id="14108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08552">
      <w:bodyDiv w:val="1"/>
      <w:marLeft w:val="0"/>
      <w:marRight w:val="0"/>
      <w:marTop w:val="0"/>
      <w:marBottom w:val="0"/>
      <w:divBdr>
        <w:top w:val="none" w:sz="0" w:space="0" w:color="auto"/>
        <w:left w:val="none" w:sz="0" w:space="0" w:color="auto"/>
        <w:bottom w:val="none" w:sz="0" w:space="0" w:color="auto"/>
        <w:right w:val="none" w:sz="0" w:space="0" w:color="auto"/>
      </w:divBdr>
    </w:div>
    <w:div w:id="642463131">
      <w:bodyDiv w:val="1"/>
      <w:marLeft w:val="0"/>
      <w:marRight w:val="0"/>
      <w:marTop w:val="0"/>
      <w:marBottom w:val="0"/>
      <w:divBdr>
        <w:top w:val="none" w:sz="0" w:space="0" w:color="auto"/>
        <w:left w:val="none" w:sz="0" w:space="0" w:color="auto"/>
        <w:bottom w:val="none" w:sz="0" w:space="0" w:color="auto"/>
        <w:right w:val="none" w:sz="0" w:space="0" w:color="auto"/>
      </w:divBdr>
      <w:divsChild>
        <w:div w:id="1300384624">
          <w:marLeft w:val="0"/>
          <w:marRight w:val="0"/>
          <w:marTop w:val="0"/>
          <w:marBottom w:val="0"/>
          <w:divBdr>
            <w:top w:val="none" w:sz="0" w:space="0" w:color="auto"/>
            <w:left w:val="none" w:sz="0" w:space="0" w:color="auto"/>
            <w:bottom w:val="none" w:sz="0" w:space="0" w:color="auto"/>
            <w:right w:val="none" w:sz="0" w:space="0" w:color="auto"/>
          </w:divBdr>
          <w:divsChild>
            <w:div w:id="1205172448">
              <w:marLeft w:val="0"/>
              <w:marRight w:val="0"/>
              <w:marTop w:val="0"/>
              <w:marBottom w:val="0"/>
              <w:divBdr>
                <w:top w:val="none" w:sz="0" w:space="0" w:color="auto"/>
                <w:left w:val="none" w:sz="0" w:space="0" w:color="auto"/>
                <w:bottom w:val="none" w:sz="0" w:space="0" w:color="auto"/>
                <w:right w:val="none" w:sz="0" w:space="0" w:color="auto"/>
              </w:divBdr>
              <w:divsChild>
                <w:div w:id="6703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28443">
      <w:bodyDiv w:val="1"/>
      <w:marLeft w:val="0"/>
      <w:marRight w:val="0"/>
      <w:marTop w:val="0"/>
      <w:marBottom w:val="0"/>
      <w:divBdr>
        <w:top w:val="none" w:sz="0" w:space="0" w:color="auto"/>
        <w:left w:val="none" w:sz="0" w:space="0" w:color="auto"/>
        <w:bottom w:val="none" w:sz="0" w:space="0" w:color="auto"/>
        <w:right w:val="none" w:sz="0" w:space="0" w:color="auto"/>
      </w:divBdr>
    </w:div>
    <w:div w:id="726873975">
      <w:bodyDiv w:val="1"/>
      <w:marLeft w:val="0"/>
      <w:marRight w:val="0"/>
      <w:marTop w:val="0"/>
      <w:marBottom w:val="0"/>
      <w:divBdr>
        <w:top w:val="none" w:sz="0" w:space="0" w:color="auto"/>
        <w:left w:val="none" w:sz="0" w:space="0" w:color="auto"/>
        <w:bottom w:val="none" w:sz="0" w:space="0" w:color="auto"/>
        <w:right w:val="none" w:sz="0" w:space="0" w:color="auto"/>
      </w:divBdr>
    </w:div>
    <w:div w:id="804929687">
      <w:bodyDiv w:val="1"/>
      <w:marLeft w:val="0"/>
      <w:marRight w:val="0"/>
      <w:marTop w:val="0"/>
      <w:marBottom w:val="0"/>
      <w:divBdr>
        <w:top w:val="none" w:sz="0" w:space="0" w:color="auto"/>
        <w:left w:val="none" w:sz="0" w:space="0" w:color="auto"/>
        <w:bottom w:val="none" w:sz="0" w:space="0" w:color="auto"/>
        <w:right w:val="none" w:sz="0" w:space="0" w:color="auto"/>
      </w:divBdr>
      <w:divsChild>
        <w:div w:id="2006280554">
          <w:marLeft w:val="547"/>
          <w:marRight w:val="0"/>
          <w:marTop w:val="67"/>
          <w:marBottom w:val="0"/>
          <w:divBdr>
            <w:top w:val="none" w:sz="0" w:space="0" w:color="auto"/>
            <w:left w:val="none" w:sz="0" w:space="0" w:color="auto"/>
            <w:bottom w:val="none" w:sz="0" w:space="0" w:color="auto"/>
            <w:right w:val="none" w:sz="0" w:space="0" w:color="auto"/>
          </w:divBdr>
        </w:div>
      </w:divsChild>
    </w:div>
    <w:div w:id="1042096401">
      <w:bodyDiv w:val="1"/>
      <w:marLeft w:val="0"/>
      <w:marRight w:val="0"/>
      <w:marTop w:val="0"/>
      <w:marBottom w:val="0"/>
      <w:divBdr>
        <w:top w:val="none" w:sz="0" w:space="0" w:color="auto"/>
        <w:left w:val="none" w:sz="0" w:space="0" w:color="auto"/>
        <w:bottom w:val="none" w:sz="0" w:space="0" w:color="auto"/>
        <w:right w:val="none" w:sz="0" w:space="0" w:color="auto"/>
      </w:divBdr>
      <w:divsChild>
        <w:div w:id="560016252">
          <w:marLeft w:val="0"/>
          <w:marRight w:val="0"/>
          <w:marTop w:val="0"/>
          <w:marBottom w:val="0"/>
          <w:divBdr>
            <w:top w:val="none" w:sz="0" w:space="0" w:color="auto"/>
            <w:left w:val="none" w:sz="0" w:space="0" w:color="auto"/>
            <w:bottom w:val="none" w:sz="0" w:space="0" w:color="auto"/>
            <w:right w:val="none" w:sz="0" w:space="0" w:color="auto"/>
          </w:divBdr>
          <w:divsChild>
            <w:div w:id="1089232370">
              <w:marLeft w:val="0"/>
              <w:marRight w:val="0"/>
              <w:marTop w:val="0"/>
              <w:marBottom w:val="0"/>
              <w:divBdr>
                <w:top w:val="none" w:sz="0" w:space="0" w:color="auto"/>
                <w:left w:val="none" w:sz="0" w:space="0" w:color="auto"/>
                <w:bottom w:val="none" w:sz="0" w:space="0" w:color="auto"/>
                <w:right w:val="none" w:sz="0" w:space="0" w:color="auto"/>
              </w:divBdr>
              <w:divsChild>
                <w:div w:id="126904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75063">
      <w:bodyDiv w:val="1"/>
      <w:marLeft w:val="0"/>
      <w:marRight w:val="0"/>
      <w:marTop w:val="0"/>
      <w:marBottom w:val="0"/>
      <w:divBdr>
        <w:top w:val="none" w:sz="0" w:space="0" w:color="auto"/>
        <w:left w:val="none" w:sz="0" w:space="0" w:color="auto"/>
        <w:bottom w:val="none" w:sz="0" w:space="0" w:color="auto"/>
        <w:right w:val="none" w:sz="0" w:space="0" w:color="auto"/>
      </w:divBdr>
      <w:divsChild>
        <w:div w:id="705107574">
          <w:marLeft w:val="5198"/>
          <w:marRight w:val="0"/>
          <w:marTop w:val="72"/>
          <w:marBottom w:val="0"/>
          <w:divBdr>
            <w:top w:val="none" w:sz="0" w:space="0" w:color="auto"/>
            <w:left w:val="none" w:sz="0" w:space="0" w:color="auto"/>
            <w:bottom w:val="none" w:sz="0" w:space="0" w:color="auto"/>
            <w:right w:val="none" w:sz="0" w:space="0" w:color="auto"/>
          </w:divBdr>
        </w:div>
      </w:divsChild>
    </w:div>
    <w:div w:id="1210069991">
      <w:bodyDiv w:val="1"/>
      <w:marLeft w:val="0"/>
      <w:marRight w:val="0"/>
      <w:marTop w:val="0"/>
      <w:marBottom w:val="0"/>
      <w:divBdr>
        <w:top w:val="none" w:sz="0" w:space="0" w:color="auto"/>
        <w:left w:val="none" w:sz="0" w:space="0" w:color="auto"/>
        <w:bottom w:val="none" w:sz="0" w:space="0" w:color="auto"/>
        <w:right w:val="none" w:sz="0" w:space="0" w:color="auto"/>
      </w:divBdr>
    </w:div>
    <w:div w:id="1291666275">
      <w:bodyDiv w:val="1"/>
      <w:marLeft w:val="0"/>
      <w:marRight w:val="0"/>
      <w:marTop w:val="0"/>
      <w:marBottom w:val="0"/>
      <w:divBdr>
        <w:top w:val="none" w:sz="0" w:space="0" w:color="auto"/>
        <w:left w:val="none" w:sz="0" w:space="0" w:color="auto"/>
        <w:bottom w:val="none" w:sz="0" w:space="0" w:color="auto"/>
        <w:right w:val="none" w:sz="0" w:space="0" w:color="auto"/>
      </w:divBdr>
      <w:divsChild>
        <w:div w:id="539632873">
          <w:marLeft w:val="7978"/>
          <w:marRight w:val="0"/>
          <w:marTop w:val="125"/>
          <w:marBottom w:val="0"/>
          <w:divBdr>
            <w:top w:val="none" w:sz="0" w:space="0" w:color="auto"/>
            <w:left w:val="none" w:sz="0" w:space="0" w:color="auto"/>
            <w:bottom w:val="none" w:sz="0" w:space="0" w:color="auto"/>
            <w:right w:val="none" w:sz="0" w:space="0" w:color="auto"/>
          </w:divBdr>
        </w:div>
        <w:div w:id="1118833702">
          <w:marLeft w:val="7978"/>
          <w:marRight w:val="0"/>
          <w:marTop w:val="125"/>
          <w:marBottom w:val="0"/>
          <w:divBdr>
            <w:top w:val="none" w:sz="0" w:space="0" w:color="auto"/>
            <w:left w:val="none" w:sz="0" w:space="0" w:color="auto"/>
            <w:bottom w:val="none" w:sz="0" w:space="0" w:color="auto"/>
            <w:right w:val="none" w:sz="0" w:space="0" w:color="auto"/>
          </w:divBdr>
        </w:div>
        <w:div w:id="1541670643">
          <w:marLeft w:val="7978"/>
          <w:marRight w:val="0"/>
          <w:marTop w:val="125"/>
          <w:marBottom w:val="0"/>
          <w:divBdr>
            <w:top w:val="none" w:sz="0" w:space="0" w:color="auto"/>
            <w:left w:val="none" w:sz="0" w:space="0" w:color="auto"/>
            <w:bottom w:val="none" w:sz="0" w:space="0" w:color="auto"/>
            <w:right w:val="none" w:sz="0" w:space="0" w:color="auto"/>
          </w:divBdr>
        </w:div>
        <w:div w:id="1959677883">
          <w:marLeft w:val="7978"/>
          <w:marRight w:val="0"/>
          <w:marTop w:val="125"/>
          <w:marBottom w:val="0"/>
          <w:divBdr>
            <w:top w:val="none" w:sz="0" w:space="0" w:color="auto"/>
            <w:left w:val="none" w:sz="0" w:space="0" w:color="auto"/>
            <w:bottom w:val="none" w:sz="0" w:space="0" w:color="auto"/>
            <w:right w:val="none" w:sz="0" w:space="0" w:color="auto"/>
          </w:divBdr>
        </w:div>
      </w:divsChild>
    </w:div>
    <w:div w:id="1352953873">
      <w:bodyDiv w:val="1"/>
      <w:marLeft w:val="0"/>
      <w:marRight w:val="0"/>
      <w:marTop w:val="0"/>
      <w:marBottom w:val="0"/>
      <w:divBdr>
        <w:top w:val="none" w:sz="0" w:space="0" w:color="auto"/>
        <w:left w:val="none" w:sz="0" w:space="0" w:color="auto"/>
        <w:bottom w:val="none" w:sz="0" w:space="0" w:color="auto"/>
        <w:right w:val="none" w:sz="0" w:space="0" w:color="auto"/>
      </w:divBdr>
      <w:divsChild>
        <w:div w:id="865026525">
          <w:marLeft w:val="0"/>
          <w:marRight w:val="0"/>
          <w:marTop w:val="0"/>
          <w:marBottom w:val="0"/>
          <w:divBdr>
            <w:top w:val="none" w:sz="0" w:space="0" w:color="auto"/>
            <w:left w:val="none" w:sz="0" w:space="0" w:color="auto"/>
            <w:bottom w:val="none" w:sz="0" w:space="0" w:color="auto"/>
            <w:right w:val="none" w:sz="0" w:space="0" w:color="auto"/>
          </w:divBdr>
          <w:divsChild>
            <w:div w:id="961813334">
              <w:marLeft w:val="0"/>
              <w:marRight w:val="0"/>
              <w:marTop w:val="0"/>
              <w:marBottom w:val="0"/>
              <w:divBdr>
                <w:top w:val="none" w:sz="0" w:space="0" w:color="auto"/>
                <w:left w:val="none" w:sz="0" w:space="0" w:color="auto"/>
                <w:bottom w:val="none" w:sz="0" w:space="0" w:color="auto"/>
                <w:right w:val="none" w:sz="0" w:space="0" w:color="auto"/>
              </w:divBdr>
              <w:divsChild>
                <w:div w:id="11459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72394">
      <w:bodyDiv w:val="1"/>
      <w:marLeft w:val="0"/>
      <w:marRight w:val="0"/>
      <w:marTop w:val="0"/>
      <w:marBottom w:val="0"/>
      <w:divBdr>
        <w:top w:val="none" w:sz="0" w:space="0" w:color="auto"/>
        <w:left w:val="none" w:sz="0" w:space="0" w:color="auto"/>
        <w:bottom w:val="none" w:sz="0" w:space="0" w:color="auto"/>
        <w:right w:val="none" w:sz="0" w:space="0" w:color="auto"/>
      </w:divBdr>
      <w:divsChild>
        <w:div w:id="1074621389">
          <w:marLeft w:val="0"/>
          <w:marRight w:val="0"/>
          <w:marTop w:val="0"/>
          <w:marBottom w:val="0"/>
          <w:divBdr>
            <w:top w:val="none" w:sz="0" w:space="0" w:color="auto"/>
            <w:left w:val="none" w:sz="0" w:space="0" w:color="auto"/>
            <w:bottom w:val="none" w:sz="0" w:space="0" w:color="auto"/>
            <w:right w:val="none" w:sz="0" w:space="0" w:color="auto"/>
          </w:divBdr>
          <w:divsChild>
            <w:div w:id="904536405">
              <w:marLeft w:val="0"/>
              <w:marRight w:val="0"/>
              <w:marTop w:val="0"/>
              <w:marBottom w:val="0"/>
              <w:divBdr>
                <w:top w:val="none" w:sz="0" w:space="0" w:color="auto"/>
                <w:left w:val="none" w:sz="0" w:space="0" w:color="auto"/>
                <w:bottom w:val="none" w:sz="0" w:space="0" w:color="auto"/>
                <w:right w:val="none" w:sz="0" w:space="0" w:color="auto"/>
              </w:divBdr>
              <w:divsChild>
                <w:div w:id="3730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8436">
      <w:bodyDiv w:val="1"/>
      <w:marLeft w:val="0"/>
      <w:marRight w:val="0"/>
      <w:marTop w:val="0"/>
      <w:marBottom w:val="0"/>
      <w:divBdr>
        <w:top w:val="none" w:sz="0" w:space="0" w:color="auto"/>
        <w:left w:val="none" w:sz="0" w:space="0" w:color="auto"/>
        <w:bottom w:val="none" w:sz="0" w:space="0" w:color="auto"/>
        <w:right w:val="none" w:sz="0" w:space="0" w:color="auto"/>
      </w:divBdr>
      <w:divsChild>
        <w:div w:id="394283102">
          <w:marLeft w:val="0"/>
          <w:marRight w:val="0"/>
          <w:marTop w:val="0"/>
          <w:marBottom w:val="0"/>
          <w:divBdr>
            <w:top w:val="none" w:sz="0" w:space="0" w:color="auto"/>
            <w:left w:val="none" w:sz="0" w:space="0" w:color="auto"/>
            <w:bottom w:val="none" w:sz="0" w:space="0" w:color="auto"/>
            <w:right w:val="none" w:sz="0" w:space="0" w:color="auto"/>
          </w:divBdr>
          <w:divsChild>
            <w:div w:id="1547257464">
              <w:marLeft w:val="0"/>
              <w:marRight w:val="0"/>
              <w:marTop w:val="0"/>
              <w:marBottom w:val="0"/>
              <w:divBdr>
                <w:top w:val="none" w:sz="0" w:space="0" w:color="auto"/>
                <w:left w:val="none" w:sz="0" w:space="0" w:color="auto"/>
                <w:bottom w:val="none" w:sz="0" w:space="0" w:color="auto"/>
                <w:right w:val="none" w:sz="0" w:space="0" w:color="auto"/>
              </w:divBdr>
              <w:divsChild>
                <w:div w:id="10268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92600">
      <w:bodyDiv w:val="1"/>
      <w:marLeft w:val="0"/>
      <w:marRight w:val="0"/>
      <w:marTop w:val="0"/>
      <w:marBottom w:val="0"/>
      <w:divBdr>
        <w:top w:val="none" w:sz="0" w:space="0" w:color="auto"/>
        <w:left w:val="none" w:sz="0" w:space="0" w:color="auto"/>
        <w:bottom w:val="none" w:sz="0" w:space="0" w:color="auto"/>
        <w:right w:val="none" w:sz="0" w:space="0" w:color="auto"/>
      </w:divBdr>
      <w:divsChild>
        <w:div w:id="1907379721">
          <w:marLeft w:val="0"/>
          <w:marRight w:val="0"/>
          <w:marTop w:val="0"/>
          <w:marBottom w:val="0"/>
          <w:divBdr>
            <w:top w:val="none" w:sz="0" w:space="0" w:color="auto"/>
            <w:left w:val="none" w:sz="0" w:space="0" w:color="auto"/>
            <w:bottom w:val="none" w:sz="0" w:space="0" w:color="auto"/>
            <w:right w:val="none" w:sz="0" w:space="0" w:color="auto"/>
          </w:divBdr>
          <w:divsChild>
            <w:div w:id="1183201480">
              <w:marLeft w:val="0"/>
              <w:marRight w:val="0"/>
              <w:marTop w:val="0"/>
              <w:marBottom w:val="0"/>
              <w:divBdr>
                <w:top w:val="none" w:sz="0" w:space="0" w:color="auto"/>
                <w:left w:val="none" w:sz="0" w:space="0" w:color="auto"/>
                <w:bottom w:val="none" w:sz="0" w:space="0" w:color="auto"/>
                <w:right w:val="none" w:sz="0" w:space="0" w:color="auto"/>
              </w:divBdr>
              <w:divsChild>
                <w:div w:id="1381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11152">
      <w:bodyDiv w:val="1"/>
      <w:marLeft w:val="0"/>
      <w:marRight w:val="0"/>
      <w:marTop w:val="0"/>
      <w:marBottom w:val="0"/>
      <w:divBdr>
        <w:top w:val="none" w:sz="0" w:space="0" w:color="auto"/>
        <w:left w:val="none" w:sz="0" w:space="0" w:color="auto"/>
        <w:bottom w:val="none" w:sz="0" w:space="0" w:color="auto"/>
        <w:right w:val="none" w:sz="0" w:space="0" w:color="auto"/>
      </w:divBdr>
    </w:div>
    <w:div w:id="1778984513">
      <w:bodyDiv w:val="1"/>
      <w:marLeft w:val="0"/>
      <w:marRight w:val="0"/>
      <w:marTop w:val="0"/>
      <w:marBottom w:val="0"/>
      <w:divBdr>
        <w:top w:val="none" w:sz="0" w:space="0" w:color="auto"/>
        <w:left w:val="none" w:sz="0" w:space="0" w:color="auto"/>
        <w:bottom w:val="none" w:sz="0" w:space="0" w:color="auto"/>
        <w:right w:val="none" w:sz="0" w:space="0" w:color="auto"/>
      </w:divBdr>
    </w:div>
    <w:div w:id="2006979105">
      <w:bodyDiv w:val="1"/>
      <w:marLeft w:val="0"/>
      <w:marRight w:val="0"/>
      <w:marTop w:val="0"/>
      <w:marBottom w:val="0"/>
      <w:divBdr>
        <w:top w:val="none" w:sz="0" w:space="0" w:color="auto"/>
        <w:left w:val="none" w:sz="0" w:space="0" w:color="auto"/>
        <w:bottom w:val="none" w:sz="0" w:space="0" w:color="auto"/>
        <w:right w:val="none" w:sz="0" w:space="0" w:color="auto"/>
      </w:divBdr>
      <w:divsChild>
        <w:div w:id="219169409">
          <w:marLeft w:val="5198"/>
          <w:marRight w:val="0"/>
          <w:marTop w:val="72"/>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e.int/en/web/istanbul-convention/home" TargetMode="External"/><Relationship Id="rId9" Type="http://schemas.openxmlformats.org/officeDocument/2006/relationships/hyperlink" Target="http://www.bbc.co.uk/news/uk-england-london-38986336"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15A449-6EEB-394D-91C0-F4D82AE5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3834</Words>
  <Characters>21816</Characters>
  <Application>Microsoft Macintosh Word</Application>
  <DocSecurity>0</DocSecurity>
  <Lines>454</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Hine</dc:creator>
  <cp:keywords/>
  <dc:description/>
  <cp:lastModifiedBy>Ben Hine</cp:lastModifiedBy>
  <cp:revision>6</cp:revision>
  <dcterms:created xsi:type="dcterms:W3CDTF">2017-03-15T12:15:00Z</dcterms:created>
  <dcterms:modified xsi:type="dcterms:W3CDTF">2017-03-16T09:53:00Z</dcterms:modified>
</cp:coreProperties>
</file>