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22" w:rsidRPr="00C255E6" w:rsidRDefault="00310522" w:rsidP="00310522">
      <w:pPr>
        <w:pStyle w:val="ListParagraph"/>
        <w:rPr>
          <w:b/>
        </w:rPr>
      </w:pPr>
      <w:r w:rsidRPr="00C255E6">
        <w:rPr>
          <w:b/>
        </w:rPr>
        <w:t xml:space="preserve">- Students Law Review (2014) </w:t>
      </w:r>
      <w:proofErr w:type="spellStart"/>
      <w:r w:rsidRPr="00C255E6">
        <w:rPr>
          <w:b/>
        </w:rPr>
        <w:t>Vol</w:t>
      </w:r>
      <w:proofErr w:type="spellEnd"/>
      <w:r w:rsidRPr="00C255E6">
        <w:rPr>
          <w:b/>
        </w:rPr>
        <w:t xml:space="preserve"> 73, published by </w:t>
      </w:r>
      <w:proofErr w:type="spellStart"/>
      <w:r w:rsidRPr="00C255E6">
        <w:rPr>
          <w:b/>
        </w:rPr>
        <w:t>Routledge</w:t>
      </w:r>
      <w:proofErr w:type="spellEnd"/>
    </w:p>
    <w:p w:rsidR="00310522" w:rsidRDefault="00310522" w:rsidP="00310522">
      <w:pPr>
        <w:pStyle w:val="ListParagraph"/>
      </w:pPr>
    </w:p>
    <w:p w:rsidR="00310522" w:rsidRDefault="00310522" w:rsidP="00310522">
      <w:pPr>
        <w:pStyle w:val="ListParagraph"/>
      </w:pPr>
      <w:r>
        <w:t xml:space="preserve">Whether a dishonest assistant or knowing recipient is a ‘trustee’ for the purposes of s 21(1)(a) of the Limitation Act 1980 – </w:t>
      </w:r>
      <w:r w:rsidRPr="002D697D">
        <w:rPr>
          <w:i/>
        </w:rPr>
        <w:t xml:space="preserve">Williams v Central Bank of Nigeria </w:t>
      </w:r>
      <w:r>
        <w:t>[2014] UKSC 10 (Supreme Court)</w:t>
      </w:r>
    </w:p>
    <w:p w:rsidR="00310522" w:rsidRDefault="00310522" w:rsidP="00310522">
      <w:pPr>
        <w:pStyle w:val="ListParagraph"/>
      </w:pPr>
    </w:p>
    <w:p w:rsidR="00310522" w:rsidRDefault="00310522" w:rsidP="00310522">
      <w:pPr>
        <w:pStyle w:val="ListParagraph"/>
      </w:pPr>
      <w:r>
        <w:t xml:space="preserve">Dissolution of a dormant unincorporated association  - </w:t>
      </w:r>
      <w:r w:rsidRPr="002D697D">
        <w:rPr>
          <w:i/>
        </w:rPr>
        <w:t xml:space="preserve">Keene v </w:t>
      </w:r>
      <w:proofErr w:type="spellStart"/>
      <w:r w:rsidRPr="002D697D">
        <w:rPr>
          <w:i/>
        </w:rPr>
        <w:t>Wellcom</w:t>
      </w:r>
      <w:proofErr w:type="spellEnd"/>
      <w:r w:rsidRPr="002D697D">
        <w:rPr>
          <w:i/>
        </w:rPr>
        <w:t xml:space="preserve"> London Ltd</w:t>
      </w:r>
      <w:r>
        <w:t xml:space="preserve"> [2014] EWHC 134 (High Court)</w:t>
      </w:r>
    </w:p>
    <w:p w:rsidR="006A19C5" w:rsidRDefault="006A19C5">
      <w:bookmarkStart w:id="0" w:name="_GoBack"/>
      <w:bookmarkEnd w:id="0"/>
    </w:p>
    <w:sectPr w:rsidR="006A19C5" w:rsidSect="006E3D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22"/>
    <w:rsid w:val="00310522"/>
    <w:rsid w:val="006A19C5"/>
    <w:rsid w:val="006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72B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Macintosh Word</Application>
  <DocSecurity>0</DocSecurity>
  <Lines>2</Lines>
  <Paragraphs>1</Paragraphs>
  <ScaleCrop>false</ScaleCrop>
  <Company>none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Mramjohn none</dc:creator>
  <cp:keywords/>
  <dc:description/>
  <cp:lastModifiedBy>Mramjohn none</cp:lastModifiedBy>
  <cp:revision>1</cp:revision>
  <dcterms:created xsi:type="dcterms:W3CDTF">2016-06-10T20:42:00Z</dcterms:created>
  <dcterms:modified xsi:type="dcterms:W3CDTF">2016-06-10T20:42:00Z</dcterms:modified>
</cp:coreProperties>
</file>