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542" w:rsidRPr="00A773A7" w:rsidRDefault="006B2EA7" w:rsidP="000E7C0E">
      <w:pPr>
        <w:rPr>
          <w:b/>
        </w:rPr>
      </w:pPr>
      <w:r w:rsidRPr="00A773A7">
        <w:rPr>
          <w:b/>
        </w:rPr>
        <w:t xml:space="preserve">Liberalisation of International Civil Aviation – Charting the Legal </w:t>
      </w:r>
      <w:proofErr w:type="spellStart"/>
      <w:r w:rsidRPr="00A773A7">
        <w:rPr>
          <w:b/>
        </w:rPr>
        <w:t>Flightpath</w:t>
      </w:r>
      <w:proofErr w:type="spellEnd"/>
    </w:p>
    <w:p w:rsidR="001E05E7" w:rsidRDefault="00E40E8C" w:rsidP="001E05E7">
      <w:pPr>
        <w:spacing w:after="0" w:line="240" w:lineRule="auto"/>
        <w:rPr>
          <w:rFonts w:eastAsia="Times New Roman" w:cs="Times New Roman"/>
          <w:vertAlign w:val="superscript"/>
          <w:lang w:val="en-US" w:eastAsia="el-GR"/>
        </w:rPr>
      </w:pPr>
      <w:r w:rsidRPr="00A773A7">
        <w:t xml:space="preserve">Dr </w:t>
      </w:r>
      <w:proofErr w:type="spellStart"/>
      <w:r w:rsidRPr="00A773A7">
        <w:t>Antigoni</w:t>
      </w:r>
      <w:proofErr w:type="spellEnd"/>
      <w:r w:rsidRPr="00A773A7">
        <w:t xml:space="preserve"> </w:t>
      </w:r>
      <w:proofErr w:type="spellStart"/>
      <w:r w:rsidRPr="00A773A7">
        <w:t>Lykotrafiti</w:t>
      </w:r>
      <w:proofErr w:type="spellEnd"/>
      <w:r w:rsidR="001E05E7" w:rsidRPr="00A773A7">
        <w:rPr>
          <w:rFonts w:eastAsia="Times New Roman" w:cs="Times New Roman"/>
          <w:vertAlign w:val="superscript"/>
          <w:lang w:val="en-US" w:eastAsia="el-GR"/>
        </w:rPr>
        <w:footnoteReference w:customMarkFollows="1" w:id="1"/>
        <w:sym w:font="Wingdings" w:char="F051"/>
      </w:r>
    </w:p>
    <w:p w:rsidR="00F40064" w:rsidRDefault="00F40064" w:rsidP="001E05E7">
      <w:pPr>
        <w:spacing w:after="0" w:line="240" w:lineRule="auto"/>
        <w:rPr>
          <w:rFonts w:eastAsia="Times New Roman" w:cs="Times New Roman"/>
          <w:vertAlign w:val="superscript"/>
          <w:lang w:val="en-US" w:eastAsia="el-GR"/>
        </w:rPr>
      </w:pPr>
    </w:p>
    <w:p w:rsidR="00F40064" w:rsidRDefault="00F40064" w:rsidP="00F40064">
      <w:pPr>
        <w:rPr>
          <w:b/>
        </w:rPr>
      </w:pPr>
      <w:r>
        <w:rPr>
          <w:b/>
        </w:rPr>
        <w:t>Abstract</w:t>
      </w:r>
    </w:p>
    <w:p w:rsidR="00E40E8C" w:rsidRPr="0046512C" w:rsidRDefault="00F40064" w:rsidP="000E7C0E">
      <w:pPr>
        <w:rPr>
          <w:i/>
        </w:rPr>
      </w:pPr>
      <w:r w:rsidRPr="0046512C">
        <w:rPr>
          <w:i/>
        </w:rPr>
        <w:t>The paper focuses on the issue of liberalisation of international civil aviation, examining how the law could accommodate a reform of the Chicago regime. It looks into the strengths and weaknesses of the most prominent legal options available to States to implement liberalisation, namely, amending the Chicago Convention, including market access in air transport in the GATS Annex on Air Transport Services, waiving the nationality clauses and concluding inter-regional air transport agreements. Via this process, the paper aspires to identify the optimal legal path to liberalisation. The analysis suggests that there is no single way to achieve liberalisation nor is there a shortcut. Instead, it appears that what catalyses liberalisation is the combined effect of the interplay between the various legal options. The paper concludes that, however accommodating the law might be, liberalisation occurs when economics and politics merge, an outcome which in international civil aviation appears to be a long way down the road, but certainly not out of sight.</w:t>
      </w:r>
    </w:p>
    <w:p w:rsidR="006B2EA7" w:rsidRPr="00A773A7" w:rsidRDefault="005E2776" w:rsidP="000E7C0E">
      <w:pPr>
        <w:rPr>
          <w:b/>
        </w:rPr>
      </w:pPr>
      <w:r w:rsidRPr="00A773A7">
        <w:rPr>
          <w:b/>
        </w:rPr>
        <w:t xml:space="preserve">1. </w:t>
      </w:r>
      <w:r w:rsidR="006B2EA7" w:rsidRPr="00A773A7">
        <w:rPr>
          <w:b/>
        </w:rPr>
        <w:t>Introduction</w:t>
      </w:r>
    </w:p>
    <w:p w:rsidR="00D6312C" w:rsidRPr="00A773A7" w:rsidRDefault="006B2EA7" w:rsidP="000E7C0E">
      <w:r w:rsidRPr="00A773A7">
        <w:t>The debate on the need to liberalise</w:t>
      </w:r>
      <w:r w:rsidR="00230735" w:rsidRPr="00A773A7">
        <w:t xml:space="preserve"> internati</w:t>
      </w:r>
      <w:r w:rsidR="005F61C3" w:rsidRPr="00A773A7">
        <w:t>onal civil aviation is not novel.</w:t>
      </w:r>
      <w:r w:rsidR="00966298" w:rsidRPr="00A773A7">
        <w:t xml:space="preserve"> </w:t>
      </w:r>
      <w:r w:rsidR="00F17DD0" w:rsidRPr="00A773A7">
        <w:t>The regulation of internat</w:t>
      </w:r>
      <w:r w:rsidR="00F94140" w:rsidRPr="00A773A7">
        <w:t>ional civil aviation</w:t>
      </w:r>
      <w:r w:rsidR="008041D4">
        <w:t xml:space="preserve"> has been a contentious issue</w:t>
      </w:r>
      <w:r w:rsidR="00F94140" w:rsidRPr="00A773A7">
        <w:t xml:space="preserve"> </w:t>
      </w:r>
      <w:r w:rsidR="00213F18" w:rsidRPr="00A773A7">
        <w:t>from the outset, when the Chicago Convention was still in the making.</w:t>
      </w:r>
      <w:r w:rsidR="004E0D84" w:rsidRPr="00A773A7">
        <w:rPr>
          <w:rStyle w:val="FootnoteReference"/>
        </w:rPr>
        <w:footnoteReference w:id="2"/>
      </w:r>
      <w:r w:rsidR="004E0D84" w:rsidRPr="00A773A7">
        <w:t xml:space="preserve"> </w:t>
      </w:r>
      <w:r w:rsidR="009F0BC1" w:rsidRPr="00A773A7">
        <w:t>The Chicago Convention is the outcome of a policy disagreement between the powers of the day over how liberal or restrictive the regulation of international civil aviation should be.</w:t>
      </w:r>
      <w:r w:rsidR="00DE2444" w:rsidRPr="00A773A7">
        <w:rPr>
          <w:rStyle w:val="FootnoteReference"/>
        </w:rPr>
        <w:t xml:space="preserve"> </w:t>
      </w:r>
      <w:r w:rsidR="00DE2444" w:rsidRPr="00A773A7">
        <w:rPr>
          <w:rStyle w:val="FootnoteReference"/>
        </w:rPr>
        <w:footnoteReference w:id="3"/>
      </w:r>
      <w:r w:rsidR="009F0BC1" w:rsidRPr="00A773A7">
        <w:t xml:space="preserve"> </w:t>
      </w:r>
      <w:r w:rsidR="00C166B3" w:rsidRPr="00A773A7">
        <w:t>This</w:t>
      </w:r>
      <w:r w:rsidR="004951E7" w:rsidRPr="00A773A7">
        <w:t xml:space="preserve"> dilemma</w:t>
      </w:r>
      <w:r w:rsidR="009F0BC1" w:rsidRPr="00A773A7">
        <w:t xml:space="preserve"> has pe</w:t>
      </w:r>
      <w:r w:rsidR="000A2BD0" w:rsidRPr="00A773A7">
        <w:t>rsisted th</w:t>
      </w:r>
      <w:r w:rsidR="008041D4">
        <w:t>roughout the years, resulting in</w:t>
      </w:r>
      <w:r w:rsidR="000A2BD0" w:rsidRPr="00A773A7">
        <w:t xml:space="preserve"> </w:t>
      </w:r>
      <w:r w:rsidR="004D5EDA" w:rsidRPr="00A773A7">
        <w:t>r</w:t>
      </w:r>
      <w:r w:rsidR="0090031D" w:rsidRPr="00A773A7">
        <w:t>egulatory change</w:t>
      </w:r>
      <w:r w:rsidR="00EF549A" w:rsidRPr="00A773A7">
        <w:t xml:space="preserve"> </w:t>
      </w:r>
      <w:r w:rsidR="000A2BD0" w:rsidRPr="00A773A7">
        <w:t>in international civil aviation</w:t>
      </w:r>
      <w:r w:rsidR="00EF549A" w:rsidRPr="00A773A7">
        <w:t xml:space="preserve"> be</w:t>
      </w:r>
      <w:r w:rsidR="000A2BD0" w:rsidRPr="00A773A7">
        <w:t>ing</w:t>
      </w:r>
      <w:r w:rsidR="00B06E5C" w:rsidRPr="00A773A7">
        <w:t xml:space="preserve"> modest</w:t>
      </w:r>
      <w:r w:rsidR="00F24F75">
        <w:t xml:space="preserve"> and</w:t>
      </w:r>
      <w:r w:rsidR="008B7C40" w:rsidRPr="00A773A7">
        <w:t xml:space="preserve"> </w:t>
      </w:r>
      <w:r w:rsidR="00F17597" w:rsidRPr="00A773A7">
        <w:t>driven</w:t>
      </w:r>
      <w:r w:rsidR="008B7C40" w:rsidRPr="00A773A7">
        <w:t>, mainly,</w:t>
      </w:r>
      <w:r w:rsidR="00F17597" w:rsidRPr="00A773A7">
        <w:t xml:space="preserve"> by</w:t>
      </w:r>
      <w:r w:rsidR="00700ECD" w:rsidRPr="00A773A7">
        <w:t xml:space="preserve"> liberalisation</w:t>
      </w:r>
      <w:r w:rsidR="00F17597" w:rsidRPr="00A773A7">
        <w:t xml:space="preserve"> at national level. </w:t>
      </w:r>
    </w:p>
    <w:p w:rsidR="00714E6E" w:rsidRPr="00A773A7" w:rsidRDefault="00714E6E" w:rsidP="000E7C0E">
      <w:r w:rsidRPr="00A773A7">
        <w:t>The resilience of the Chicago regime to change</w:t>
      </w:r>
      <w:r w:rsidR="00FF66EF" w:rsidRPr="00A773A7">
        <w:t xml:space="preserve"> might point to the fact</w:t>
      </w:r>
      <w:r w:rsidRPr="00A773A7">
        <w:t xml:space="preserve"> that it has served the aviation community well</w:t>
      </w:r>
      <w:r w:rsidR="009A22CA" w:rsidRPr="00A773A7">
        <w:t xml:space="preserve"> over the years</w:t>
      </w:r>
      <w:r w:rsidR="00FF66EF" w:rsidRPr="00A773A7">
        <w:t xml:space="preserve">. </w:t>
      </w:r>
      <w:r w:rsidR="0093583D" w:rsidRPr="00A773A7">
        <w:t>The bilateral regime has protected the industry from flags of convenience and free riders, whilst achieving an exceptional level of safety and security.</w:t>
      </w:r>
      <w:r w:rsidR="007B3C59" w:rsidRPr="00A773A7">
        <w:t xml:space="preserve"> At the same time, </w:t>
      </w:r>
      <w:r w:rsidR="005736E5" w:rsidRPr="00A773A7">
        <w:t xml:space="preserve">the requirement for “equality of opportunity” in the provision of international air transport services has safeguarded </w:t>
      </w:r>
      <w:r w:rsidR="0084651F" w:rsidRPr="00A773A7">
        <w:t>connectivity</w:t>
      </w:r>
      <w:r w:rsidR="007B3C59" w:rsidRPr="00A773A7">
        <w:t xml:space="preserve"> </w:t>
      </w:r>
      <w:r w:rsidR="0084651F" w:rsidRPr="00A773A7">
        <w:t>-</w:t>
      </w:r>
      <w:r w:rsidR="001560AA" w:rsidRPr="00A773A7">
        <w:t xml:space="preserve"> </w:t>
      </w:r>
      <w:r w:rsidR="00693736" w:rsidRPr="00A773A7">
        <w:t xml:space="preserve">what </w:t>
      </w:r>
      <w:r w:rsidR="0084651F" w:rsidRPr="00A773A7">
        <w:t xml:space="preserve">the Chicago Convention </w:t>
      </w:r>
      <w:r w:rsidR="001560AA" w:rsidRPr="00A773A7">
        <w:t>has described</w:t>
      </w:r>
      <w:r w:rsidR="007B3C59" w:rsidRPr="00A773A7">
        <w:t xml:space="preserve"> </w:t>
      </w:r>
      <w:r w:rsidR="00693736" w:rsidRPr="00A773A7">
        <w:t>as the need to</w:t>
      </w:r>
      <w:r w:rsidR="0093430A" w:rsidRPr="00A773A7">
        <w:t xml:space="preserve"> </w:t>
      </w:r>
      <w:r w:rsidR="007B3C59" w:rsidRPr="00A773A7">
        <w:t>“</w:t>
      </w:r>
      <w:r w:rsidR="00693736" w:rsidRPr="00A773A7">
        <w:t>[m]</w:t>
      </w:r>
      <w:proofErr w:type="spellStart"/>
      <w:r w:rsidR="00693736" w:rsidRPr="00A773A7">
        <w:t>eet</w:t>
      </w:r>
      <w:proofErr w:type="spellEnd"/>
      <w:r w:rsidR="00693736" w:rsidRPr="00A773A7">
        <w:t xml:space="preserve"> the</w:t>
      </w:r>
      <w:r w:rsidR="007B3C59" w:rsidRPr="00A773A7">
        <w:t xml:space="preserve"> needs of</w:t>
      </w:r>
      <w:r w:rsidR="00693736" w:rsidRPr="00A773A7">
        <w:t xml:space="preserve"> the peoples of the world for safe, regular, efficient and economical air transport”</w:t>
      </w:r>
      <w:r w:rsidR="003C6F29" w:rsidRPr="00A773A7">
        <w:t>.</w:t>
      </w:r>
      <w:r w:rsidR="00DE2444" w:rsidRPr="00A773A7">
        <w:rPr>
          <w:rStyle w:val="FootnoteReference"/>
        </w:rPr>
        <w:footnoteReference w:id="4"/>
      </w:r>
      <w:r w:rsidR="001560AA" w:rsidRPr="00A773A7">
        <w:t xml:space="preserve"> </w:t>
      </w:r>
    </w:p>
    <w:p w:rsidR="001560AA" w:rsidRPr="00A773A7" w:rsidRDefault="00F24F75" w:rsidP="000E7C0E">
      <w:r>
        <w:t>Seventy years after</w:t>
      </w:r>
      <w:r w:rsidR="001560AA" w:rsidRPr="00A773A7">
        <w:t xml:space="preserve"> the signing of the Chicago Convention a very different geopolitical, social and economic landscape has emerged. </w:t>
      </w:r>
      <w:r w:rsidR="005F1820" w:rsidRPr="00A773A7">
        <w:t>Technological progress</w:t>
      </w:r>
      <w:r w:rsidR="001560AA" w:rsidRPr="00A773A7">
        <w:t>, marked by the</w:t>
      </w:r>
      <w:r w:rsidR="00D320A9" w:rsidRPr="00A773A7">
        <w:t xml:space="preserve"> advent of the internet, has catalysed change, inaugurating an era of globalisation. </w:t>
      </w:r>
      <w:r w:rsidR="00B22E85" w:rsidRPr="00A773A7">
        <w:t xml:space="preserve">Considering </w:t>
      </w:r>
      <w:r w:rsidR="00202E22" w:rsidRPr="00A773A7">
        <w:t>that aviation</w:t>
      </w:r>
      <w:r w:rsidR="00B22E85" w:rsidRPr="00A773A7">
        <w:t xml:space="preserve"> is cosmopolitan by nature, </w:t>
      </w:r>
      <w:r w:rsidR="00E434E6" w:rsidRPr="00A773A7">
        <w:t>operating</w:t>
      </w:r>
      <w:r w:rsidR="00202E22" w:rsidRPr="00A773A7">
        <w:t xml:space="preserve"> under conditions of globalis</w:t>
      </w:r>
      <w:r w:rsidR="00E434E6" w:rsidRPr="00A773A7">
        <w:t>ation of competition</w:t>
      </w:r>
      <w:r w:rsidR="00202E22" w:rsidRPr="00A773A7">
        <w:t xml:space="preserve"> should not </w:t>
      </w:r>
      <w:r w:rsidR="006801AF" w:rsidRPr="00A773A7">
        <w:t xml:space="preserve">come as a surprise or </w:t>
      </w:r>
      <w:r w:rsidR="00202E22" w:rsidRPr="00A773A7">
        <w:lastRenderedPageBreak/>
        <w:t>entail a radical market and regulatory re</w:t>
      </w:r>
      <w:r w:rsidR="006801AF" w:rsidRPr="00A773A7">
        <w:t>con</w:t>
      </w:r>
      <w:r w:rsidR="00564CF0" w:rsidRPr="00A773A7">
        <w:t xml:space="preserve">figuration. </w:t>
      </w:r>
      <w:r w:rsidR="0001656D" w:rsidRPr="00A773A7">
        <w:t>Y</w:t>
      </w:r>
      <w:r w:rsidR="00747FB0" w:rsidRPr="00A773A7">
        <w:t>et, the industry’s</w:t>
      </w:r>
      <w:r w:rsidR="0001656D" w:rsidRPr="00A773A7">
        <w:t xml:space="preserve"> </w:t>
      </w:r>
      <w:r w:rsidR="0001656D" w:rsidRPr="00A773A7">
        <w:rPr>
          <w:i/>
        </w:rPr>
        <w:t>modus operandi</w:t>
      </w:r>
      <w:r w:rsidR="0001656D" w:rsidRPr="00A773A7">
        <w:t xml:space="preserve"> points to a different reality.</w:t>
      </w:r>
    </w:p>
    <w:p w:rsidR="00A03FBD" w:rsidRPr="00A773A7" w:rsidRDefault="00FF6F94" w:rsidP="000E7C0E">
      <w:r w:rsidRPr="00A773A7">
        <w:t xml:space="preserve">Globalisation of the economy creates the need for access to international capital markets. In aviation, </w:t>
      </w:r>
      <w:r w:rsidR="003806EB" w:rsidRPr="00A773A7">
        <w:t>cross-borde</w:t>
      </w:r>
      <w:r w:rsidR="00D4460A" w:rsidRPr="00A773A7">
        <w:t>r investment has been discouraged</w:t>
      </w:r>
      <w:r w:rsidR="003806EB" w:rsidRPr="00A773A7">
        <w:t xml:space="preserve"> due to the r</w:t>
      </w:r>
      <w:r w:rsidR="00AC60C1" w:rsidRPr="00A773A7">
        <w:t>equirement</w:t>
      </w:r>
      <w:r w:rsidR="003806EB" w:rsidRPr="00A773A7">
        <w:t xml:space="preserve"> </w:t>
      </w:r>
      <w:r w:rsidR="00AC60C1" w:rsidRPr="00A773A7">
        <w:t>(prescribed in the States’</w:t>
      </w:r>
      <w:r w:rsidR="003806EB" w:rsidRPr="00A773A7">
        <w:t xml:space="preserve"> national laws and reiterated in bilateral air services agreements</w:t>
      </w:r>
      <w:r w:rsidR="00AC60C1" w:rsidRPr="00A773A7">
        <w:t>) that airlines be majority owned and effectively controlled</w:t>
      </w:r>
      <w:r w:rsidR="002313EB" w:rsidRPr="00A773A7">
        <w:t xml:space="preserve"> by the country of designation.  Nationality restrictions have prevented the industry from consolidating</w:t>
      </w:r>
      <w:r w:rsidR="00FC3981" w:rsidRPr="00A773A7">
        <w:t xml:space="preserve"> out of fear that</w:t>
      </w:r>
      <w:r w:rsidR="002313EB" w:rsidRPr="00A773A7">
        <w:t xml:space="preserve"> traffic rights, negotiated bilater</w:t>
      </w:r>
      <w:r w:rsidR="00642CFE" w:rsidRPr="00A773A7">
        <w:t>ally between sovereign States</w:t>
      </w:r>
      <w:r w:rsidR="00C06FA5" w:rsidRPr="00A773A7">
        <w:t>,</w:t>
      </w:r>
      <w:r w:rsidR="00FC3981" w:rsidRPr="00A773A7">
        <w:t xml:space="preserve"> might</w:t>
      </w:r>
      <w:r w:rsidR="002313EB" w:rsidRPr="00A773A7">
        <w:t xml:space="preserve"> be jeopardised. </w:t>
      </w:r>
      <w:r w:rsidR="00782CE5" w:rsidRPr="00A773A7">
        <w:t>This fear has led to the creation of i</w:t>
      </w:r>
      <w:r w:rsidR="00E440CF" w:rsidRPr="00A773A7">
        <w:t>nternational airlin</w:t>
      </w:r>
      <w:r w:rsidR="00A03FBD" w:rsidRPr="00A773A7">
        <w:t>e all</w:t>
      </w:r>
      <w:r w:rsidR="00BC78D5" w:rsidRPr="00A773A7">
        <w:t>iance</w:t>
      </w:r>
      <w:r w:rsidR="003A0342" w:rsidRPr="00A773A7">
        <w:t>s, which, depending on</w:t>
      </w:r>
      <w:r w:rsidR="00BC78D5" w:rsidRPr="00A773A7">
        <w:t xml:space="preserve"> the intensity of airline </w:t>
      </w:r>
      <w:r w:rsidR="003A0342" w:rsidRPr="00A773A7">
        <w:t>cooperation, have, on various occasi</w:t>
      </w:r>
      <w:r w:rsidR="00C16A17" w:rsidRPr="00A773A7">
        <w:t>ons</w:t>
      </w:r>
      <w:r w:rsidR="00556FD1" w:rsidRPr="00A773A7">
        <w:t>,</w:t>
      </w:r>
      <w:r w:rsidR="00C16A17" w:rsidRPr="00A773A7">
        <w:t xml:space="preserve"> been granted</w:t>
      </w:r>
      <w:r w:rsidR="003A0342" w:rsidRPr="00A773A7">
        <w:t xml:space="preserve"> antitrust immunity by the </w:t>
      </w:r>
      <w:r w:rsidR="00C16A17" w:rsidRPr="00A773A7">
        <w:t>competition authorities.</w:t>
      </w:r>
      <w:r w:rsidR="00556FD1" w:rsidRPr="00A773A7">
        <w:t xml:space="preserve"> </w:t>
      </w:r>
    </w:p>
    <w:p w:rsidR="00556FD1" w:rsidRPr="00A773A7" w:rsidRDefault="0094722D" w:rsidP="000E7C0E">
      <w:pPr>
        <w:rPr>
          <w:rFonts w:cs="Arial"/>
        </w:rPr>
      </w:pPr>
      <w:r>
        <w:t>Tapping into</w:t>
      </w:r>
      <w:r w:rsidR="0078044E" w:rsidRPr="00A773A7">
        <w:t xml:space="preserve"> international capital markets necessitates a reconsideration of the regulation o</w:t>
      </w:r>
      <w:r w:rsidR="00F20414" w:rsidRPr="00A773A7">
        <w:t>f international civil aviation; so does</w:t>
      </w:r>
      <w:r w:rsidR="002F34D2" w:rsidRPr="00A773A7">
        <w:t xml:space="preserve"> t</w:t>
      </w:r>
      <w:r w:rsidR="0078044E" w:rsidRPr="00A773A7">
        <w:t>he modern world’s increased need</w:t>
      </w:r>
      <w:r w:rsidR="002F34D2" w:rsidRPr="00A773A7">
        <w:t xml:space="preserve"> for conn</w:t>
      </w:r>
      <w:r w:rsidR="00E04480" w:rsidRPr="00A773A7">
        <w:t>ectivity</w:t>
      </w:r>
      <w:r w:rsidR="00D1218E" w:rsidRPr="00A773A7">
        <w:t>. The momentum</w:t>
      </w:r>
      <w:r w:rsidR="002F34D2" w:rsidRPr="00A773A7">
        <w:t xml:space="preserve"> the issue of liberalisation</w:t>
      </w:r>
      <w:r w:rsidR="00D1218E" w:rsidRPr="00A773A7">
        <w:t xml:space="preserve"> has gained is best illustrated wit</w:t>
      </w:r>
      <w:r w:rsidR="00746FDF" w:rsidRPr="00A773A7">
        <w:t>hin ICAO, where the 38</w:t>
      </w:r>
      <w:r w:rsidR="00746FDF" w:rsidRPr="00A773A7">
        <w:rPr>
          <w:vertAlign w:val="superscript"/>
        </w:rPr>
        <w:t>th</w:t>
      </w:r>
      <w:r w:rsidR="00746FDF" w:rsidRPr="00A773A7">
        <w:t xml:space="preserve"> session of the </w:t>
      </w:r>
      <w:r w:rsidR="005E1896">
        <w:t xml:space="preserve">Assembly requested the Council </w:t>
      </w:r>
      <w:r w:rsidR="00746FDF" w:rsidRPr="00A773A7">
        <w:t>to develop and adopt a long-term vision for international air transport liberalisation, including examination of an international agreement by which States</w:t>
      </w:r>
      <w:r w:rsidR="005E1896">
        <w:t xml:space="preserve"> could liberalise market access</w:t>
      </w:r>
      <w:r w:rsidR="00746FDF" w:rsidRPr="00A773A7">
        <w:t>.</w:t>
      </w:r>
      <w:r w:rsidR="00152127" w:rsidRPr="00A773A7">
        <w:rPr>
          <w:rStyle w:val="FootnoteReference"/>
          <w:rFonts w:cs="Arial"/>
        </w:rPr>
        <w:t xml:space="preserve"> </w:t>
      </w:r>
      <w:r w:rsidR="00152127" w:rsidRPr="00A773A7">
        <w:rPr>
          <w:rStyle w:val="FootnoteReference"/>
          <w:rFonts w:cs="Arial"/>
        </w:rPr>
        <w:footnoteReference w:id="5"/>
      </w:r>
      <w:r w:rsidR="00EB12CD" w:rsidRPr="00A773A7">
        <w:rPr>
          <w:rFonts w:cs="Arial"/>
        </w:rPr>
        <w:t xml:space="preserve"> </w:t>
      </w:r>
    </w:p>
    <w:p w:rsidR="005133D8" w:rsidRPr="00A773A7" w:rsidRDefault="005133D8" w:rsidP="000E7C0E">
      <w:pPr>
        <w:rPr>
          <w:rFonts w:cs="Arial"/>
        </w:rPr>
      </w:pPr>
      <w:r w:rsidRPr="00A773A7">
        <w:rPr>
          <w:rFonts w:cs="Arial"/>
        </w:rPr>
        <w:t xml:space="preserve">The question that arises is how </w:t>
      </w:r>
      <w:r w:rsidR="00F67F93" w:rsidRPr="00A773A7">
        <w:rPr>
          <w:rFonts w:cs="Arial"/>
        </w:rPr>
        <w:t xml:space="preserve">best </w:t>
      </w:r>
      <w:r w:rsidRPr="00A773A7">
        <w:rPr>
          <w:rFonts w:cs="Arial"/>
        </w:rPr>
        <w:t>to modernise the regulation of international civil aviation</w:t>
      </w:r>
      <w:r w:rsidR="00981F1A" w:rsidRPr="00A773A7">
        <w:rPr>
          <w:rFonts w:cs="Arial"/>
        </w:rPr>
        <w:t xml:space="preserve"> without jeopardising the merits of the Chicago regim</w:t>
      </w:r>
      <w:r w:rsidR="00F67F93" w:rsidRPr="00A773A7">
        <w:rPr>
          <w:rFonts w:cs="Arial"/>
        </w:rPr>
        <w:t>e, but instead capitalising on</w:t>
      </w:r>
      <w:r w:rsidR="00981F1A" w:rsidRPr="00A773A7">
        <w:rPr>
          <w:rFonts w:cs="Arial"/>
        </w:rPr>
        <w:t xml:space="preserve"> and magnifying them. This paper approaches this question from a legal perspective. Its objective is to lay out the</w:t>
      </w:r>
      <w:r w:rsidR="001D7238" w:rsidRPr="00A773A7">
        <w:rPr>
          <w:rFonts w:cs="Arial"/>
        </w:rPr>
        <w:t xml:space="preserve"> main legal options available to achieve liberalisation, outlining their strengths and weaknesses. </w:t>
      </w:r>
      <w:r w:rsidR="009C2740" w:rsidRPr="00A773A7">
        <w:rPr>
          <w:rFonts w:cs="Arial"/>
        </w:rPr>
        <w:t>Through this process, the paper aspires</w:t>
      </w:r>
      <w:r w:rsidR="0037549A" w:rsidRPr="00A773A7">
        <w:rPr>
          <w:rFonts w:cs="Arial"/>
        </w:rPr>
        <w:t xml:space="preserve"> to </w:t>
      </w:r>
      <w:r w:rsidR="0037549A" w:rsidRPr="00C04570">
        <w:rPr>
          <w:rFonts w:cs="Arial"/>
        </w:rPr>
        <w:t>inform the discussion about</w:t>
      </w:r>
      <w:r w:rsidR="009C2740" w:rsidRPr="00A773A7">
        <w:rPr>
          <w:rFonts w:cs="Arial"/>
        </w:rPr>
        <w:t xml:space="preserve"> the </w:t>
      </w:r>
      <w:r w:rsidR="000F77C0" w:rsidRPr="00A773A7">
        <w:rPr>
          <w:rFonts w:cs="Arial"/>
        </w:rPr>
        <w:t>optimal</w:t>
      </w:r>
      <w:r w:rsidR="00D34989" w:rsidRPr="00A773A7">
        <w:rPr>
          <w:rFonts w:cs="Arial"/>
        </w:rPr>
        <w:t xml:space="preserve"> path to liberalisation.</w:t>
      </w:r>
    </w:p>
    <w:p w:rsidR="00CC3746" w:rsidRPr="00A773A7" w:rsidRDefault="005E2776" w:rsidP="000E7C0E">
      <w:pPr>
        <w:rPr>
          <w:rFonts w:cs="Arial"/>
          <w:b/>
        </w:rPr>
      </w:pPr>
      <w:r w:rsidRPr="00A773A7">
        <w:rPr>
          <w:rFonts w:cs="Arial"/>
          <w:b/>
        </w:rPr>
        <w:t xml:space="preserve">2. </w:t>
      </w:r>
      <w:r w:rsidR="00D744B8" w:rsidRPr="00A773A7">
        <w:rPr>
          <w:rFonts w:cs="Arial"/>
          <w:b/>
        </w:rPr>
        <w:t>In search of air transport</w:t>
      </w:r>
      <w:r w:rsidR="00CC3746" w:rsidRPr="00A773A7">
        <w:rPr>
          <w:rFonts w:cs="Arial"/>
          <w:b/>
        </w:rPr>
        <w:t>’s identity</w:t>
      </w:r>
      <w:r w:rsidR="00605071" w:rsidRPr="00A773A7">
        <w:rPr>
          <w:rFonts w:cs="Arial"/>
          <w:b/>
        </w:rPr>
        <w:t xml:space="preserve"> –</w:t>
      </w:r>
      <w:r w:rsidR="00C232E9" w:rsidRPr="00A773A7">
        <w:rPr>
          <w:rFonts w:cs="Arial"/>
          <w:b/>
        </w:rPr>
        <w:t xml:space="preserve"> Economic activity, public utility and public security</w:t>
      </w:r>
      <w:r w:rsidR="008415F4" w:rsidRPr="00A773A7">
        <w:rPr>
          <w:rFonts w:cs="Arial"/>
          <w:b/>
        </w:rPr>
        <w:t xml:space="preserve"> considerations</w:t>
      </w:r>
    </w:p>
    <w:p w:rsidR="0038072E" w:rsidRPr="00A773A7" w:rsidRDefault="0038072E" w:rsidP="000E7C0E">
      <w:pPr>
        <w:rPr>
          <w:rFonts w:cs="Arial"/>
        </w:rPr>
      </w:pPr>
      <w:r w:rsidRPr="00A773A7">
        <w:rPr>
          <w:rFonts w:cs="Arial"/>
        </w:rPr>
        <w:t>Liberalisation is associated with the opening up of sectors of the economy to</w:t>
      </w:r>
      <w:r w:rsidR="00E52251" w:rsidRPr="00A773A7">
        <w:rPr>
          <w:rFonts w:cs="Arial"/>
        </w:rPr>
        <w:t xml:space="preserve"> market forces</w:t>
      </w:r>
      <w:r w:rsidRPr="00A773A7">
        <w:rPr>
          <w:rFonts w:cs="Arial"/>
        </w:rPr>
        <w:t xml:space="preserve">. </w:t>
      </w:r>
      <w:r w:rsidR="008A2759" w:rsidRPr="00A773A7">
        <w:rPr>
          <w:rFonts w:cs="Arial"/>
        </w:rPr>
        <w:t>Since these sectors are</w:t>
      </w:r>
      <w:r w:rsidR="00D42FF3" w:rsidRPr="00A773A7">
        <w:rPr>
          <w:rFonts w:cs="Arial"/>
        </w:rPr>
        <w:t xml:space="preserve"> traditionally protected from competition by means of regulation, liberalisation is often referred to as deregulation.</w:t>
      </w:r>
      <w:r w:rsidR="008A2759" w:rsidRPr="00A773A7">
        <w:rPr>
          <w:rFonts w:cs="Arial"/>
        </w:rPr>
        <w:t xml:space="preserve"> T</w:t>
      </w:r>
      <w:r w:rsidR="00A94E3E" w:rsidRPr="00A773A7">
        <w:rPr>
          <w:rFonts w:cs="Arial"/>
        </w:rPr>
        <w:t xml:space="preserve">he sectors that are being </w:t>
      </w:r>
      <w:r w:rsidR="00362A5E" w:rsidRPr="00A773A7">
        <w:rPr>
          <w:rFonts w:cs="Arial"/>
        </w:rPr>
        <w:t xml:space="preserve">liberalised are </w:t>
      </w:r>
      <w:r w:rsidR="008A2759" w:rsidRPr="00A773A7">
        <w:rPr>
          <w:rFonts w:cs="Arial"/>
        </w:rPr>
        <w:t xml:space="preserve">normally </w:t>
      </w:r>
      <w:r w:rsidR="00362A5E" w:rsidRPr="00A773A7">
        <w:rPr>
          <w:rFonts w:cs="Arial"/>
        </w:rPr>
        <w:t xml:space="preserve">concerned with economic </w:t>
      </w:r>
      <w:proofErr w:type="gramStart"/>
      <w:r w:rsidR="00362A5E" w:rsidRPr="00A773A7">
        <w:rPr>
          <w:rFonts w:cs="Arial"/>
        </w:rPr>
        <w:t>acti</w:t>
      </w:r>
      <w:r w:rsidR="008A2759" w:rsidRPr="00A773A7">
        <w:rPr>
          <w:rFonts w:cs="Arial"/>
        </w:rPr>
        <w:t>vities, that is</w:t>
      </w:r>
      <w:proofErr w:type="gramEnd"/>
      <w:r w:rsidR="008A2759" w:rsidRPr="00A773A7">
        <w:rPr>
          <w:rFonts w:cs="Arial"/>
        </w:rPr>
        <w:t xml:space="preserve"> to say with the</w:t>
      </w:r>
      <w:r w:rsidR="00A94E3E" w:rsidRPr="00A773A7">
        <w:rPr>
          <w:rFonts w:cs="Arial"/>
        </w:rPr>
        <w:t xml:space="preserve"> provision of goods </w:t>
      </w:r>
      <w:r w:rsidR="000C2097" w:rsidRPr="00A773A7">
        <w:rPr>
          <w:rFonts w:cs="Arial"/>
        </w:rPr>
        <w:t>and/</w:t>
      </w:r>
      <w:r w:rsidR="00A94E3E" w:rsidRPr="00A773A7">
        <w:rPr>
          <w:rFonts w:cs="Arial"/>
        </w:rPr>
        <w:t>or servic</w:t>
      </w:r>
      <w:r w:rsidR="00362A5E" w:rsidRPr="00A773A7">
        <w:rPr>
          <w:rFonts w:cs="Arial"/>
        </w:rPr>
        <w:t>es on the market.</w:t>
      </w:r>
      <w:r w:rsidR="000C2097" w:rsidRPr="00A773A7">
        <w:rPr>
          <w:rStyle w:val="FootnoteReference"/>
          <w:rFonts w:cs="Arial"/>
        </w:rPr>
        <w:footnoteReference w:id="6"/>
      </w:r>
      <w:r w:rsidR="009A2741" w:rsidRPr="00A773A7">
        <w:rPr>
          <w:rFonts w:cs="Arial"/>
        </w:rPr>
        <w:t xml:space="preserve"> A</w:t>
      </w:r>
      <w:r w:rsidR="00EB6FC6" w:rsidRPr="00A773A7">
        <w:rPr>
          <w:rFonts w:cs="Arial"/>
        </w:rPr>
        <w:t>ctivi</w:t>
      </w:r>
      <w:r w:rsidR="00601102" w:rsidRPr="00A773A7">
        <w:rPr>
          <w:rFonts w:cs="Arial"/>
        </w:rPr>
        <w:t>ties linked to the exercise of S</w:t>
      </w:r>
      <w:r w:rsidR="00EB6FC6" w:rsidRPr="00A773A7">
        <w:rPr>
          <w:rFonts w:cs="Arial"/>
        </w:rPr>
        <w:t>tate prerogatives</w:t>
      </w:r>
      <w:r w:rsidR="007426D3" w:rsidRPr="00A773A7">
        <w:rPr>
          <w:rFonts w:cs="Arial"/>
        </w:rPr>
        <w:t>,</w:t>
      </w:r>
      <w:r w:rsidR="00EB6FC6" w:rsidRPr="00A773A7">
        <w:t xml:space="preserve"> </w:t>
      </w:r>
      <w:r w:rsidR="000C75BD" w:rsidRPr="00A773A7">
        <w:t xml:space="preserve">such as the </w:t>
      </w:r>
      <w:r w:rsidR="00EB6FC6" w:rsidRPr="00A773A7">
        <w:rPr>
          <w:rFonts w:cs="Arial"/>
        </w:rPr>
        <w:t>maintenance and improv</w:t>
      </w:r>
      <w:r w:rsidR="007426D3" w:rsidRPr="00A773A7">
        <w:rPr>
          <w:rFonts w:cs="Arial"/>
        </w:rPr>
        <w:t>ement of air navigation safety, security and</w:t>
      </w:r>
      <w:r w:rsidR="00EB6FC6" w:rsidRPr="00A773A7">
        <w:rPr>
          <w:rFonts w:cs="Arial"/>
        </w:rPr>
        <w:t xml:space="preserve"> air traffic control</w:t>
      </w:r>
      <w:r w:rsidR="00E02C53" w:rsidRPr="00A773A7">
        <w:rPr>
          <w:rFonts w:cs="Arial"/>
        </w:rPr>
        <w:t xml:space="preserve">, </w:t>
      </w:r>
      <w:r w:rsidR="00B87754" w:rsidRPr="00A773A7">
        <w:rPr>
          <w:rFonts w:cs="Arial"/>
        </w:rPr>
        <w:t>typically fall outside the ambit</w:t>
      </w:r>
      <w:r w:rsidR="00E02C53" w:rsidRPr="00A773A7">
        <w:rPr>
          <w:rFonts w:cs="Arial"/>
        </w:rPr>
        <w:t xml:space="preserve"> of economic activities.</w:t>
      </w:r>
      <w:r w:rsidR="000C75BD" w:rsidRPr="00A773A7">
        <w:rPr>
          <w:rStyle w:val="FootnoteReference"/>
          <w:rFonts w:cs="Arial"/>
        </w:rPr>
        <w:footnoteReference w:id="7"/>
      </w:r>
      <w:r w:rsidR="00BD6838" w:rsidRPr="00A773A7">
        <w:rPr>
          <w:rFonts w:cs="Arial"/>
        </w:rPr>
        <w:t xml:space="preserve"> Determining the nature of air transport activities </w:t>
      </w:r>
      <w:r w:rsidR="00C87362" w:rsidRPr="00A773A7">
        <w:rPr>
          <w:rFonts w:cs="Arial"/>
        </w:rPr>
        <w:t xml:space="preserve">in particular </w:t>
      </w:r>
      <w:r w:rsidR="00BD6838" w:rsidRPr="00A773A7">
        <w:rPr>
          <w:rFonts w:cs="Arial"/>
        </w:rPr>
        <w:t>as economic or non-economic</w:t>
      </w:r>
      <w:r w:rsidR="00D17D63" w:rsidRPr="00A773A7">
        <w:rPr>
          <w:rFonts w:cs="Arial"/>
        </w:rPr>
        <w:t xml:space="preserve"> as the case may be </w:t>
      </w:r>
      <w:r w:rsidR="00BD6838" w:rsidRPr="00A773A7">
        <w:rPr>
          <w:rFonts w:cs="Arial"/>
        </w:rPr>
        <w:t>calls for an examination of the historical regulation of civil aviation.</w:t>
      </w:r>
    </w:p>
    <w:p w:rsidR="00B87754" w:rsidRPr="00A773A7" w:rsidRDefault="00F060F1" w:rsidP="000E7C0E">
      <w:r w:rsidRPr="00A773A7">
        <w:rPr>
          <w:rFonts w:cs="Arial"/>
        </w:rPr>
        <w:lastRenderedPageBreak/>
        <w:t xml:space="preserve">The first codification of public international air law occurred in 1919, when the </w:t>
      </w:r>
      <w:r w:rsidRPr="00A773A7">
        <w:t xml:space="preserve">Convention Relating to the Regulation of Aerial Navigation </w:t>
      </w:r>
      <w:r w:rsidR="000B6C08" w:rsidRPr="00A773A7">
        <w:t>(</w:t>
      </w:r>
      <w:r w:rsidR="009A250E" w:rsidRPr="00A773A7">
        <w:t xml:space="preserve">the </w:t>
      </w:r>
      <w:r w:rsidR="000B6C08" w:rsidRPr="00A773A7">
        <w:t>so-called,</w:t>
      </w:r>
      <w:r w:rsidR="00867BC5" w:rsidRPr="00A773A7">
        <w:t xml:space="preserve"> Paris Convention) </w:t>
      </w:r>
      <w:r w:rsidRPr="00A773A7">
        <w:t>was adopted.</w:t>
      </w:r>
      <w:r w:rsidRPr="00A773A7">
        <w:rPr>
          <w:rStyle w:val="FootnoteReference"/>
        </w:rPr>
        <w:t xml:space="preserve"> </w:t>
      </w:r>
      <w:r w:rsidRPr="00A773A7">
        <w:rPr>
          <w:rStyle w:val="FootnoteReference"/>
        </w:rPr>
        <w:footnoteReference w:id="8"/>
      </w:r>
      <w:r w:rsidRPr="00A773A7">
        <w:t xml:space="preserve"> </w:t>
      </w:r>
      <w:r w:rsidR="000B6C08" w:rsidRPr="00A773A7">
        <w:t>The second codification occurred in 1944, when the Convention on International Civil Aviation (</w:t>
      </w:r>
      <w:r w:rsidR="009A250E" w:rsidRPr="00A773A7">
        <w:t xml:space="preserve">the </w:t>
      </w:r>
      <w:r w:rsidR="0094722D">
        <w:t>so-called</w:t>
      </w:r>
      <w:r w:rsidR="000B6C08" w:rsidRPr="00A773A7">
        <w:t xml:space="preserve"> Chicago Convention) was adopted. </w:t>
      </w:r>
      <w:r w:rsidR="000B6C08" w:rsidRPr="00A773A7">
        <w:rPr>
          <w:rStyle w:val="FootnoteReference"/>
        </w:rPr>
        <w:footnoteReference w:id="9"/>
      </w:r>
      <w:r w:rsidR="002705F0" w:rsidRPr="00A773A7">
        <w:t xml:space="preserve"> Both</w:t>
      </w:r>
      <w:r w:rsidR="00FE371E" w:rsidRPr="00A773A7">
        <w:t xml:space="preserve"> Conventions enshrine</w:t>
      </w:r>
      <w:r w:rsidR="00CA63C2" w:rsidRPr="00A773A7">
        <w:t>,</w:t>
      </w:r>
      <w:r w:rsidR="00FE371E" w:rsidRPr="00A773A7">
        <w:t xml:space="preserve"> in their</w:t>
      </w:r>
      <w:r w:rsidR="005C3D97" w:rsidRPr="00A773A7">
        <w:t xml:space="preserve"> very</w:t>
      </w:r>
      <w:r w:rsidR="00FE371E" w:rsidRPr="00A773A7">
        <w:t xml:space="preserve"> first article</w:t>
      </w:r>
      <w:r w:rsidR="00CA63C2" w:rsidRPr="00A773A7">
        <w:t>,</w:t>
      </w:r>
      <w:r w:rsidR="00FE371E" w:rsidRPr="00A773A7">
        <w:t xml:space="preserve"> the principle of national sovereignty, i.e. that every state has complete and exclusive sovereignty over the airspace above its territory.</w:t>
      </w:r>
      <w:r w:rsidR="00DF3ACB" w:rsidRPr="00A773A7">
        <w:t xml:space="preserve"> </w:t>
      </w:r>
      <w:r w:rsidR="00851E84" w:rsidRPr="00A773A7">
        <w:t xml:space="preserve">The </w:t>
      </w:r>
      <w:r w:rsidR="002705F0" w:rsidRPr="00A773A7">
        <w:t>rationale behind this provision is to be sought in the security and defence considerations prevailing</w:t>
      </w:r>
      <w:r w:rsidR="005C3D97" w:rsidRPr="00A773A7">
        <w:t xml:space="preserve"> in the aftermath of </w:t>
      </w:r>
      <w:r w:rsidR="009E3826" w:rsidRPr="00A773A7">
        <w:t>the First and Second World War</w:t>
      </w:r>
      <w:r w:rsidR="009A250E" w:rsidRPr="00A773A7">
        <w:t>s</w:t>
      </w:r>
      <w:r w:rsidR="00B87754" w:rsidRPr="00A773A7">
        <w:t xml:space="preserve">, when these </w:t>
      </w:r>
      <w:r w:rsidR="002705F0" w:rsidRPr="00A773A7">
        <w:t>Conventions were adopted.</w:t>
      </w:r>
      <w:r w:rsidR="00CD7872" w:rsidRPr="00A773A7">
        <w:t xml:space="preserve"> </w:t>
      </w:r>
    </w:p>
    <w:p w:rsidR="00CC3029" w:rsidRPr="00A773A7" w:rsidRDefault="00CD7872" w:rsidP="000E7C0E">
      <w:r w:rsidRPr="00A773A7">
        <w:t>T</w:t>
      </w:r>
      <w:r w:rsidR="009E3826" w:rsidRPr="00A773A7">
        <w:t>he</w:t>
      </w:r>
      <w:r w:rsidRPr="00A773A7">
        <w:t xml:space="preserve"> </w:t>
      </w:r>
      <w:r w:rsidR="00C87362" w:rsidRPr="00A773A7">
        <w:t>nexus</w:t>
      </w:r>
      <w:r w:rsidR="00B115A6" w:rsidRPr="00A773A7">
        <w:t xml:space="preserve"> between</w:t>
      </w:r>
      <w:r w:rsidR="00174BC7" w:rsidRPr="00A773A7">
        <w:t xml:space="preserve"> civil aviation </w:t>
      </w:r>
      <w:r w:rsidR="00B115A6" w:rsidRPr="00A773A7">
        <w:t>and public security</w:t>
      </w:r>
      <w:r w:rsidR="00174BC7" w:rsidRPr="00A773A7">
        <w:t xml:space="preserve"> has been sketched out in the </w:t>
      </w:r>
      <w:r w:rsidRPr="00A773A7">
        <w:t>Pre</w:t>
      </w:r>
      <w:r w:rsidR="009E3826" w:rsidRPr="00A773A7">
        <w:t>amble to the Chicago Convention, which</w:t>
      </w:r>
      <w:r w:rsidR="00174BC7" w:rsidRPr="00A773A7">
        <w:t xml:space="preserve">, </w:t>
      </w:r>
      <w:r w:rsidR="00C46D8F" w:rsidRPr="00A773A7">
        <w:t>in its opening statement, provides</w:t>
      </w:r>
      <w:r w:rsidR="00174BC7" w:rsidRPr="00A773A7">
        <w:t>:</w:t>
      </w:r>
      <w:r w:rsidR="009E3826" w:rsidRPr="00A773A7">
        <w:t xml:space="preserve"> “[w]</w:t>
      </w:r>
      <w:proofErr w:type="spellStart"/>
      <w:r w:rsidR="009E3826" w:rsidRPr="00A773A7">
        <w:t>hereas</w:t>
      </w:r>
      <w:proofErr w:type="spellEnd"/>
      <w:r w:rsidR="009E3826" w:rsidRPr="00A773A7">
        <w:t xml:space="preserve"> the future development of international civil aviation can greatly help to create and preserve friendship and understanding among the nations and peoples of the world, yet its abuse can become a threat to the general security;</w:t>
      </w:r>
      <w:r w:rsidR="00310592" w:rsidRPr="00A773A7">
        <w:t>…</w:t>
      </w:r>
      <w:r w:rsidR="009E3826" w:rsidRPr="00A773A7">
        <w:t>”.</w:t>
      </w:r>
      <w:r w:rsidR="009A250E" w:rsidRPr="00A773A7">
        <w:t xml:space="preserve"> The Preamble goes on to</w:t>
      </w:r>
      <w:r w:rsidR="00AB2557" w:rsidRPr="00A773A7">
        <w:t xml:space="preserve"> </w:t>
      </w:r>
      <w:r w:rsidR="009C08CF" w:rsidRPr="00A773A7">
        <w:t>state that the Convention has been concluded in th</w:t>
      </w:r>
      <w:r w:rsidR="001E2FA3" w:rsidRPr="00A773A7">
        <w:t>e light of these considerations</w:t>
      </w:r>
      <w:r w:rsidR="009C08CF" w:rsidRPr="00A773A7">
        <w:t xml:space="preserve"> “in order that international civil  aviation may be developed in a safe and orderly manner and that international air transport services may be established on the basis of equality of opportunity and operated soundly and economically”.</w:t>
      </w:r>
      <w:r w:rsidR="00C46D8F" w:rsidRPr="00A773A7">
        <w:t xml:space="preserve"> </w:t>
      </w:r>
      <w:r w:rsidR="00CC3029" w:rsidRPr="00A773A7">
        <w:t xml:space="preserve">The criteria established in the Preamble have been fleshed out in </w:t>
      </w:r>
      <w:r w:rsidR="00D17D63" w:rsidRPr="00A773A7">
        <w:t>Article 44 o</w:t>
      </w:r>
      <w:r w:rsidR="00B87754" w:rsidRPr="00A773A7">
        <w:t>f the Convention, regarding</w:t>
      </w:r>
      <w:r w:rsidR="00D17D63" w:rsidRPr="00A773A7">
        <w:t xml:space="preserve"> the </w:t>
      </w:r>
      <w:r w:rsidR="00C27F9D" w:rsidRPr="00A773A7">
        <w:t xml:space="preserve">objectives of the </w:t>
      </w:r>
      <w:r w:rsidR="00D17D63" w:rsidRPr="00A773A7">
        <w:t>International Civil Aviation Organisation</w:t>
      </w:r>
      <w:r w:rsidR="00C27F9D" w:rsidRPr="00A773A7">
        <w:t xml:space="preserve"> (ICAO)</w:t>
      </w:r>
      <w:r w:rsidR="00D17D63" w:rsidRPr="00A773A7">
        <w:t>.</w:t>
      </w:r>
      <w:r w:rsidR="00C27F9D" w:rsidRPr="00A773A7">
        <w:t xml:space="preserve"> </w:t>
      </w:r>
      <w:r w:rsidR="005417BE" w:rsidRPr="00A773A7">
        <w:t>Article 44(d) in particular</w:t>
      </w:r>
      <w:r w:rsidR="0077503B" w:rsidRPr="00A773A7">
        <w:t xml:space="preserve"> </w:t>
      </w:r>
      <w:r w:rsidR="00447761" w:rsidRPr="00A773A7">
        <w:t>entrusts ICAO with the objective of fostering the planning and development of international air transport so as to meet</w:t>
      </w:r>
      <w:r w:rsidR="00AC30F9" w:rsidRPr="00A773A7">
        <w:t xml:space="preserve"> the needs of the peoples of the world for safe, regular, efficient and economical air transport</w:t>
      </w:r>
      <w:r w:rsidR="00447761" w:rsidRPr="00A773A7">
        <w:t>.</w:t>
      </w:r>
    </w:p>
    <w:p w:rsidR="003F0181" w:rsidRPr="00A773A7" w:rsidRDefault="00B87754" w:rsidP="000E7C0E">
      <w:pPr>
        <w:rPr>
          <w:rFonts w:cs="Arial"/>
        </w:rPr>
      </w:pPr>
      <w:r w:rsidRPr="00A773A7">
        <w:t>The</w:t>
      </w:r>
      <w:r w:rsidR="00A41D35" w:rsidRPr="00A773A7">
        <w:t xml:space="preserve"> established</w:t>
      </w:r>
      <w:r w:rsidRPr="00A773A7">
        <w:t xml:space="preserve"> interconnection between </w:t>
      </w:r>
      <w:r w:rsidR="00602DD2" w:rsidRPr="00A773A7">
        <w:t xml:space="preserve">public </w:t>
      </w:r>
      <w:r w:rsidR="00B22164" w:rsidRPr="00A773A7">
        <w:t>securi</w:t>
      </w:r>
      <w:r w:rsidR="002B00E5" w:rsidRPr="00A773A7">
        <w:t>ty</w:t>
      </w:r>
      <w:r w:rsidR="00602DD2" w:rsidRPr="00A773A7">
        <w:t xml:space="preserve"> on the one hand and</w:t>
      </w:r>
      <w:r w:rsidR="002B00E5" w:rsidRPr="00A773A7">
        <w:t xml:space="preserve"> </w:t>
      </w:r>
      <w:r w:rsidRPr="00A773A7">
        <w:t xml:space="preserve">safety, </w:t>
      </w:r>
      <w:r w:rsidR="006F5975" w:rsidRPr="00A773A7">
        <w:t>regularity of service</w:t>
      </w:r>
      <w:r w:rsidR="00A12898" w:rsidRPr="00A773A7">
        <w:t xml:space="preserve">, operational efficiency and economic efficiency </w:t>
      </w:r>
      <w:r w:rsidR="00602DD2" w:rsidRPr="00A773A7">
        <w:t xml:space="preserve">on the other </w:t>
      </w:r>
      <w:r w:rsidR="00C43008" w:rsidRPr="00A773A7">
        <w:t xml:space="preserve">hand </w:t>
      </w:r>
      <w:r w:rsidR="0094722D">
        <w:t>may hint at</w:t>
      </w:r>
      <w:r w:rsidR="00A12898" w:rsidRPr="00A773A7">
        <w:t xml:space="preserve"> the fact that air transport is not a conv</w:t>
      </w:r>
      <w:r w:rsidR="00C43008" w:rsidRPr="00A773A7">
        <w:t>entional economic activity, but is bound to operate within a sensitive environment</w:t>
      </w:r>
      <w:r w:rsidR="0080556A" w:rsidRPr="00A773A7">
        <w:t xml:space="preserve">, while possessing also </w:t>
      </w:r>
      <w:r w:rsidR="0094722D">
        <w:t>the characteristics of a public utility</w:t>
      </w:r>
      <w:r w:rsidR="00C43008" w:rsidRPr="00A773A7">
        <w:t xml:space="preserve">. </w:t>
      </w:r>
      <w:r w:rsidR="00EB05CA" w:rsidRPr="00A773A7">
        <w:t>The Chicago Convention provision on which Stat</w:t>
      </w:r>
      <w:r w:rsidR="009C5A56" w:rsidRPr="00A773A7">
        <w:t>es have relied to implement</w:t>
      </w:r>
      <w:r w:rsidR="00EB05CA" w:rsidRPr="00A773A7">
        <w:t xml:space="preserve"> these criteria is Article 6. Article 6 translates the principle of national sovereignty into the context of market access</w:t>
      </w:r>
      <w:r w:rsidR="00137EF2" w:rsidRPr="00A773A7">
        <w:t>, providing for the principle of economic sovereignty. Article 6 reads: “</w:t>
      </w:r>
      <w:r w:rsidR="00607A8D" w:rsidRPr="00A773A7">
        <w:rPr>
          <w:rFonts w:cs="Arial"/>
        </w:rPr>
        <w:t>[n]o scheduled international air service may be operated over or into the territory of a contracting State, except with the special permission or other authorization of that State, and in accordance with the terms of such permission or authorization”.</w:t>
      </w:r>
    </w:p>
    <w:p w:rsidR="00075055" w:rsidRPr="00A773A7" w:rsidRDefault="002441AC" w:rsidP="000E7C0E">
      <w:pPr>
        <w:rPr>
          <w:rFonts w:cs="Arial"/>
        </w:rPr>
      </w:pPr>
      <w:r w:rsidRPr="00A773A7">
        <w:rPr>
          <w:rFonts w:cs="Arial"/>
        </w:rPr>
        <w:t>The principle of economic sovereignty culminated in what appears to be the main obstacle to liberalisation, namely, the nationality restrictions embedded in national legislation</w:t>
      </w:r>
      <w:r w:rsidR="00607A8D" w:rsidRPr="00A773A7">
        <w:rPr>
          <w:rFonts w:cs="Arial"/>
        </w:rPr>
        <w:t xml:space="preserve"> </w:t>
      </w:r>
      <w:r w:rsidRPr="00A773A7">
        <w:rPr>
          <w:rFonts w:cs="Arial"/>
        </w:rPr>
        <w:t>and air services agreements.</w:t>
      </w:r>
      <w:r w:rsidR="00E81148" w:rsidRPr="00A773A7">
        <w:rPr>
          <w:rFonts w:cs="Arial"/>
        </w:rPr>
        <w:t xml:space="preserve"> Capping foreign investment in and restricting foreign control of national airlines to ensure that the latter remain majority owned and effectively controlled by t</w:t>
      </w:r>
      <w:r w:rsidR="00851DC3" w:rsidRPr="00A773A7">
        <w:rPr>
          <w:rFonts w:cs="Arial"/>
        </w:rPr>
        <w:t xml:space="preserve">he country of </w:t>
      </w:r>
      <w:r w:rsidR="00AC1858" w:rsidRPr="00A773A7">
        <w:rPr>
          <w:rFonts w:cs="Arial"/>
        </w:rPr>
        <w:t xml:space="preserve">airline </w:t>
      </w:r>
      <w:r w:rsidR="00851DC3" w:rsidRPr="00A773A7">
        <w:rPr>
          <w:rFonts w:cs="Arial"/>
        </w:rPr>
        <w:t xml:space="preserve">establishment and designation </w:t>
      </w:r>
      <w:r w:rsidR="000B4FAA" w:rsidRPr="00A773A7">
        <w:rPr>
          <w:rFonts w:cs="Arial"/>
        </w:rPr>
        <w:t>has been</w:t>
      </w:r>
      <w:r w:rsidR="00851DC3" w:rsidRPr="00A773A7">
        <w:rPr>
          <w:rFonts w:cs="Arial"/>
        </w:rPr>
        <w:t xml:space="preserve"> the </w:t>
      </w:r>
      <w:r w:rsidR="00C36251" w:rsidRPr="00A773A7">
        <w:rPr>
          <w:rFonts w:cs="Arial"/>
        </w:rPr>
        <w:t>mea</w:t>
      </w:r>
      <w:r w:rsidR="00E46CCF" w:rsidRPr="00A773A7">
        <w:rPr>
          <w:rFonts w:cs="Arial"/>
        </w:rPr>
        <w:t xml:space="preserve">ns by which the States </w:t>
      </w:r>
      <w:r w:rsidR="000B4FAA" w:rsidRPr="00A773A7">
        <w:rPr>
          <w:rFonts w:cs="Arial"/>
        </w:rPr>
        <w:t>have</w:t>
      </w:r>
      <w:r w:rsidR="00B45219" w:rsidRPr="00A773A7">
        <w:rPr>
          <w:rFonts w:cs="Arial"/>
        </w:rPr>
        <w:t xml:space="preserve"> </w:t>
      </w:r>
      <w:r w:rsidR="00E46CCF" w:rsidRPr="00A773A7">
        <w:rPr>
          <w:rFonts w:cs="Arial"/>
        </w:rPr>
        <w:t>a</w:t>
      </w:r>
      <w:r w:rsidR="00B45219" w:rsidRPr="00A773A7">
        <w:rPr>
          <w:rFonts w:cs="Arial"/>
        </w:rPr>
        <w:t>ddress</w:t>
      </w:r>
      <w:r w:rsidR="000B4FAA" w:rsidRPr="00A773A7">
        <w:rPr>
          <w:rFonts w:cs="Arial"/>
        </w:rPr>
        <w:t>ed</w:t>
      </w:r>
      <w:r w:rsidR="00E73F83" w:rsidRPr="00A773A7">
        <w:rPr>
          <w:rFonts w:cs="Arial"/>
        </w:rPr>
        <w:t xml:space="preserve"> the</w:t>
      </w:r>
      <w:r w:rsidR="00AA6465" w:rsidRPr="00A773A7">
        <w:rPr>
          <w:rFonts w:cs="Arial"/>
        </w:rPr>
        <w:t xml:space="preserve"> </w:t>
      </w:r>
      <w:r w:rsidR="00AA6465" w:rsidRPr="00A773A7">
        <w:rPr>
          <w:rFonts w:cs="Arial"/>
        </w:rPr>
        <w:lastRenderedPageBreak/>
        <w:t>aforementioned</w:t>
      </w:r>
      <w:r w:rsidR="00E73F83" w:rsidRPr="00A773A7">
        <w:rPr>
          <w:rFonts w:cs="Arial"/>
        </w:rPr>
        <w:t xml:space="preserve"> criteria </w:t>
      </w:r>
      <w:r w:rsidR="00B45219" w:rsidRPr="00A773A7">
        <w:rPr>
          <w:rFonts w:cs="Arial"/>
        </w:rPr>
        <w:t xml:space="preserve">of </w:t>
      </w:r>
      <w:r w:rsidR="00AD7E20" w:rsidRPr="00A773A7">
        <w:rPr>
          <w:rFonts w:cs="Arial"/>
        </w:rPr>
        <w:t xml:space="preserve">security, </w:t>
      </w:r>
      <w:r w:rsidR="00B45219" w:rsidRPr="00A773A7">
        <w:rPr>
          <w:rFonts w:cs="Arial"/>
        </w:rPr>
        <w:t>safety, regularity and</w:t>
      </w:r>
      <w:r w:rsidR="00E766CA" w:rsidRPr="00A773A7">
        <w:rPr>
          <w:rFonts w:cs="Arial"/>
        </w:rPr>
        <w:t xml:space="preserve"> efficiency.</w:t>
      </w:r>
      <w:r w:rsidR="00E766CA" w:rsidRPr="00A773A7">
        <w:rPr>
          <w:rStyle w:val="FootnoteReference"/>
          <w:rFonts w:cs="Arial"/>
        </w:rPr>
        <w:footnoteReference w:id="10"/>
      </w:r>
      <w:r w:rsidR="00AC1858" w:rsidRPr="00A773A7">
        <w:rPr>
          <w:rFonts w:cs="Arial"/>
        </w:rPr>
        <w:t xml:space="preserve"> </w:t>
      </w:r>
      <w:r w:rsidR="00A7093D" w:rsidRPr="00A773A7">
        <w:rPr>
          <w:rFonts w:cs="Arial"/>
        </w:rPr>
        <w:t xml:space="preserve">The </w:t>
      </w:r>
      <w:proofErr w:type="spellStart"/>
      <w:r w:rsidR="00A7093D" w:rsidRPr="00A773A7">
        <w:rPr>
          <w:rFonts w:cs="Arial"/>
          <w:i/>
        </w:rPr>
        <w:t>acquis</w:t>
      </w:r>
      <w:proofErr w:type="spellEnd"/>
      <w:r w:rsidR="005D6E87" w:rsidRPr="00A773A7">
        <w:rPr>
          <w:rFonts w:cs="Arial"/>
        </w:rPr>
        <w:t xml:space="preserve"> of controlling market access </w:t>
      </w:r>
      <w:r w:rsidR="00184832" w:rsidRPr="00A773A7">
        <w:rPr>
          <w:rFonts w:cs="Arial"/>
        </w:rPr>
        <w:t xml:space="preserve">along these lines </w:t>
      </w:r>
      <w:r w:rsidR="005D6E87" w:rsidRPr="00A773A7">
        <w:rPr>
          <w:rFonts w:cs="Arial"/>
        </w:rPr>
        <w:t>is</w:t>
      </w:r>
      <w:r w:rsidR="00A7093D" w:rsidRPr="00A773A7">
        <w:rPr>
          <w:rFonts w:cs="Arial"/>
        </w:rPr>
        <w:t xml:space="preserve"> Chicago bilateralism.</w:t>
      </w:r>
    </w:p>
    <w:p w:rsidR="00E873A7" w:rsidRPr="00A773A7" w:rsidRDefault="00913570" w:rsidP="000E7C0E">
      <w:pPr>
        <w:rPr>
          <w:rFonts w:cs="Arial"/>
        </w:rPr>
      </w:pPr>
      <w:r w:rsidRPr="00A773A7">
        <w:rPr>
          <w:rFonts w:cs="Arial"/>
        </w:rPr>
        <w:t>L</w:t>
      </w:r>
      <w:r w:rsidR="00D937C2" w:rsidRPr="00A773A7">
        <w:rPr>
          <w:rFonts w:cs="Arial"/>
        </w:rPr>
        <w:t>ooking first at the criterion of safety, t</w:t>
      </w:r>
      <w:r w:rsidR="00E14BC6" w:rsidRPr="00A773A7">
        <w:rPr>
          <w:rFonts w:cs="Arial"/>
        </w:rPr>
        <w:t>he requirement that the country of airline designation</w:t>
      </w:r>
      <w:r w:rsidR="00C27C6B" w:rsidRPr="00A773A7">
        <w:rPr>
          <w:rFonts w:cs="Arial"/>
        </w:rPr>
        <w:t xml:space="preserve"> be</w:t>
      </w:r>
      <w:r w:rsidR="00E14BC6" w:rsidRPr="00A773A7">
        <w:rPr>
          <w:rFonts w:cs="Arial"/>
        </w:rPr>
        <w:t xml:space="preserve"> the country of airli</w:t>
      </w:r>
      <w:r w:rsidR="00D860BB" w:rsidRPr="00A773A7">
        <w:rPr>
          <w:rFonts w:cs="Arial"/>
        </w:rPr>
        <w:t>ne establishment</w:t>
      </w:r>
      <w:r w:rsidR="00EC0005" w:rsidRPr="00A773A7">
        <w:rPr>
          <w:rFonts w:cs="Arial"/>
        </w:rPr>
        <w:t xml:space="preserve"> renders</w:t>
      </w:r>
      <w:r w:rsidR="00E14BC6" w:rsidRPr="00A773A7">
        <w:rPr>
          <w:rFonts w:cs="Arial"/>
        </w:rPr>
        <w:t xml:space="preserve"> the country of designation responsible for th</w:t>
      </w:r>
      <w:r w:rsidR="00511042" w:rsidRPr="00A773A7">
        <w:rPr>
          <w:rFonts w:cs="Arial"/>
        </w:rPr>
        <w:t>e safety oversight of its designated</w:t>
      </w:r>
      <w:r w:rsidR="00E14BC6" w:rsidRPr="00A773A7">
        <w:rPr>
          <w:rFonts w:cs="Arial"/>
        </w:rPr>
        <w:t xml:space="preserve"> airlines.</w:t>
      </w:r>
      <w:r w:rsidR="000A64D2" w:rsidRPr="00A773A7">
        <w:rPr>
          <w:rFonts w:cs="Arial"/>
        </w:rPr>
        <w:t xml:space="preserve"> </w:t>
      </w:r>
      <w:r w:rsidR="00D40635" w:rsidRPr="00633D90">
        <w:rPr>
          <w:rFonts w:cs="Arial"/>
        </w:rPr>
        <w:t>This</w:t>
      </w:r>
      <w:r w:rsidR="00EC0005" w:rsidRPr="00A773A7">
        <w:rPr>
          <w:rFonts w:cs="Arial"/>
          <w:b/>
        </w:rPr>
        <w:t xml:space="preserve"> </w:t>
      </w:r>
      <w:r w:rsidR="00EC0005" w:rsidRPr="00A773A7">
        <w:rPr>
          <w:rFonts w:cs="Arial"/>
        </w:rPr>
        <w:t>nexus between country of designation and designated airline</w:t>
      </w:r>
      <w:r w:rsidR="004D7892" w:rsidRPr="00A773A7">
        <w:rPr>
          <w:rFonts w:cs="Arial"/>
        </w:rPr>
        <w:t xml:space="preserve"> has resulted in civil aviation having achieved an </w:t>
      </w:r>
      <w:r w:rsidR="00E52667" w:rsidRPr="00A773A7">
        <w:rPr>
          <w:rFonts w:cs="Arial"/>
        </w:rPr>
        <w:t xml:space="preserve">exceptional standard of safety. </w:t>
      </w:r>
      <w:r w:rsidR="00B60221" w:rsidRPr="00A773A7">
        <w:rPr>
          <w:rFonts w:cs="Arial"/>
        </w:rPr>
        <w:t>Thus</w:t>
      </w:r>
      <w:r w:rsidR="00E52667" w:rsidRPr="00A773A7">
        <w:rPr>
          <w:rFonts w:cs="Arial"/>
        </w:rPr>
        <w:t>, the problem of flags of convenience</w:t>
      </w:r>
      <w:r w:rsidR="00A922D8" w:rsidRPr="00A773A7">
        <w:rPr>
          <w:rFonts w:cs="Arial"/>
        </w:rPr>
        <w:t>,</w:t>
      </w:r>
      <w:r w:rsidR="008C5FC9" w:rsidRPr="00A773A7">
        <w:rPr>
          <w:rFonts w:cs="Arial"/>
        </w:rPr>
        <w:t xml:space="preserve"> </w:t>
      </w:r>
      <w:r w:rsidR="00A922D8" w:rsidRPr="00A773A7">
        <w:rPr>
          <w:rFonts w:cs="Arial"/>
        </w:rPr>
        <w:t xml:space="preserve">which has been </w:t>
      </w:r>
      <w:r w:rsidR="00BA10E5">
        <w:rPr>
          <w:rFonts w:cs="Arial"/>
        </w:rPr>
        <w:t>endemic in</w:t>
      </w:r>
      <w:r w:rsidR="00E52667" w:rsidRPr="00A773A7">
        <w:rPr>
          <w:rFonts w:cs="Arial"/>
        </w:rPr>
        <w:t xml:space="preserve"> maritime transport</w:t>
      </w:r>
      <w:r w:rsidR="00A922D8" w:rsidRPr="00A773A7">
        <w:rPr>
          <w:rFonts w:cs="Arial"/>
        </w:rPr>
        <w:t>,</w:t>
      </w:r>
      <w:r w:rsidR="00E52667" w:rsidRPr="00A773A7">
        <w:rPr>
          <w:rFonts w:cs="Arial"/>
        </w:rPr>
        <w:t xml:space="preserve"> </w:t>
      </w:r>
      <w:r w:rsidR="00511042" w:rsidRPr="00A773A7">
        <w:rPr>
          <w:rFonts w:cs="Arial"/>
        </w:rPr>
        <w:t>is a non-issue</w:t>
      </w:r>
      <w:r w:rsidR="00B60221" w:rsidRPr="00A773A7">
        <w:rPr>
          <w:rFonts w:cs="Arial"/>
        </w:rPr>
        <w:t xml:space="preserve"> in </w:t>
      </w:r>
      <w:r w:rsidR="008C5FC9" w:rsidRPr="00A773A7">
        <w:rPr>
          <w:rFonts w:cs="Arial"/>
        </w:rPr>
        <w:t>air transport.</w:t>
      </w:r>
      <w:r w:rsidR="00D860BB" w:rsidRPr="00A773A7">
        <w:rPr>
          <w:rFonts w:cs="Arial"/>
        </w:rPr>
        <w:t xml:space="preserve"> </w:t>
      </w:r>
      <w:r w:rsidR="008176F7" w:rsidRPr="00A773A7">
        <w:rPr>
          <w:rFonts w:cs="Arial"/>
        </w:rPr>
        <w:t>Although, by virtue of the nationality restrictions, the country of designation ha</w:t>
      </w:r>
      <w:r w:rsidR="00FF3BE8" w:rsidRPr="00A773A7">
        <w:rPr>
          <w:rFonts w:cs="Arial"/>
        </w:rPr>
        <w:t>ppens to be also the country in which</w:t>
      </w:r>
      <w:r w:rsidR="00E94927" w:rsidRPr="00A773A7">
        <w:rPr>
          <w:rFonts w:cs="Arial"/>
        </w:rPr>
        <w:t xml:space="preserve"> </w:t>
      </w:r>
      <w:r w:rsidR="00FF3BE8" w:rsidRPr="00A773A7">
        <w:rPr>
          <w:rFonts w:cs="Arial"/>
        </w:rPr>
        <w:t xml:space="preserve">the </w:t>
      </w:r>
      <w:r w:rsidR="00E94927" w:rsidRPr="00A773A7">
        <w:rPr>
          <w:rFonts w:cs="Arial"/>
        </w:rPr>
        <w:t xml:space="preserve">designated </w:t>
      </w:r>
      <w:r w:rsidR="008176F7" w:rsidRPr="00A773A7">
        <w:rPr>
          <w:rFonts w:cs="Arial"/>
        </w:rPr>
        <w:t>airline</w:t>
      </w:r>
      <w:r w:rsidR="00E94927" w:rsidRPr="00A773A7">
        <w:rPr>
          <w:rFonts w:cs="Arial"/>
        </w:rPr>
        <w:t>’</w:t>
      </w:r>
      <w:r w:rsidR="00D937C2" w:rsidRPr="00A773A7">
        <w:rPr>
          <w:rFonts w:cs="Arial"/>
        </w:rPr>
        <w:t>s</w:t>
      </w:r>
      <w:r w:rsidR="00FF3BE8" w:rsidRPr="00A773A7">
        <w:rPr>
          <w:rFonts w:cs="Arial"/>
        </w:rPr>
        <w:t xml:space="preserve"> majority ownership and effective (i.e. economic) control are vested</w:t>
      </w:r>
      <w:r w:rsidR="00E873A7" w:rsidRPr="00A773A7">
        <w:rPr>
          <w:rFonts w:cs="Arial"/>
        </w:rPr>
        <w:t xml:space="preserve">, these requirements </w:t>
      </w:r>
      <w:r w:rsidR="004D7892" w:rsidRPr="00A773A7">
        <w:rPr>
          <w:rFonts w:cs="Arial"/>
        </w:rPr>
        <w:t>do</w:t>
      </w:r>
      <w:r w:rsidR="00E94927" w:rsidRPr="00A773A7">
        <w:rPr>
          <w:rFonts w:cs="Arial"/>
        </w:rPr>
        <w:t xml:space="preserve"> not appear to be necessary condition</w:t>
      </w:r>
      <w:r w:rsidR="00E873A7" w:rsidRPr="00A773A7">
        <w:rPr>
          <w:rFonts w:cs="Arial"/>
        </w:rPr>
        <w:t>s</w:t>
      </w:r>
      <w:r w:rsidR="00E94927" w:rsidRPr="00A773A7">
        <w:rPr>
          <w:rFonts w:cs="Arial"/>
        </w:rPr>
        <w:t xml:space="preserve"> for safety oversight to be effectively exercised. So long as safety oversight and designation </w:t>
      </w:r>
      <w:r w:rsidR="004D7892" w:rsidRPr="00A773A7">
        <w:rPr>
          <w:rFonts w:cs="Arial"/>
        </w:rPr>
        <w:t>remain</w:t>
      </w:r>
      <w:r w:rsidR="00E94927" w:rsidRPr="00A773A7">
        <w:rPr>
          <w:rFonts w:cs="Arial"/>
        </w:rPr>
        <w:t xml:space="preserve"> with the country of airline establishment, </w:t>
      </w:r>
      <w:r w:rsidR="00304A01">
        <w:rPr>
          <w:rFonts w:cs="Arial"/>
        </w:rPr>
        <w:t xml:space="preserve">or, </w:t>
      </w:r>
      <w:r w:rsidR="00FF3BE8" w:rsidRPr="00A773A7">
        <w:rPr>
          <w:rFonts w:cs="Arial"/>
        </w:rPr>
        <w:t xml:space="preserve">in other words, so long as the country of designation maintains effective regulatory control over the designated airline, </w:t>
      </w:r>
      <w:r w:rsidR="00431B51" w:rsidRPr="00A773A7">
        <w:rPr>
          <w:rFonts w:cs="Arial"/>
        </w:rPr>
        <w:t>the industry’s standards of safety can be preserved.</w:t>
      </w:r>
      <w:r w:rsidR="00511042" w:rsidRPr="00A773A7">
        <w:rPr>
          <w:rStyle w:val="FootnoteReference"/>
          <w:rFonts w:cs="Arial"/>
        </w:rPr>
        <w:footnoteReference w:id="11"/>
      </w:r>
      <w:r w:rsidR="00C76F1C" w:rsidRPr="00A773A7">
        <w:rPr>
          <w:rFonts w:cs="Arial"/>
        </w:rPr>
        <w:t xml:space="preserve"> </w:t>
      </w:r>
      <w:r w:rsidR="006F42BD" w:rsidRPr="00A773A7">
        <w:rPr>
          <w:rFonts w:cs="Arial"/>
        </w:rPr>
        <w:t>Therefo</w:t>
      </w:r>
      <w:r w:rsidR="00917516" w:rsidRPr="00A773A7">
        <w:rPr>
          <w:rFonts w:cs="Arial"/>
        </w:rPr>
        <w:t xml:space="preserve">re, liberalisation by means of relaxing </w:t>
      </w:r>
      <w:r w:rsidR="006F42BD" w:rsidRPr="00A773A7">
        <w:rPr>
          <w:rFonts w:cs="Arial"/>
        </w:rPr>
        <w:t>the nationality restrictions does not stand in the way of safety.</w:t>
      </w:r>
    </w:p>
    <w:p w:rsidR="00AD0991" w:rsidRPr="00A773A7" w:rsidRDefault="006F42BD" w:rsidP="000E7C0E">
      <w:pPr>
        <w:rPr>
          <w:rFonts w:cs="Arial"/>
        </w:rPr>
      </w:pPr>
      <w:r w:rsidRPr="00A773A7">
        <w:rPr>
          <w:rFonts w:cs="Arial"/>
        </w:rPr>
        <w:t>When it comes to the criterion of regularity of service, the situat</w:t>
      </w:r>
      <w:r w:rsidR="00304A01">
        <w:rPr>
          <w:rFonts w:cs="Arial"/>
        </w:rPr>
        <w:t>ion seems to be more ambiguous.</w:t>
      </w:r>
      <w:r w:rsidRPr="00A773A7">
        <w:rPr>
          <w:rFonts w:cs="Arial"/>
        </w:rPr>
        <w:t xml:space="preserve"> </w:t>
      </w:r>
      <w:r w:rsidR="009E6114" w:rsidRPr="00A773A7">
        <w:rPr>
          <w:rFonts w:cs="Arial"/>
        </w:rPr>
        <w:t>Nationality restrictions have resulted in the establishment of national flag carriers</w:t>
      </w:r>
      <w:r w:rsidR="00CF6270" w:rsidRPr="00A773A7">
        <w:rPr>
          <w:rFonts w:cs="Arial"/>
        </w:rPr>
        <w:t>, which, by virtue of the bilateral exchange of traffic rights</w:t>
      </w:r>
      <w:r w:rsidR="003D41C2" w:rsidRPr="00A773A7">
        <w:rPr>
          <w:rFonts w:cs="Arial"/>
        </w:rPr>
        <w:t xml:space="preserve"> </w:t>
      </w:r>
      <w:r w:rsidR="004B674E" w:rsidRPr="00A773A7">
        <w:rPr>
          <w:rFonts w:cs="Arial"/>
        </w:rPr>
        <w:t>on the basis of reciprocal advantage</w:t>
      </w:r>
      <w:r w:rsidR="003D70CC" w:rsidRPr="00A773A7">
        <w:rPr>
          <w:rFonts w:cs="Arial"/>
        </w:rPr>
        <w:t>, enjoy</w:t>
      </w:r>
      <w:r w:rsidR="003D41C2" w:rsidRPr="00A773A7">
        <w:rPr>
          <w:rFonts w:cs="Arial"/>
        </w:rPr>
        <w:t xml:space="preserve"> a fair and equal opportunity to compete. </w:t>
      </w:r>
      <w:r w:rsidR="003B0699" w:rsidRPr="00A773A7">
        <w:rPr>
          <w:rFonts w:cs="Arial"/>
        </w:rPr>
        <w:t>Although bilateralism does not create an obligation on States to participate in the provision of air services by establishing a national flag carrier</w:t>
      </w:r>
      <w:r w:rsidR="00CE4D18" w:rsidRPr="00A773A7">
        <w:rPr>
          <w:rFonts w:cs="Arial"/>
        </w:rPr>
        <w:t xml:space="preserve"> which can be designated to fly to the</w:t>
      </w:r>
      <w:r w:rsidR="00E82CE5" w:rsidRPr="00A773A7">
        <w:rPr>
          <w:rFonts w:cs="Arial"/>
        </w:rPr>
        <w:t xml:space="preserve"> destinations agreed upon in</w:t>
      </w:r>
      <w:r w:rsidR="00CE4D18" w:rsidRPr="00A773A7">
        <w:rPr>
          <w:rFonts w:cs="Arial"/>
        </w:rPr>
        <w:t xml:space="preserve"> bilateral air services agreements</w:t>
      </w:r>
      <w:r w:rsidR="00D01E66" w:rsidRPr="00A773A7">
        <w:rPr>
          <w:rFonts w:cs="Arial"/>
        </w:rPr>
        <w:t xml:space="preserve">, </w:t>
      </w:r>
      <w:r w:rsidR="00F55A8F" w:rsidRPr="00A773A7">
        <w:rPr>
          <w:rFonts w:cs="Arial"/>
        </w:rPr>
        <w:t>in practice,</w:t>
      </w:r>
      <w:r w:rsidR="00E82CE5" w:rsidRPr="00A773A7">
        <w:rPr>
          <w:rFonts w:cs="Arial"/>
        </w:rPr>
        <w:t xml:space="preserve"> a country </w:t>
      </w:r>
      <w:r w:rsidR="00304A01">
        <w:rPr>
          <w:rFonts w:cs="Arial"/>
        </w:rPr>
        <w:t xml:space="preserve">is rarely </w:t>
      </w:r>
      <w:r w:rsidR="00E82CE5" w:rsidRPr="00A773A7">
        <w:rPr>
          <w:rFonts w:cs="Arial"/>
        </w:rPr>
        <w:t>disconnected or serviced only by foreign airlines due to the non-existe</w:t>
      </w:r>
      <w:r w:rsidR="00315D0F" w:rsidRPr="00A773A7">
        <w:rPr>
          <w:rFonts w:cs="Arial"/>
        </w:rPr>
        <w:t>nce of a national flag carrier</w:t>
      </w:r>
      <w:r w:rsidR="00E82CE5" w:rsidRPr="00A773A7">
        <w:rPr>
          <w:rFonts w:cs="Arial"/>
        </w:rPr>
        <w:t>.</w:t>
      </w:r>
      <w:r w:rsidR="00315D0F" w:rsidRPr="00A773A7">
        <w:rPr>
          <w:rFonts w:cs="Arial"/>
        </w:rPr>
        <w:t xml:space="preserve"> </w:t>
      </w:r>
      <w:r w:rsidR="009C6B2A" w:rsidRPr="00A773A7">
        <w:rPr>
          <w:rFonts w:cs="Arial"/>
        </w:rPr>
        <w:t xml:space="preserve"> </w:t>
      </w:r>
      <w:r w:rsidR="00602EB8">
        <w:rPr>
          <w:rFonts w:cs="Arial"/>
        </w:rPr>
        <w:t>The presence</w:t>
      </w:r>
      <w:r w:rsidR="004F5C05" w:rsidRPr="00A773A7">
        <w:rPr>
          <w:rFonts w:cs="Arial"/>
        </w:rPr>
        <w:t xml:space="preserve"> of national airlines</w:t>
      </w:r>
      <w:r w:rsidR="00AD0991" w:rsidRPr="00A773A7">
        <w:rPr>
          <w:rFonts w:cs="Arial"/>
        </w:rPr>
        <w:t>, fostered by the nationality restrictions,</w:t>
      </w:r>
      <w:r w:rsidR="004F5C05" w:rsidRPr="00A773A7">
        <w:rPr>
          <w:rFonts w:cs="Arial"/>
        </w:rPr>
        <w:t xml:space="preserve"> has</w:t>
      </w:r>
      <w:r w:rsidR="00D15F39" w:rsidRPr="00A773A7">
        <w:rPr>
          <w:rFonts w:cs="Arial"/>
        </w:rPr>
        <w:t>, therefore,</w:t>
      </w:r>
      <w:r w:rsidR="004F5C05" w:rsidRPr="00A773A7">
        <w:rPr>
          <w:rFonts w:cs="Arial"/>
        </w:rPr>
        <w:t xml:space="preserve"> improved connectivity</w:t>
      </w:r>
      <w:r w:rsidR="00A03A53" w:rsidRPr="00A773A7">
        <w:rPr>
          <w:rFonts w:cs="Arial"/>
        </w:rPr>
        <w:t>.</w:t>
      </w:r>
      <w:r w:rsidR="00F55A8F" w:rsidRPr="00A773A7">
        <w:rPr>
          <w:rFonts w:cs="Arial"/>
        </w:rPr>
        <w:t xml:space="preserve"> </w:t>
      </w:r>
    </w:p>
    <w:p w:rsidR="004E545D" w:rsidRPr="00A773A7" w:rsidRDefault="00733718" w:rsidP="000E7C0E">
      <w:pPr>
        <w:rPr>
          <w:rFonts w:cs="Arial"/>
        </w:rPr>
      </w:pPr>
      <w:r w:rsidRPr="00A773A7">
        <w:rPr>
          <w:rFonts w:cs="Arial"/>
        </w:rPr>
        <w:t xml:space="preserve">Under normal market conditions, </w:t>
      </w:r>
      <w:r w:rsidR="00A03A53" w:rsidRPr="00A773A7">
        <w:rPr>
          <w:rFonts w:cs="Arial"/>
        </w:rPr>
        <w:t xml:space="preserve">connectivity and </w:t>
      </w:r>
      <w:r w:rsidR="00AD0991" w:rsidRPr="00A773A7">
        <w:rPr>
          <w:rFonts w:cs="Arial"/>
        </w:rPr>
        <w:t>regularity of service are</w:t>
      </w:r>
      <w:r w:rsidRPr="00A773A7">
        <w:rPr>
          <w:rFonts w:cs="Arial"/>
        </w:rPr>
        <w:t xml:space="preserve"> a function of demand</w:t>
      </w:r>
      <w:r w:rsidR="00AD0991" w:rsidRPr="00A773A7">
        <w:rPr>
          <w:rFonts w:cs="Arial"/>
        </w:rPr>
        <w:t>. This</w:t>
      </w:r>
      <w:r w:rsidR="00A03A53" w:rsidRPr="00A773A7">
        <w:rPr>
          <w:rFonts w:cs="Arial"/>
        </w:rPr>
        <w:t xml:space="preserve"> entails that</w:t>
      </w:r>
      <w:r w:rsidR="00AD0991" w:rsidRPr="00A773A7">
        <w:rPr>
          <w:rFonts w:cs="Arial"/>
        </w:rPr>
        <w:t>,</w:t>
      </w:r>
      <w:r w:rsidR="00A03A53" w:rsidRPr="00A773A7">
        <w:rPr>
          <w:rFonts w:cs="Arial"/>
        </w:rPr>
        <w:t xml:space="preserve"> </w:t>
      </w:r>
      <w:r w:rsidR="00AD0991" w:rsidRPr="00A773A7">
        <w:rPr>
          <w:rFonts w:cs="Arial"/>
        </w:rPr>
        <w:t>in the absence of demand, connectivity is disrupted, whilst demand</w:t>
      </w:r>
      <w:r w:rsidR="00A03A53" w:rsidRPr="00A773A7">
        <w:rPr>
          <w:rFonts w:cs="Arial"/>
        </w:rPr>
        <w:t xml:space="preserve"> </w:t>
      </w:r>
      <w:r w:rsidRPr="00A773A7">
        <w:rPr>
          <w:rFonts w:cs="Arial"/>
        </w:rPr>
        <w:t>fl</w:t>
      </w:r>
      <w:r w:rsidR="00A03A53" w:rsidRPr="00A773A7">
        <w:rPr>
          <w:rFonts w:cs="Arial"/>
        </w:rPr>
        <w:t>uctuation</w:t>
      </w:r>
      <w:r w:rsidR="00AD0991" w:rsidRPr="00A773A7">
        <w:rPr>
          <w:rFonts w:cs="Arial"/>
        </w:rPr>
        <w:t>s</w:t>
      </w:r>
      <w:r w:rsidR="00E44598" w:rsidRPr="00A773A7">
        <w:rPr>
          <w:rFonts w:cs="Arial"/>
        </w:rPr>
        <w:t xml:space="preserve"> </w:t>
      </w:r>
      <w:r w:rsidR="0044053D" w:rsidRPr="00A773A7">
        <w:rPr>
          <w:rFonts w:cs="Arial"/>
        </w:rPr>
        <w:t>affect</w:t>
      </w:r>
      <w:r w:rsidR="00A03A53" w:rsidRPr="00A773A7">
        <w:rPr>
          <w:rFonts w:cs="Arial"/>
        </w:rPr>
        <w:t xml:space="preserve"> </w:t>
      </w:r>
      <w:r w:rsidRPr="00A773A7">
        <w:rPr>
          <w:rFonts w:cs="Arial"/>
        </w:rPr>
        <w:t>continuity of service.</w:t>
      </w:r>
      <w:r w:rsidR="005F4C7E" w:rsidRPr="00A773A7">
        <w:rPr>
          <w:rFonts w:cs="Arial"/>
        </w:rPr>
        <w:t xml:space="preserve"> T</w:t>
      </w:r>
      <w:r w:rsidR="004F5C05" w:rsidRPr="00A773A7">
        <w:rPr>
          <w:rFonts w:cs="Arial"/>
        </w:rPr>
        <w:t xml:space="preserve">his can prove problematic in cases where </w:t>
      </w:r>
      <w:r w:rsidR="00F539A4" w:rsidRPr="00A773A7">
        <w:rPr>
          <w:rFonts w:cs="Arial"/>
        </w:rPr>
        <w:t>a State’s geographical remoteness, insularity</w:t>
      </w:r>
      <w:r w:rsidR="00905761" w:rsidRPr="00A773A7">
        <w:rPr>
          <w:rFonts w:cs="Arial"/>
        </w:rPr>
        <w:t xml:space="preserve"> or other peculiarity </w:t>
      </w:r>
      <w:r w:rsidR="0038748D" w:rsidRPr="00A773A7">
        <w:rPr>
          <w:rFonts w:cs="Arial"/>
        </w:rPr>
        <w:t xml:space="preserve">does not justify the provision of services on commercial grounds. </w:t>
      </w:r>
      <w:r w:rsidR="00F93011" w:rsidRPr="00A773A7">
        <w:rPr>
          <w:rFonts w:cs="Arial"/>
        </w:rPr>
        <w:t xml:space="preserve">In such cases, </w:t>
      </w:r>
      <w:r w:rsidR="0087496D" w:rsidRPr="00A773A7">
        <w:rPr>
          <w:rFonts w:cs="Arial"/>
        </w:rPr>
        <w:t>connectivity and regularity</w:t>
      </w:r>
      <w:r w:rsidR="00E44598" w:rsidRPr="00A773A7">
        <w:rPr>
          <w:rFonts w:cs="Arial"/>
        </w:rPr>
        <w:t xml:space="preserve"> of service can only be safeguarded</w:t>
      </w:r>
      <w:r w:rsidR="0087496D" w:rsidRPr="00A773A7">
        <w:rPr>
          <w:rFonts w:cs="Arial"/>
        </w:rPr>
        <w:t xml:space="preserve"> by means of public service obligations imposed on airlines for</w:t>
      </w:r>
      <w:r w:rsidR="00F93011" w:rsidRPr="00A773A7">
        <w:rPr>
          <w:rFonts w:cs="Arial"/>
        </w:rPr>
        <w:t xml:space="preserve"> the provision of services of general economic interest</w:t>
      </w:r>
      <w:r w:rsidR="0087496D" w:rsidRPr="00A773A7">
        <w:rPr>
          <w:rFonts w:cs="Arial"/>
        </w:rPr>
        <w:t>.</w:t>
      </w:r>
      <w:r w:rsidR="004A471A" w:rsidRPr="00A773A7">
        <w:rPr>
          <w:rFonts w:cs="Arial"/>
        </w:rPr>
        <w:t xml:space="preserve"> Although public service obligations can be imposed on national and foreign </w:t>
      </w:r>
      <w:r w:rsidR="00204AFE" w:rsidRPr="00A773A7">
        <w:rPr>
          <w:rFonts w:cs="Arial"/>
        </w:rPr>
        <w:t xml:space="preserve">airlines alike, the likelihood </w:t>
      </w:r>
      <w:r w:rsidR="004A471A" w:rsidRPr="00A773A7">
        <w:rPr>
          <w:rFonts w:cs="Arial"/>
        </w:rPr>
        <w:t xml:space="preserve">cannot be excluded that </w:t>
      </w:r>
      <w:r w:rsidR="00204AFE" w:rsidRPr="00A773A7">
        <w:rPr>
          <w:rFonts w:cs="Arial"/>
        </w:rPr>
        <w:t xml:space="preserve">the provision of air transport </w:t>
      </w:r>
      <w:r w:rsidR="00312B4C" w:rsidRPr="00A773A7">
        <w:rPr>
          <w:rFonts w:cs="Arial"/>
        </w:rPr>
        <w:t>service</w:t>
      </w:r>
      <w:r w:rsidR="00204AFE" w:rsidRPr="00A773A7">
        <w:rPr>
          <w:rFonts w:cs="Arial"/>
        </w:rPr>
        <w:t>s is altogether disrupted</w:t>
      </w:r>
      <w:r w:rsidR="002734F6" w:rsidRPr="00A773A7">
        <w:rPr>
          <w:rFonts w:cs="Arial"/>
        </w:rPr>
        <w:t xml:space="preserve"> in a Stat</w:t>
      </w:r>
      <w:r w:rsidR="00204AFE" w:rsidRPr="00A773A7">
        <w:rPr>
          <w:rFonts w:cs="Arial"/>
        </w:rPr>
        <w:t xml:space="preserve">e, </w:t>
      </w:r>
      <w:r w:rsidR="00D9214D" w:rsidRPr="00A773A7">
        <w:rPr>
          <w:rFonts w:cs="Arial"/>
        </w:rPr>
        <w:t xml:space="preserve">even temporarily, </w:t>
      </w:r>
      <w:r w:rsidR="00204AFE" w:rsidRPr="00A773A7">
        <w:rPr>
          <w:rFonts w:cs="Arial"/>
        </w:rPr>
        <w:t xml:space="preserve">for instance due to </w:t>
      </w:r>
      <w:r w:rsidR="005B0824" w:rsidRPr="00A773A7">
        <w:rPr>
          <w:rFonts w:cs="Arial"/>
        </w:rPr>
        <w:t xml:space="preserve">airline </w:t>
      </w:r>
      <w:r w:rsidR="00204AFE" w:rsidRPr="00A773A7">
        <w:rPr>
          <w:rFonts w:cs="Arial"/>
        </w:rPr>
        <w:t>bankruptcie</w:t>
      </w:r>
      <w:r w:rsidR="00FE768F" w:rsidRPr="00A773A7">
        <w:rPr>
          <w:rFonts w:cs="Arial"/>
        </w:rPr>
        <w:t>s or at periods of hostilities. States, therefore, might have a strong interest in</w:t>
      </w:r>
      <w:r w:rsidR="009E5E04" w:rsidRPr="00A773A7">
        <w:rPr>
          <w:rFonts w:cs="Arial"/>
        </w:rPr>
        <w:t xml:space="preserve"> the permanent presence and operation of a </w:t>
      </w:r>
      <w:r w:rsidR="00D9214D" w:rsidRPr="00A773A7">
        <w:rPr>
          <w:rFonts w:cs="Arial"/>
        </w:rPr>
        <w:t>national airline</w:t>
      </w:r>
      <w:r w:rsidR="009E5E04" w:rsidRPr="00A773A7">
        <w:rPr>
          <w:rFonts w:cs="Arial"/>
        </w:rPr>
        <w:t xml:space="preserve"> on which they can rely for the provision of services of general economic interest.</w:t>
      </w:r>
      <w:r w:rsidR="004E545D" w:rsidRPr="00A773A7">
        <w:rPr>
          <w:rFonts w:cs="Arial"/>
        </w:rPr>
        <w:t xml:space="preserve"> </w:t>
      </w:r>
      <w:r w:rsidR="006D775E" w:rsidRPr="00A773A7">
        <w:rPr>
          <w:rFonts w:cs="Arial"/>
        </w:rPr>
        <w:t>I</w:t>
      </w:r>
      <w:r w:rsidR="004E545D" w:rsidRPr="00A773A7">
        <w:rPr>
          <w:rFonts w:cs="Arial"/>
        </w:rPr>
        <w:t xml:space="preserve">t has been argued that the requirement for continuity of services goes to the extent of creating a moral responsibility on States to provide aid and subsidies for their national carriers in order to ensure their sustainability. It also impels States to act as reinsurers of their airlines in order to keep </w:t>
      </w:r>
      <w:r w:rsidR="004E545D" w:rsidRPr="00A773A7">
        <w:rPr>
          <w:rFonts w:cs="Arial"/>
        </w:rPr>
        <w:lastRenderedPageBreak/>
        <w:t>them operating air services without being grounded for lack of insurance coverage.</w:t>
      </w:r>
      <w:r w:rsidR="004E545D" w:rsidRPr="00A773A7">
        <w:rPr>
          <w:vertAlign w:val="superscript"/>
        </w:rPr>
        <w:footnoteReference w:id="12"/>
      </w:r>
      <w:r w:rsidR="00B04394" w:rsidRPr="00A773A7">
        <w:rPr>
          <w:rFonts w:cs="Arial"/>
        </w:rPr>
        <w:t xml:space="preserve"> The public utility characteristics of civil aviation may, therefore, provide a reason behind the States’ attachment to nationality restrictions.</w:t>
      </w:r>
    </w:p>
    <w:p w:rsidR="000C4345" w:rsidRPr="00A773A7" w:rsidRDefault="00397068" w:rsidP="000E7C0E">
      <w:pPr>
        <w:rPr>
          <w:rFonts w:cs="Arial"/>
        </w:rPr>
      </w:pPr>
      <w:r w:rsidRPr="00A773A7">
        <w:rPr>
          <w:rFonts w:cs="Arial"/>
        </w:rPr>
        <w:t>T</w:t>
      </w:r>
      <w:r w:rsidR="000C4345" w:rsidRPr="00A773A7">
        <w:rPr>
          <w:rFonts w:cs="Arial"/>
        </w:rPr>
        <w:t xml:space="preserve">he criterion of </w:t>
      </w:r>
      <w:r w:rsidR="00002B7B" w:rsidRPr="00A773A7">
        <w:rPr>
          <w:rFonts w:cs="Arial"/>
        </w:rPr>
        <w:t xml:space="preserve">operational and economic </w:t>
      </w:r>
      <w:r w:rsidRPr="00A773A7">
        <w:rPr>
          <w:rFonts w:cs="Arial"/>
        </w:rPr>
        <w:t>efficiency provides p</w:t>
      </w:r>
      <w:r w:rsidR="001B7168" w:rsidRPr="00A773A7">
        <w:rPr>
          <w:rFonts w:cs="Arial"/>
        </w:rPr>
        <w:t>erhaps the most compelling</w:t>
      </w:r>
      <w:r w:rsidR="00002B7B" w:rsidRPr="00A773A7">
        <w:rPr>
          <w:rFonts w:cs="Arial"/>
        </w:rPr>
        <w:t xml:space="preserve"> argum</w:t>
      </w:r>
      <w:r w:rsidRPr="00A773A7">
        <w:rPr>
          <w:rFonts w:cs="Arial"/>
        </w:rPr>
        <w:t>ent in favour of liberalisation</w:t>
      </w:r>
      <w:r w:rsidR="00566CF1" w:rsidRPr="00A773A7">
        <w:rPr>
          <w:rFonts w:cs="Arial"/>
        </w:rPr>
        <w:t xml:space="preserve">. Economic theory and empirical evidence have demonstrated </w:t>
      </w:r>
      <w:r w:rsidR="005B0824" w:rsidRPr="00A773A7">
        <w:rPr>
          <w:rFonts w:cs="Arial"/>
        </w:rPr>
        <w:t>the efficiencies</w:t>
      </w:r>
      <w:r w:rsidR="00566CF1" w:rsidRPr="00A773A7">
        <w:rPr>
          <w:rFonts w:cs="Arial"/>
        </w:rPr>
        <w:t xml:space="preserve"> </w:t>
      </w:r>
      <w:r w:rsidR="00002B7B" w:rsidRPr="00A773A7">
        <w:rPr>
          <w:rFonts w:cs="Arial"/>
        </w:rPr>
        <w:t xml:space="preserve">normally achieved when the market is opened up to competition. </w:t>
      </w:r>
      <w:r w:rsidR="00763E34" w:rsidRPr="00A773A7">
        <w:rPr>
          <w:rFonts w:cs="Arial"/>
        </w:rPr>
        <w:t>From a consumer welfare perspective, t</w:t>
      </w:r>
      <w:r w:rsidR="00B04B42" w:rsidRPr="00A773A7">
        <w:rPr>
          <w:rFonts w:cs="Arial"/>
        </w:rPr>
        <w:t xml:space="preserve">hese efficiencies translate </w:t>
      </w:r>
      <w:r w:rsidR="00DE5CCF" w:rsidRPr="00A773A7">
        <w:rPr>
          <w:rFonts w:cs="Arial"/>
        </w:rPr>
        <w:t xml:space="preserve">into enhanced </w:t>
      </w:r>
      <w:r w:rsidR="00B04B42" w:rsidRPr="00A773A7">
        <w:rPr>
          <w:rFonts w:cs="Arial"/>
        </w:rPr>
        <w:t xml:space="preserve">connectivity (more </w:t>
      </w:r>
      <w:r w:rsidR="00DE5CCF" w:rsidRPr="00A773A7">
        <w:rPr>
          <w:rFonts w:cs="Arial"/>
        </w:rPr>
        <w:t>routes and frequencies</w:t>
      </w:r>
      <w:r w:rsidR="00B04B42" w:rsidRPr="00A773A7">
        <w:rPr>
          <w:rFonts w:cs="Arial"/>
        </w:rPr>
        <w:t>)</w:t>
      </w:r>
      <w:r w:rsidR="00DE5CCF" w:rsidRPr="00A773A7">
        <w:rPr>
          <w:rFonts w:cs="Arial"/>
        </w:rPr>
        <w:t>, better quality of service</w:t>
      </w:r>
      <w:r w:rsidR="00A11699" w:rsidRPr="00A773A7">
        <w:rPr>
          <w:rFonts w:cs="Arial"/>
        </w:rPr>
        <w:t>,</w:t>
      </w:r>
      <w:r w:rsidR="005D13A3" w:rsidRPr="00A773A7">
        <w:rPr>
          <w:rFonts w:cs="Arial"/>
        </w:rPr>
        <w:t xml:space="preserve"> </w:t>
      </w:r>
      <w:r w:rsidR="00B04B42" w:rsidRPr="00A773A7">
        <w:rPr>
          <w:rFonts w:cs="Arial"/>
        </w:rPr>
        <w:t xml:space="preserve">new products and services </w:t>
      </w:r>
      <w:r w:rsidR="005D13A3" w:rsidRPr="00A773A7">
        <w:rPr>
          <w:rFonts w:cs="Arial"/>
        </w:rPr>
        <w:t>and lower prices</w:t>
      </w:r>
      <w:r w:rsidR="00B04B42" w:rsidRPr="00A773A7">
        <w:rPr>
          <w:rFonts w:cs="Arial"/>
        </w:rPr>
        <w:t>.</w:t>
      </w:r>
      <w:r w:rsidR="00B63E02" w:rsidRPr="00A773A7">
        <w:rPr>
          <w:rFonts w:cs="Arial"/>
        </w:rPr>
        <w:t xml:space="preserve"> </w:t>
      </w:r>
      <w:r w:rsidR="00763E34" w:rsidRPr="00A773A7">
        <w:rPr>
          <w:rFonts w:cs="Arial"/>
        </w:rPr>
        <w:t>From a</w:t>
      </w:r>
      <w:r w:rsidR="00E84C7B" w:rsidRPr="00A773A7">
        <w:rPr>
          <w:rFonts w:cs="Arial"/>
        </w:rPr>
        <w:t xml:space="preserve"> producer welfare perspective,</w:t>
      </w:r>
      <w:r w:rsidR="008E181B" w:rsidRPr="00A773A7">
        <w:rPr>
          <w:rFonts w:cs="Arial"/>
        </w:rPr>
        <w:t xml:space="preserve"> cross-border airline investment</w:t>
      </w:r>
      <w:r w:rsidR="00C973CA" w:rsidRPr="00A773A7">
        <w:rPr>
          <w:rFonts w:cs="Arial"/>
        </w:rPr>
        <w:t xml:space="preserve"> amounts</w:t>
      </w:r>
      <w:r w:rsidR="00763E34" w:rsidRPr="00A773A7">
        <w:rPr>
          <w:rFonts w:cs="Arial"/>
        </w:rPr>
        <w:t xml:space="preserve"> to </w:t>
      </w:r>
      <w:r w:rsidR="0012392B" w:rsidRPr="00A773A7">
        <w:rPr>
          <w:rFonts w:cs="Arial"/>
        </w:rPr>
        <w:t>lower costs and hig</w:t>
      </w:r>
      <w:r w:rsidR="00546FAC" w:rsidRPr="00A773A7">
        <w:rPr>
          <w:rFonts w:cs="Arial"/>
        </w:rPr>
        <w:t>her profits as an outcome</w:t>
      </w:r>
      <w:r w:rsidR="0012392B" w:rsidRPr="00A773A7">
        <w:rPr>
          <w:rFonts w:cs="Arial"/>
        </w:rPr>
        <w:t xml:space="preserve"> of </w:t>
      </w:r>
      <w:r w:rsidR="00763E34" w:rsidRPr="00A773A7">
        <w:rPr>
          <w:rFonts w:cs="Arial"/>
        </w:rPr>
        <w:t>consolidation and rationalisation.</w:t>
      </w:r>
      <w:r w:rsidR="00C973CA" w:rsidRPr="00A773A7">
        <w:rPr>
          <w:rFonts w:cs="Arial"/>
        </w:rPr>
        <w:t xml:space="preserve"> </w:t>
      </w:r>
    </w:p>
    <w:p w:rsidR="000C4345" w:rsidRPr="00A773A7" w:rsidRDefault="00652499" w:rsidP="000E7C0E">
      <w:pPr>
        <w:rPr>
          <w:rFonts w:cs="Arial"/>
        </w:rPr>
      </w:pPr>
      <w:r w:rsidRPr="00A773A7">
        <w:rPr>
          <w:rFonts w:cs="Arial"/>
        </w:rPr>
        <w:t xml:space="preserve">The economic rationale behind liberalisation has to be </w:t>
      </w:r>
      <w:r w:rsidR="00585A0E" w:rsidRPr="00A773A7">
        <w:rPr>
          <w:rFonts w:cs="Arial"/>
        </w:rPr>
        <w:t xml:space="preserve">seen in the light of the criterion of public security. </w:t>
      </w:r>
      <w:r w:rsidR="00DB2186" w:rsidRPr="00A773A7">
        <w:rPr>
          <w:rFonts w:cs="Arial"/>
        </w:rPr>
        <w:t xml:space="preserve">The association drawn in the Preamble to the Chicago Convention between international civil aviation and public security is </w:t>
      </w:r>
      <w:r w:rsidR="00BB69C2" w:rsidRPr="00A773A7">
        <w:rPr>
          <w:rFonts w:cs="Arial"/>
        </w:rPr>
        <w:t xml:space="preserve">perhaps what has mattered most in the States’ determination of </w:t>
      </w:r>
      <w:r w:rsidR="001233A3" w:rsidRPr="00A773A7">
        <w:rPr>
          <w:rFonts w:cs="Arial"/>
        </w:rPr>
        <w:t xml:space="preserve">the regulation and deregulation of the industry. </w:t>
      </w:r>
      <w:r w:rsidR="006302E8" w:rsidRPr="00A773A7">
        <w:rPr>
          <w:rFonts w:cs="Arial"/>
        </w:rPr>
        <w:t>For a long period</w:t>
      </w:r>
      <w:r w:rsidR="0038088B" w:rsidRPr="00A773A7">
        <w:rPr>
          <w:rFonts w:cs="Arial"/>
        </w:rPr>
        <w:t xml:space="preserve"> of time</w:t>
      </w:r>
      <w:r w:rsidR="002424BE" w:rsidRPr="00A773A7">
        <w:rPr>
          <w:rFonts w:cs="Arial"/>
        </w:rPr>
        <w:t>,</w:t>
      </w:r>
      <w:r w:rsidR="006302E8" w:rsidRPr="00A773A7">
        <w:rPr>
          <w:rFonts w:cs="Arial"/>
        </w:rPr>
        <w:t xml:space="preserve"> the discussion was </w:t>
      </w:r>
      <w:r w:rsidR="002424BE" w:rsidRPr="00A773A7">
        <w:rPr>
          <w:rFonts w:cs="Arial"/>
        </w:rPr>
        <w:t>centred</w:t>
      </w:r>
      <w:r w:rsidR="006302E8" w:rsidRPr="00A773A7">
        <w:rPr>
          <w:rFonts w:cs="Arial"/>
        </w:rPr>
        <w:t xml:space="preserve"> </w:t>
      </w:r>
      <w:proofErr w:type="gramStart"/>
      <w:r w:rsidR="006302E8" w:rsidRPr="00A773A7">
        <w:rPr>
          <w:rFonts w:cs="Arial"/>
        </w:rPr>
        <w:t>around</w:t>
      </w:r>
      <w:proofErr w:type="gramEnd"/>
      <w:r w:rsidR="0037183A" w:rsidRPr="00A773A7">
        <w:rPr>
          <w:rFonts w:cs="Arial"/>
        </w:rPr>
        <w:t xml:space="preserve"> </w:t>
      </w:r>
      <w:r w:rsidR="006302E8" w:rsidRPr="00A773A7">
        <w:rPr>
          <w:rFonts w:cs="Arial"/>
        </w:rPr>
        <w:t xml:space="preserve">whether </w:t>
      </w:r>
      <w:r w:rsidR="002424BE" w:rsidRPr="00A773A7">
        <w:rPr>
          <w:rFonts w:cs="Arial"/>
        </w:rPr>
        <w:t>the relaxation o</w:t>
      </w:r>
      <w:r w:rsidR="00683763" w:rsidRPr="00A773A7">
        <w:rPr>
          <w:rFonts w:cs="Arial"/>
        </w:rPr>
        <w:t>f nationality restrictions could</w:t>
      </w:r>
      <w:r w:rsidR="0037183A" w:rsidRPr="00A773A7">
        <w:rPr>
          <w:rFonts w:cs="Arial"/>
        </w:rPr>
        <w:t xml:space="preserve">, in a time of war, </w:t>
      </w:r>
      <w:r w:rsidR="00683763" w:rsidRPr="00A773A7">
        <w:rPr>
          <w:rFonts w:cs="Arial"/>
        </w:rPr>
        <w:t>dep</w:t>
      </w:r>
      <w:r w:rsidR="0037183A" w:rsidRPr="00A773A7">
        <w:rPr>
          <w:rFonts w:cs="Arial"/>
        </w:rPr>
        <w:t xml:space="preserve">rive States from </w:t>
      </w:r>
      <w:r w:rsidR="00A0598F" w:rsidRPr="00A773A7">
        <w:rPr>
          <w:rFonts w:cs="Arial"/>
        </w:rPr>
        <w:t>having access to</w:t>
      </w:r>
      <w:r w:rsidR="0037183A" w:rsidRPr="00A773A7">
        <w:rPr>
          <w:rFonts w:cs="Arial"/>
        </w:rPr>
        <w:t xml:space="preserve"> civilian aircraft to increase the military’s </w:t>
      </w:r>
      <w:r w:rsidR="00683763" w:rsidRPr="00A773A7">
        <w:rPr>
          <w:rFonts w:cs="Arial"/>
        </w:rPr>
        <w:t>airlift capacity</w:t>
      </w:r>
      <w:r w:rsidR="00A0598F" w:rsidRPr="00A773A7">
        <w:rPr>
          <w:rFonts w:cs="Arial"/>
        </w:rPr>
        <w:t xml:space="preserve"> -</w:t>
      </w:r>
      <w:r w:rsidR="00304A01">
        <w:rPr>
          <w:rFonts w:cs="Arial"/>
        </w:rPr>
        <w:t xml:space="preserve"> a possibility avoided</w:t>
      </w:r>
      <w:r w:rsidR="00EC414C" w:rsidRPr="00A773A7">
        <w:rPr>
          <w:rFonts w:cs="Arial"/>
        </w:rPr>
        <w:t xml:space="preserve"> by programmes such as t</w:t>
      </w:r>
      <w:r w:rsidR="002424BE" w:rsidRPr="00A773A7">
        <w:rPr>
          <w:rFonts w:cs="Arial"/>
        </w:rPr>
        <w:t xml:space="preserve">he </w:t>
      </w:r>
      <w:r w:rsidR="00683763" w:rsidRPr="00A773A7">
        <w:rPr>
          <w:rFonts w:cs="Arial"/>
        </w:rPr>
        <w:t xml:space="preserve">US </w:t>
      </w:r>
      <w:r w:rsidR="002424BE" w:rsidRPr="00A773A7">
        <w:rPr>
          <w:rFonts w:cs="Arial"/>
        </w:rPr>
        <w:t xml:space="preserve">Civil Reserve Air Fleet (CRAF) </w:t>
      </w:r>
      <w:r w:rsidR="00683763" w:rsidRPr="00A773A7">
        <w:rPr>
          <w:rFonts w:cs="Arial"/>
        </w:rPr>
        <w:t>programme</w:t>
      </w:r>
      <w:r w:rsidR="00EC414C" w:rsidRPr="00A773A7">
        <w:rPr>
          <w:rFonts w:cs="Arial"/>
        </w:rPr>
        <w:t>.</w:t>
      </w:r>
      <w:r w:rsidR="00A873C4" w:rsidRPr="00A773A7">
        <w:rPr>
          <w:rStyle w:val="FootnoteReference"/>
          <w:rFonts w:cs="Arial"/>
        </w:rPr>
        <w:footnoteReference w:id="13"/>
      </w:r>
      <w:r w:rsidR="00CA4B33" w:rsidRPr="00A773A7">
        <w:rPr>
          <w:rFonts w:cs="Arial"/>
        </w:rPr>
        <w:t xml:space="preserve"> </w:t>
      </w:r>
      <w:r w:rsidR="0013131E" w:rsidRPr="00A773A7">
        <w:rPr>
          <w:rFonts w:cs="Arial"/>
        </w:rPr>
        <w:t>Current e</w:t>
      </w:r>
      <w:r w:rsidR="00CA4B33" w:rsidRPr="00A773A7">
        <w:rPr>
          <w:rFonts w:cs="Arial"/>
        </w:rPr>
        <w:t>conomi</w:t>
      </w:r>
      <w:r w:rsidR="00062501" w:rsidRPr="00A773A7">
        <w:rPr>
          <w:rFonts w:cs="Arial"/>
        </w:rPr>
        <w:t>c reality seems to have softened</w:t>
      </w:r>
      <w:r w:rsidR="00CA4B33" w:rsidRPr="00A773A7">
        <w:rPr>
          <w:rFonts w:cs="Arial"/>
        </w:rPr>
        <w:t xml:space="preserve"> these concerns, </w:t>
      </w:r>
      <w:r w:rsidR="0013131E" w:rsidRPr="00A773A7">
        <w:rPr>
          <w:rFonts w:cs="Arial"/>
        </w:rPr>
        <w:t>shifting the focus</w:t>
      </w:r>
      <w:r w:rsidR="00304A01">
        <w:rPr>
          <w:rFonts w:cs="Arial"/>
        </w:rPr>
        <w:t xml:space="preserve"> to</w:t>
      </w:r>
      <w:r w:rsidR="009B6C52" w:rsidRPr="00A773A7">
        <w:rPr>
          <w:rFonts w:cs="Arial"/>
        </w:rPr>
        <w:t xml:space="preserve"> connectivity and fair competition.</w:t>
      </w:r>
      <w:r w:rsidR="00390C4D" w:rsidRPr="00A773A7">
        <w:rPr>
          <w:rFonts w:cs="Arial"/>
        </w:rPr>
        <w:t xml:space="preserve"> </w:t>
      </w:r>
      <w:r w:rsidR="00AE2E19" w:rsidRPr="00A773A7">
        <w:rPr>
          <w:rFonts w:cs="Arial"/>
        </w:rPr>
        <w:t>Nevertheless, considering that the</w:t>
      </w:r>
      <w:r w:rsidR="00304A01">
        <w:rPr>
          <w:rFonts w:cs="Arial"/>
        </w:rPr>
        <w:t xml:space="preserve"> issue of liberalisation will</w:t>
      </w:r>
      <w:r w:rsidR="00AE2E19" w:rsidRPr="00A773A7">
        <w:rPr>
          <w:rFonts w:cs="Arial"/>
        </w:rPr>
        <w:t xml:space="preserve"> eventually </w:t>
      </w:r>
      <w:r w:rsidR="00304A01">
        <w:rPr>
          <w:rFonts w:cs="Arial"/>
        </w:rPr>
        <w:t xml:space="preserve">be </w:t>
      </w:r>
      <w:r w:rsidR="00AE2E19" w:rsidRPr="00A773A7">
        <w:rPr>
          <w:rFonts w:cs="Arial"/>
        </w:rPr>
        <w:t xml:space="preserve">decided at political level, the public utility characteristics of civil aviation are expected to influence the path to liberalisation. </w:t>
      </w:r>
      <w:r w:rsidR="00647551" w:rsidRPr="00A773A7">
        <w:rPr>
          <w:rFonts w:cs="Arial"/>
        </w:rPr>
        <w:t>Keeping these considerations in mind, it is worth examining how the law could best accommodate liberalisation of international civil aviation.</w:t>
      </w:r>
    </w:p>
    <w:p w:rsidR="002528CC" w:rsidRPr="00A773A7" w:rsidRDefault="002528CC" w:rsidP="000E7C0E">
      <w:pPr>
        <w:rPr>
          <w:rFonts w:cs="Arial"/>
          <w:b/>
        </w:rPr>
      </w:pPr>
      <w:r w:rsidRPr="00A773A7">
        <w:rPr>
          <w:rFonts w:cs="Arial"/>
          <w:b/>
        </w:rPr>
        <w:t>3. Legal paths to liberalisation</w:t>
      </w:r>
      <w:r w:rsidR="00AA6A8F" w:rsidRPr="00A773A7">
        <w:rPr>
          <w:rFonts w:cs="Arial"/>
          <w:b/>
        </w:rPr>
        <w:t xml:space="preserve"> of international civil aviation</w:t>
      </w:r>
    </w:p>
    <w:p w:rsidR="002528CC" w:rsidRPr="00A773A7" w:rsidRDefault="00A9196B" w:rsidP="000E7C0E">
      <w:pPr>
        <w:rPr>
          <w:rFonts w:cs="Arial"/>
          <w:b/>
        </w:rPr>
      </w:pPr>
      <w:r>
        <w:rPr>
          <w:rFonts w:cs="Arial"/>
          <w:b/>
        </w:rPr>
        <w:t>3.1. Including market access</w:t>
      </w:r>
      <w:r w:rsidR="000D5DB1" w:rsidRPr="00A773A7">
        <w:rPr>
          <w:rFonts w:cs="Arial"/>
          <w:b/>
        </w:rPr>
        <w:t xml:space="preserve"> in the</w:t>
      </w:r>
      <w:r w:rsidR="002528CC" w:rsidRPr="00A773A7">
        <w:rPr>
          <w:rFonts w:cs="Arial"/>
          <w:b/>
        </w:rPr>
        <w:t xml:space="preserve"> WTO GATS</w:t>
      </w:r>
      <w:r w:rsidR="000D5DB1" w:rsidRPr="00A773A7">
        <w:rPr>
          <w:rFonts w:cs="Arial"/>
          <w:b/>
        </w:rPr>
        <w:t xml:space="preserve"> </w:t>
      </w:r>
      <w:r w:rsidR="006F3B56" w:rsidRPr="00A773A7">
        <w:rPr>
          <w:rFonts w:cs="Arial"/>
          <w:b/>
        </w:rPr>
        <w:t xml:space="preserve">Annex on </w:t>
      </w:r>
      <w:r w:rsidR="000D5DB1" w:rsidRPr="00A773A7">
        <w:rPr>
          <w:rFonts w:cs="Arial"/>
          <w:b/>
        </w:rPr>
        <w:t xml:space="preserve">Air Transport </w:t>
      </w:r>
      <w:r w:rsidR="006F3B56" w:rsidRPr="00A773A7">
        <w:rPr>
          <w:rFonts w:cs="Arial"/>
          <w:b/>
        </w:rPr>
        <w:t>Services</w:t>
      </w:r>
      <w:r w:rsidR="000D5DB1" w:rsidRPr="00A773A7">
        <w:rPr>
          <w:rFonts w:cs="Arial"/>
          <w:b/>
        </w:rPr>
        <w:t xml:space="preserve"> </w:t>
      </w:r>
      <w:r w:rsidR="002528CC" w:rsidRPr="00A773A7">
        <w:rPr>
          <w:rFonts w:cs="Arial"/>
          <w:b/>
        </w:rPr>
        <w:t xml:space="preserve"> </w:t>
      </w:r>
    </w:p>
    <w:p w:rsidR="00F806B4" w:rsidRPr="00A773A7" w:rsidRDefault="00F32E5C" w:rsidP="000E7C0E">
      <w:pPr>
        <w:spacing w:after="0"/>
      </w:pPr>
      <w:r w:rsidRPr="00A773A7">
        <w:t xml:space="preserve">The </w:t>
      </w:r>
      <w:r w:rsidR="002B46BE" w:rsidRPr="00A773A7">
        <w:t xml:space="preserve">dual </w:t>
      </w:r>
      <w:r w:rsidRPr="00A773A7">
        <w:t>nature of air transport as a public utility and a commercial activity</w:t>
      </w:r>
      <w:r w:rsidR="00D024D0" w:rsidRPr="00A773A7">
        <w:t xml:space="preserve"> raises</w:t>
      </w:r>
      <w:r w:rsidRPr="00A773A7">
        <w:t xml:space="preserve"> the question of whether market access in air transport should be brought under the purview of the WTO General Agreement on Tr</w:t>
      </w:r>
      <w:r w:rsidR="007B7B8D" w:rsidRPr="00A773A7">
        <w:t>ade in Services</w:t>
      </w:r>
      <w:r w:rsidR="00F806B4" w:rsidRPr="00A773A7">
        <w:t xml:space="preserve"> (GATS).</w:t>
      </w:r>
      <w:r w:rsidR="00562744" w:rsidRPr="00A773A7">
        <w:t xml:space="preserve"> </w:t>
      </w:r>
      <w:r w:rsidR="00F806B4" w:rsidRPr="00A773A7">
        <w:t xml:space="preserve">The </w:t>
      </w:r>
      <w:r w:rsidR="00F806B4" w:rsidRPr="00A773A7">
        <w:rPr>
          <w:rFonts w:cs="Arial"/>
        </w:rPr>
        <w:t xml:space="preserve">GATS took effect in 1995 and is incorporated as one of the Annexes to the Agreement Establishing the World Trade Organisation (WTO). Air services are governed by a specific Annex of GATS, the Annex on Air Transport Services. </w:t>
      </w:r>
      <w:r w:rsidR="00B20C95" w:rsidRPr="00A773A7">
        <w:t xml:space="preserve">The Annex excludes from its scope the largest part of air transport services, namely traffic rights and services directly related to the exercise of traffic rights. </w:t>
      </w:r>
      <w:r w:rsidR="00D024D0" w:rsidRPr="00A773A7">
        <w:t xml:space="preserve">Its application is limited </w:t>
      </w:r>
      <w:r w:rsidR="00B20C95" w:rsidRPr="00A773A7">
        <w:t>to three ancillary services, namely, aircraft repair and mai</w:t>
      </w:r>
      <w:r w:rsidR="00D024D0" w:rsidRPr="00A773A7">
        <w:t>ntenance, selling and marketing</w:t>
      </w:r>
      <w:r w:rsidR="00B20C95" w:rsidRPr="00A773A7">
        <w:t xml:space="preserve"> </w:t>
      </w:r>
      <w:r w:rsidR="00B90580" w:rsidRPr="00A773A7">
        <w:t xml:space="preserve">of air transport </w:t>
      </w:r>
      <w:r w:rsidR="00B20C95" w:rsidRPr="00A773A7">
        <w:t>and computer reservation systems.</w:t>
      </w:r>
      <w:r w:rsidR="0001129C" w:rsidRPr="00A773A7">
        <w:rPr>
          <w:rStyle w:val="FootnoteReference"/>
        </w:rPr>
        <w:footnoteReference w:id="14"/>
      </w:r>
      <w:r w:rsidR="00B90580" w:rsidRPr="00A773A7">
        <w:t xml:space="preserve"> </w:t>
      </w:r>
    </w:p>
    <w:p w:rsidR="00F806B4" w:rsidRPr="00A773A7" w:rsidRDefault="00F806B4" w:rsidP="000E7C0E">
      <w:pPr>
        <w:spacing w:after="0"/>
      </w:pPr>
    </w:p>
    <w:p w:rsidR="006F0C5E" w:rsidRPr="00A773A7" w:rsidRDefault="00F806B4" w:rsidP="000E7C0E">
      <w:pPr>
        <w:spacing w:after="0"/>
      </w:pPr>
      <w:r w:rsidRPr="00A773A7">
        <w:lastRenderedPageBreak/>
        <w:t>T</w:t>
      </w:r>
      <w:r w:rsidR="0048477A" w:rsidRPr="00A773A7">
        <w:t>he reasons behind the very limited coverage of air transport services by the GATS, when the latter was finalised in late 1994, are linked to the historical regulat</w:t>
      </w:r>
      <w:r w:rsidR="002624CC" w:rsidRPr="00A773A7">
        <w:t>ion of the industry within the parameters</w:t>
      </w:r>
      <w:r w:rsidR="00FD0188" w:rsidRPr="00A773A7">
        <w:t xml:space="preserve"> of Chicago bilateralism</w:t>
      </w:r>
      <w:r w:rsidR="0048477A" w:rsidRPr="00A773A7">
        <w:t>.</w:t>
      </w:r>
      <w:r w:rsidR="006016F7" w:rsidRPr="00A773A7">
        <w:t xml:space="preserve"> At the time of the negotiations, it was recognised that the bilateral exchange of traffic rights on the basis of rec</w:t>
      </w:r>
      <w:r w:rsidR="0061578D" w:rsidRPr="00A773A7">
        <w:t xml:space="preserve">iprocal advantage </w:t>
      </w:r>
      <w:r w:rsidR="00FE0F15" w:rsidRPr="00A773A7">
        <w:t>had serve</w:t>
      </w:r>
      <w:r w:rsidR="003476EB" w:rsidRPr="00A773A7">
        <w:t>d the needs of international civil aviation well. Moreove</w:t>
      </w:r>
      <w:r w:rsidR="009E0D50" w:rsidRPr="00A773A7">
        <w:t>r, it was considered that a</w:t>
      </w:r>
      <w:r w:rsidR="000B6D3C" w:rsidRPr="00A773A7">
        <w:t xml:space="preserve"> fundamental principle of the GATS system, namely the</w:t>
      </w:r>
      <w:r w:rsidR="003476EB" w:rsidRPr="00A773A7">
        <w:t xml:space="preserve"> </w:t>
      </w:r>
      <w:r w:rsidR="00F2148B" w:rsidRPr="00A773A7">
        <w:t>most-favoured nation (MFN) treatment</w:t>
      </w:r>
      <w:r w:rsidR="000B6D3C" w:rsidRPr="00A773A7">
        <w:t xml:space="preserve"> principle</w:t>
      </w:r>
      <w:r w:rsidR="009E0D50" w:rsidRPr="00A773A7">
        <w:t>, was at odds with bilateral reciprocity</w:t>
      </w:r>
      <w:r w:rsidR="000B6D3C" w:rsidRPr="00A773A7">
        <w:t>.</w:t>
      </w:r>
      <w:r w:rsidR="00337D54" w:rsidRPr="00A773A7">
        <w:t xml:space="preserve"> </w:t>
      </w:r>
      <w:r w:rsidR="009E0D50" w:rsidRPr="00A773A7">
        <w:t>Under the MFN principle</w:t>
      </w:r>
      <w:r w:rsidR="00491587" w:rsidRPr="00A773A7">
        <w:t>, each GATS Member State would have to accord immediately and unconditionally to services and service suppliers of any other Member State treatment no less favourable than it accorded to like services and service suppliers of any other country.</w:t>
      </w:r>
      <w:r w:rsidR="00491587" w:rsidRPr="00A773A7">
        <w:rPr>
          <w:rStyle w:val="FootnoteReference"/>
        </w:rPr>
        <w:footnoteReference w:id="15"/>
      </w:r>
      <w:r w:rsidR="005575AC" w:rsidRPr="00A773A7">
        <w:t xml:space="preserve"> </w:t>
      </w:r>
    </w:p>
    <w:p w:rsidR="006F0C5E" w:rsidRPr="00A773A7" w:rsidRDefault="006F0C5E" w:rsidP="000E7C0E">
      <w:pPr>
        <w:spacing w:after="0"/>
      </w:pPr>
    </w:p>
    <w:p w:rsidR="0025000B" w:rsidRPr="00A773A7" w:rsidRDefault="006F0C5E" w:rsidP="000E7C0E">
      <w:pPr>
        <w:spacing w:after="0"/>
      </w:pPr>
      <w:r w:rsidRPr="00A773A7">
        <w:t>Although the MFN principle appears to be an effective mechanism to</w:t>
      </w:r>
      <w:r w:rsidR="002977EE" w:rsidRPr="00A773A7">
        <w:t xml:space="preserve"> spread</w:t>
      </w:r>
      <w:r w:rsidRPr="00A773A7">
        <w:t xml:space="preserve"> liberalisation, since it universalises the most liberal concessions made to any other Member State of the GATS, in reality</w:t>
      </w:r>
      <w:r w:rsidR="00B051FD" w:rsidRPr="00A773A7">
        <w:t xml:space="preserve">, if applied in a strict fashion, it </w:t>
      </w:r>
      <w:r w:rsidR="002977EE" w:rsidRPr="00A773A7">
        <w:t>has the opp</w:t>
      </w:r>
      <w:r w:rsidR="00304A01">
        <w:t>osite effect. This is because</w:t>
      </w:r>
      <w:r w:rsidR="002977EE" w:rsidRPr="00A773A7">
        <w:t xml:space="preserve"> of</w:t>
      </w:r>
      <w:r w:rsidR="00F4509A" w:rsidRPr="00A773A7">
        <w:t xml:space="preserve"> the “free rider” problem.</w:t>
      </w:r>
      <w:r w:rsidR="00F4509A" w:rsidRPr="00A773A7">
        <w:rPr>
          <w:rStyle w:val="FootnoteReference"/>
        </w:rPr>
        <w:footnoteReference w:id="16"/>
      </w:r>
      <w:r w:rsidR="002977EE" w:rsidRPr="00A773A7">
        <w:t xml:space="preserve"> </w:t>
      </w:r>
      <w:r w:rsidR="00162454" w:rsidRPr="00A773A7">
        <w:t>Without the requirement of reciprocity, free riders avail themselves of th</w:t>
      </w:r>
      <w:r w:rsidR="00C23B01" w:rsidRPr="00A773A7">
        <w:t>e most liberal concessions whilst keeping</w:t>
      </w:r>
      <w:r w:rsidR="00162454" w:rsidRPr="00A773A7">
        <w:t xml:space="preserve"> their </w:t>
      </w:r>
      <w:r w:rsidR="00FE74BF" w:rsidRPr="00A773A7">
        <w:t xml:space="preserve">own </w:t>
      </w:r>
      <w:r w:rsidR="00162454" w:rsidRPr="00A773A7">
        <w:t>markets</w:t>
      </w:r>
      <w:r w:rsidR="00C23B01" w:rsidRPr="00A773A7">
        <w:t xml:space="preserve"> closed</w:t>
      </w:r>
      <w:r w:rsidR="00162454" w:rsidRPr="00A773A7">
        <w:t>.</w:t>
      </w:r>
      <w:r w:rsidR="00FE74BF" w:rsidRPr="00A773A7">
        <w:t xml:space="preserve"> </w:t>
      </w:r>
      <w:r w:rsidR="00304A01">
        <w:t>Since</w:t>
      </w:r>
      <w:r w:rsidR="00C23B01" w:rsidRPr="00A773A7">
        <w:t xml:space="preserve"> the most liberal countries cannot use the concessions </w:t>
      </w:r>
      <w:r w:rsidR="003F6DBA" w:rsidRPr="00A773A7">
        <w:t>made as</w:t>
      </w:r>
      <w:r w:rsidR="00053784" w:rsidRPr="00A773A7">
        <w:t xml:space="preserve"> a</w:t>
      </w:r>
      <w:r w:rsidR="003F6DBA" w:rsidRPr="00A773A7">
        <w:t xml:space="preserve"> bargaining chip</w:t>
      </w:r>
      <w:r w:rsidR="00581CC9" w:rsidRPr="00A773A7">
        <w:t xml:space="preserve"> to obtain reciprocal treatment</w:t>
      </w:r>
      <w:r w:rsidR="003F6DBA" w:rsidRPr="00A773A7">
        <w:t>,</w:t>
      </w:r>
      <w:r w:rsidR="00581CC9" w:rsidRPr="00A773A7">
        <w:t xml:space="preserve"> liberalisation is stalled. What is more, liberalisation is stalled even</w:t>
      </w:r>
      <w:r w:rsidR="008B567B" w:rsidRPr="00A773A7">
        <w:t xml:space="preserve"> between like-minded States, which are obliged to settle for the lowest common denomin</w:t>
      </w:r>
      <w:r w:rsidR="00B7023C" w:rsidRPr="00A773A7">
        <w:t xml:space="preserve">ator, as determined by </w:t>
      </w:r>
      <w:r w:rsidR="003263FF" w:rsidRPr="00A773A7">
        <w:t xml:space="preserve">the </w:t>
      </w:r>
      <w:r w:rsidR="00B7023C" w:rsidRPr="00A773A7">
        <w:t xml:space="preserve">most </w:t>
      </w:r>
      <w:r w:rsidR="00C76185" w:rsidRPr="00A773A7">
        <w:t>conservative States.</w:t>
      </w:r>
    </w:p>
    <w:p w:rsidR="003263FF" w:rsidRPr="00A773A7" w:rsidRDefault="003263FF" w:rsidP="000E7C0E">
      <w:pPr>
        <w:spacing w:after="0"/>
      </w:pPr>
    </w:p>
    <w:p w:rsidR="00B90627" w:rsidRPr="00A773A7" w:rsidRDefault="004F7663" w:rsidP="000E7C0E">
      <w:pPr>
        <w:spacing w:after="0"/>
      </w:pPr>
      <w:r w:rsidRPr="00A773A7">
        <w:t>To tackle</w:t>
      </w:r>
      <w:r w:rsidR="004F5CF7" w:rsidRPr="00A773A7">
        <w:t xml:space="preserve"> </w:t>
      </w:r>
      <w:r w:rsidR="0029730B" w:rsidRPr="00A773A7">
        <w:t xml:space="preserve">the </w:t>
      </w:r>
      <w:r w:rsidR="004F5CF7" w:rsidRPr="00A773A7">
        <w:t>“free rider”</w:t>
      </w:r>
      <w:r w:rsidRPr="00A773A7">
        <w:t xml:space="preserve"> problem</w:t>
      </w:r>
      <w:r w:rsidR="009940FA" w:rsidRPr="00A773A7">
        <w:t xml:space="preserve">, the GATS </w:t>
      </w:r>
      <w:r w:rsidR="0029730B" w:rsidRPr="00A773A7">
        <w:t>provided</w:t>
      </w:r>
      <w:r w:rsidR="00632D58" w:rsidRPr="00A773A7">
        <w:t xml:space="preserve"> for a mechanism</w:t>
      </w:r>
      <w:r w:rsidR="009940FA" w:rsidRPr="00A773A7">
        <w:t xml:space="preserve"> of exemptions from strict application of the MFN treatment principle. Member States were afforded the right to</w:t>
      </w:r>
      <w:r w:rsidR="00632D58" w:rsidRPr="00A773A7">
        <w:t xml:space="preserve"> maintain measures inconsistent with the MFN treatment principle</w:t>
      </w:r>
      <w:r w:rsidR="009940FA" w:rsidRPr="00A773A7">
        <w:t>,</w:t>
      </w:r>
      <w:r w:rsidR="00632D58" w:rsidRPr="00A773A7">
        <w:t xml:space="preserve"> pro</w:t>
      </w:r>
      <w:r w:rsidR="009940FA" w:rsidRPr="00A773A7">
        <w:t xml:space="preserve">vided that </w:t>
      </w:r>
      <w:r w:rsidR="006C1A2D" w:rsidRPr="00A773A7">
        <w:t>such measures</w:t>
      </w:r>
      <w:r w:rsidR="009940FA" w:rsidRPr="00A773A7">
        <w:t xml:space="preserve"> were covered in the lists of exemptions filed by each State at the </w:t>
      </w:r>
      <w:r w:rsidR="0021150C" w:rsidRPr="00A773A7">
        <w:t xml:space="preserve">conclusion of the </w:t>
      </w:r>
      <w:r w:rsidR="00303AC9">
        <w:t xml:space="preserve">Uruguay Round </w:t>
      </w:r>
      <w:r w:rsidR="00303AC9" w:rsidRPr="00303AC9">
        <w:t>negotiations</w:t>
      </w:r>
      <w:r w:rsidR="0021150C" w:rsidRPr="00A773A7">
        <w:t>.</w:t>
      </w:r>
      <w:r w:rsidR="000027E6" w:rsidRPr="00A773A7">
        <w:rPr>
          <w:rStyle w:val="FootnoteReference"/>
        </w:rPr>
        <w:footnoteReference w:id="17"/>
      </w:r>
      <w:r w:rsidR="00053784" w:rsidRPr="00A773A7">
        <w:t xml:space="preserve"> </w:t>
      </w:r>
      <w:r w:rsidR="005B4021" w:rsidRPr="00A773A7">
        <w:t>The MFN exemption mechanism appears to strike a balance between the free rider problem and the objective of trade liberalisation. By limiting the ti</w:t>
      </w:r>
      <w:r w:rsidR="00304A01">
        <w:t xml:space="preserve">me when exemptions can be filed  to </w:t>
      </w:r>
      <w:r w:rsidR="00333544" w:rsidRPr="00A773A7">
        <w:t>the date of entry into force</w:t>
      </w:r>
      <w:r w:rsidR="005B4021" w:rsidRPr="00A773A7">
        <w:t xml:space="preserve"> of the Agreement</w:t>
      </w:r>
      <w:r w:rsidR="00333544" w:rsidRPr="00A773A7">
        <w:t xml:space="preserve"> (or the date of accession</w:t>
      </w:r>
      <w:r w:rsidR="0022424A" w:rsidRPr="00A773A7">
        <w:t>, for newly acceding States</w:t>
      </w:r>
      <w:r w:rsidR="00333544" w:rsidRPr="00A773A7">
        <w:t>)</w:t>
      </w:r>
      <w:r w:rsidR="00953CC6" w:rsidRPr="00A773A7">
        <w:t>, the GATS aims to establish a baseline of liberalisation</w:t>
      </w:r>
      <w:r w:rsidR="00A337D6" w:rsidRPr="00A773A7">
        <w:t xml:space="preserve"> below which Member</w:t>
      </w:r>
      <w:r w:rsidR="00390EFF" w:rsidRPr="00A773A7">
        <w:t xml:space="preserve"> States are not permitted to go by introducing more restrictive measures. In this sense, the GATS </w:t>
      </w:r>
      <w:proofErr w:type="gramStart"/>
      <w:r w:rsidR="00390EFF" w:rsidRPr="00A773A7">
        <w:t>is</w:t>
      </w:r>
      <w:proofErr w:type="gramEnd"/>
      <w:r w:rsidR="00390EFF" w:rsidRPr="00A773A7">
        <w:t xml:space="preserve"> </w:t>
      </w:r>
      <w:r w:rsidR="00AF1C15" w:rsidRPr="00A773A7">
        <w:t>a “stand</w:t>
      </w:r>
      <w:r w:rsidR="00390EFF" w:rsidRPr="00A773A7">
        <w:t>still</w:t>
      </w:r>
      <w:r w:rsidR="00AF1C15" w:rsidRPr="00A773A7">
        <w:t>”</w:t>
      </w:r>
      <w:r w:rsidR="00390EFF" w:rsidRPr="00A773A7">
        <w:t xml:space="preserve"> agreement.</w:t>
      </w:r>
      <w:r w:rsidR="00390EFF" w:rsidRPr="00A773A7">
        <w:rPr>
          <w:rStyle w:val="FootnoteReference"/>
        </w:rPr>
        <w:footnoteReference w:id="18"/>
      </w:r>
      <w:r w:rsidR="00047A30" w:rsidRPr="00A773A7">
        <w:t xml:space="preserve"> I</w:t>
      </w:r>
      <w:r w:rsidR="00A173B5" w:rsidRPr="00A773A7">
        <w:t>n practice</w:t>
      </w:r>
      <w:r w:rsidR="00047A30" w:rsidRPr="00A773A7">
        <w:t>, however,</w:t>
      </w:r>
      <w:r w:rsidR="00A173B5" w:rsidRPr="00A773A7">
        <w:t xml:space="preserve"> the exemption mechanism is less rigid.</w:t>
      </w:r>
      <w:r w:rsidR="00333544" w:rsidRPr="00A773A7">
        <w:t xml:space="preserve"> </w:t>
      </w:r>
      <w:r w:rsidR="00A173B5" w:rsidRPr="00A773A7">
        <w:t>For instance, t</w:t>
      </w:r>
      <w:r w:rsidR="00947837" w:rsidRPr="00A773A7">
        <w:t xml:space="preserve">he very narrow scope of the GATS Annex on Air Transport Services </w:t>
      </w:r>
      <w:r w:rsidR="000A22DE" w:rsidRPr="00A773A7">
        <w:t>implie</w:t>
      </w:r>
      <w:r w:rsidR="00947837" w:rsidRPr="00A773A7">
        <w:t xml:space="preserve">s that, if additional measures are brought under its purview, States will be entitled to file </w:t>
      </w:r>
      <w:r w:rsidR="00ED7772">
        <w:t xml:space="preserve">new </w:t>
      </w:r>
      <w:r w:rsidR="00947837" w:rsidRPr="00A773A7">
        <w:t>MFN exempt</w:t>
      </w:r>
      <w:r w:rsidR="00384596" w:rsidRPr="00A773A7">
        <w:t>ions</w:t>
      </w:r>
      <w:r w:rsidR="000A22DE" w:rsidRPr="00A773A7">
        <w:t>.</w:t>
      </w:r>
      <w:r w:rsidR="000A22DE" w:rsidRPr="00A773A7">
        <w:rPr>
          <w:rStyle w:val="FootnoteReference"/>
        </w:rPr>
        <w:footnoteReference w:id="19"/>
      </w:r>
      <w:r w:rsidR="00B90627" w:rsidRPr="00A773A7">
        <w:t xml:space="preserve"> </w:t>
      </w:r>
      <w:r w:rsidR="00110EEC" w:rsidRPr="00A773A7">
        <w:t>Thus, r</w:t>
      </w:r>
      <w:r w:rsidR="006E6A1A" w:rsidRPr="00A773A7">
        <w:t>ather than setting the pace for</w:t>
      </w:r>
      <w:r w:rsidR="00103924" w:rsidRPr="00A773A7">
        <w:t xml:space="preserve"> market access libe</w:t>
      </w:r>
      <w:r w:rsidR="006E6A1A" w:rsidRPr="00A773A7">
        <w:t>rali</w:t>
      </w:r>
      <w:r w:rsidR="00D4447E" w:rsidRPr="00A773A7">
        <w:t xml:space="preserve">sation, the GATS </w:t>
      </w:r>
      <w:r w:rsidR="00335C83" w:rsidRPr="00A773A7">
        <w:t>admits of progressive liberalisation, whereby Member</w:t>
      </w:r>
      <w:r w:rsidR="002E30E8" w:rsidRPr="00A773A7">
        <w:t xml:space="preserve"> </w:t>
      </w:r>
      <w:r w:rsidR="00D4447E" w:rsidRPr="00A773A7">
        <w:t>States</w:t>
      </w:r>
      <w:r w:rsidR="00832986" w:rsidRPr="00A773A7">
        <w:t xml:space="preserve"> </w:t>
      </w:r>
      <w:r w:rsidR="00053784" w:rsidRPr="00A773A7">
        <w:t>are free to adjust liberalisation to their own circumstances.</w:t>
      </w:r>
    </w:p>
    <w:p w:rsidR="00B90627" w:rsidRPr="00A773A7" w:rsidRDefault="00B90627" w:rsidP="000E7C0E">
      <w:pPr>
        <w:spacing w:after="0"/>
      </w:pPr>
    </w:p>
    <w:p w:rsidR="00BE70B9" w:rsidRPr="00A773A7" w:rsidRDefault="00053784" w:rsidP="000E7C0E">
      <w:pPr>
        <w:spacing w:after="0"/>
      </w:pPr>
      <w:r w:rsidRPr="00A773A7">
        <w:t>T</w:t>
      </w:r>
      <w:r w:rsidR="00A70106" w:rsidRPr="00A773A7">
        <w:t>he same</w:t>
      </w:r>
      <w:r w:rsidRPr="00A773A7">
        <w:t xml:space="preserve"> </w:t>
      </w:r>
      <w:r w:rsidR="00BB20E0" w:rsidRPr="00A773A7">
        <w:t>logic runs through</w:t>
      </w:r>
      <w:r w:rsidR="00C53DDF" w:rsidRPr="00A773A7">
        <w:t xml:space="preserve"> another fundamental principle of the GATS, </w:t>
      </w:r>
      <w:r w:rsidR="005108F3" w:rsidRPr="00A773A7">
        <w:t xml:space="preserve">namely </w:t>
      </w:r>
      <w:r w:rsidR="00C53DDF" w:rsidRPr="00A773A7">
        <w:t xml:space="preserve">the national treatment </w:t>
      </w:r>
      <w:r w:rsidR="00A21494" w:rsidRPr="00A773A7">
        <w:t xml:space="preserve">(NT) </w:t>
      </w:r>
      <w:r w:rsidR="00C53DDF" w:rsidRPr="00A773A7">
        <w:t>principle.</w:t>
      </w:r>
      <w:r w:rsidR="00A21494" w:rsidRPr="00A773A7">
        <w:t xml:space="preserve"> </w:t>
      </w:r>
      <w:r w:rsidR="00A70106" w:rsidRPr="00A773A7">
        <w:t xml:space="preserve">Under the NT principle, Member States shall accord to services and service suppliers of any other Member, in respect of all measures affecting the supply of services, treatment </w:t>
      </w:r>
      <w:r w:rsidR="00A70106" w:rsidRPr="00A773A7">
        <w:lastRenderedPageBreak/>
        <w:t xml:space="preserve">no less favourable than that </w:t>
      </w:r>
      <w:r w:rsidR="00ED7772">
        <w:t xml:space="preserve">which </w:t>
      </w:r>
      <w:r w:rsidR="00A70106" w:rsidRPr="00A773A7">
        <w:t>they accord to their own services and service suppliers.</w:t>
      </w:r>
      <w:r w:rsidR="00A70106" w:rsidRPr="00A773A7">
        <w:rPr>
          <w:rStyle w:val="FootnoteReference"/>
        </w:rPr>
        <w:footnoteReference w:id="20"/>
      </w:r>
      <w:r w:rsidR="00A70106" w:rsidRPr="00A773A7">
        <w:t xml:space="preserve"> </w:t>
      </w:r>
      <w:r w:rsidR="00BB20E0" w:rsidRPr="00A773A7">
        <w:t>Unlike</w:t>
      </w:r>
      <w:r w:rsidR="00A21494" w:rsidRPr="00A773A7">
        <w:t xml:space="preserve"> </w:t>
      </w:r>
      <w:r w:rsidR="00B92FAD" w:rsidRPr="00A773A7">
        <w:t xml:space="preserve">the </w:t>
      </w:r>
      <w:r w:rsidR="00A21494" w:rsidRPr="00A773A7">
        <w:t>MFN treatment principle</w:t>
      </w:r>
      <w:r w:rsidR="00ED7772">
        <w:t>,</w:t>
      </w:r>
      <w:r w:rsidR="00965ED4" w:rsidRPr="00A773A7">
        <w:t xml:space="preserve"> which applies across the board</w:t>
      </w:r>
      <w:r w:rsidR="00BB20E0" w:rsidRPr="00A773A7">
        <w:t>,</w:t>
      </w:r>
      <w:r w:rsidR="00B92FAD" w:rsidRPr="00A773A7">
        <w:t xml:space="preserve"> the NT principl</w:t>
      </w:r>
      <w:r w:rsidR="00965ED4" w:rsidRPr="00A773A7">
        <w:t xml:space="preserve">e applies </w:t>
      </w:r>
      <w:r w:rsidR="00B92FAD" w:rsidRPr="00A773A7">
        <w:t>only</w:t>
      </w:r>
      <w:r w:rsidR="00A21494" w:rsidRPr="00A773A7">
        <w:t xml:space="preserve"> to th</w:t>
      </w:r>
      <w:r w:rsidR="00BB20E0" w:rsidRPr="00A773A7">
        <w:t>e sectors</w:t>
      </w:r>
      <w:r w:rsidR="00AC15C9" w:rsidRPr="00A773A7">
        <w:t xml:space="preserve"> singled out</w:t>
      </w:r>
      <w:r w:rsidR="00A21494" w:rsidRPr="00A773A7">
        <w:t xml:space="preserve"> </w:t>
      </w:r>
      <w:r w:rsidR="00BB20E0" w:rsidRPr="00A773A7">
        <w:t xml:space="preserve">by the Member States. </w:t>
      </w:r>
      <w:r w:rsidR="00FD701A" w:rsidRPr="00A773A7">
        <w:t>Moreover, NT is subject to</w:t>
      </w:r>
      <w:r w:rsidR="00010EB3" w:rsidRPr="00A773A7">
        <w:t xml:space="preserve"> </w:t>
      </w:r>
      <w:r w:rsidR="000447C2" w:rsidRPr="00A773A7">
        <w:t xml:space="preserve">the </w:t>
      </w:r>
      <w:r w:rsidR="00010EB3" w:rsidRPr="00A773A7">
        <w:t>Member States’</w:t>
      </w:r>
      <w:r w:rsidR="00594CD0" w:rsidRPr="00A773A7">
        <w:t xml:space="preserve"> </w:t>
      </w:r>
      <w:r w:rsidR="00B00781" w:rsidRPr="00A773A7">
        <w:t>condit</w:t>
      </w:r>
      <w:r w:rsidR="005C6490" w:rsidRPr="00A773A7">
        <w:t>ions and qualifications, which</w:t>
      </w:r>
      <w:r w:rsidR="00AF0FD2" w:rsidRPr="00A773A7">
        <w:t xml:space="preserve"> normally </w:t>
      </w:r>
      <w:r w:rsidR="005C6490" w:rsidRPr="00A773A7">
        <w:t xml:space="preserve">reflect </w:t>
      </w:r>
      <w:r w:rsidR="00AF0FD2" w:rsidRPr="00A773A7">
        <w:t>existi</w:t>
      </w:r>
      <w:r w:rsidR="00790556" w:rsidRPr="00A773A7">
        <w:t xml:space="preserve">ng restrictions in national </w:t>
      </w:r>
      <w:r w:rsidR="00AF0FD2" w:rsidRPr="00A773A7">
        <w:t>legislation, such as ownership and control limitations.</w:t>
      </w:r>
      <w:r w:rsidR="002134C6" w:rsidRPr="00A773A7">
        <w:t xml:space="preserve"> </w:t>
      </w:r>
      <w:r w:rsidR="005C6490" w:rsidRPr="00A773A7">
        <w:t xml:space="preserve">The assumption of </w:t>
      </w:r>
      <w:r w:rsidR="002134C6" w:rsidRPr="00A773A7">
        <w:t>NT commitme</w:t>
      </w:r>
      <w:r w:rsidR="005C6490" w:rsidRPr="00A773A7">
        <w:t xml:space="preserve">nts along these lines prevents the Member States from introducing stricter </w:t>
      </w:r>
      <w:r w:rsidR="00FD701A" w:rsidRPr="00A773A7">
        <w:t>measures</w:t>
      </w:r>
      <w:r w:rsidR="00F333EC" w:rsidRPr="00A773A7">
        <w:t xml:space="preserve"> in the future</w:t>
      </w:r>
      <w:r w:rsidR="00BE70B9" w:rsidRPr="00A773A7">
        <w:t>, therefore embedding</w:t>
      </w:r>
      <w:r w:rsidR="00010EB3" w:rsidRPr="00A773A7">
        <w:t xml:space="preserve"> a liberalisation </w:t>
      </w:r>
      <w:proofErr w:type="spellStart"/>
      <w:r w:rsidR="00010EB3" w:rsidRPr="00A773A7">
        <w:rPr>
          <w:i/>
        </w:rPr>
        <w:t>acquis</w:t>
      </w:r>
      <w:proofErr w:type="spellEnd"/>
      <w:r w:rsidR="00010EB3" w:rsidRPr="00A773A7">
        <w:t>.</w:t>
      </w:r>
      <w:r w:rsidR="005108F3" w:rsidRPr="00A773A7">
        <w:t xml:space="preserve"> </w:t>
      </w:r>
    </w:p>
    <w:p w:rsidR="00BB2650" w:rsidRPr="00A773A7" w:rsidRDefault="00BB2650" w:rsidP="000E7C0E">
      <w:pPr>
        <w:spacing w:after="0"/>
      </w:pPr>
    </w:p>
    <w:p w:rsidR="00C50E79" w:rsidRPr="00A773A7" w:rsidRDefault="00A93A45" w:rsidP="000E7C0E">
      <w:pPr>
        <w:spacing w:after="0"/>
      </w:pPr>
      <w:r w:rsidRPr="00A773A7">
        <w:t>T</w:t>
      </w:r>
      <w:r w:rsidR="00BB2650" w:rsidRPr="00A773A7">
        <w:t>he GATS system</w:t>
      </w:r>
      <w:r w:rsidRPr="00A773A7">
        <w:t xml:space="preserve"> appears to accommodate</w:t>
      </w:r>
      <w:r w:rsidR="00BB2650" w:rsidRPr="00A773A7">
        <w:t xml:space="preserve"> the Member States’ wish to be in control of the pace of liberalisation, whilst leaving room for</w:t>
      </w:r>
      <w:r w:rsidR="00F07CFB" w:rsidRPr="00A773A7">
        <w:t xml:space="preserve"> liberalisation to occur in a</w:t>
      </w:r>
      <w:r w:rsidRPr="00A773A7">
        <w:t>n</w:t>
      </w:r>
      <w:r w:rsidR="00BB2650" w:rsidRPr="00A773A7">
        <w:t xml:space="preserve"> organic </w:t>
      </w:r>
      <w:r w:rsidR="005137BE" w:rsidRPr="00A773A7">
        <w:t>manner</w:t>
      </w:r>
      <w:r w:rsidRPr="00A773A7">
        <w:t xml:space="preserve">. </w:t>
      </w:r>
      <w:r w:rsidR="00BB2650" w:rsidRPr="00A773A7">
        <w:t xml:space="preserve"> </w:t>
      </w:r>
      <w:r w:rsidRPr="00A773A7">
        <w:t xml:space="preserve">The legal stability and clarity achieved in this way </w:t>
      </w:r>
      <w:r w:rsidR="00971CB9" w:rsidRPr="00A773A7">
        <w:t>favours</w:t>
      </w:r>
      <w:r w:rsidRPr="00A773A7">
        <w:t xml:space="preserve"> </w:t>
      </w:r>
      <w:r w:rsidR="002E4EA1" w:rsidRPr="00A773A7">
        <w:t xml:space="preserve">market </w:t>
      </w:r>
      <w:r w:rsidRPr="00A773A7">
        <w:t>transactions</w:t>
      </w:r>
      <w:r w:rsidR="00971CB9" w:rsidRPr="00A773A7">
        <w:t xml:space="preserve">, </w:t>
      </w:r>
      <w:r w:rsidR="00B56C79" w:rsidRPr="00A773A7">
        <w:t xml:space="preserve">something </w:t>
      </w:r>
      <w:r w:rsidR="00971CB9" w:rsidRPr="00A773A7">
        <w:t>which</w:t>
      </w:r>
      <w:r w:rsidR="00B56C79" w:rsidRPr="00A773A7">
        <w:t>,</w:t>
      </w:r>
      <w:r w:rsidR="00971CB9" w:rsidRPr="00A773A7">
        <w:t xml:space="preserve"> in turn</w:t>
      </w:r>
      <w:r w:rsidR="00B56C79" w:rsidRPr="00A773A7">
        <w:t>,</w:t>
      </w:r>
      <w:r w:rsidR="00971CB9" w:rsidRPr="00A773A7">
        <w:t xml:space="preserve"> </w:t>
      </w:r>
      <w:r w:rsidR="0012418C" w:rsidRPr="00A773A7">
        <w:t>induce</w:t>
      </w:r>
      <w:r w:rsidR="00B56C79" w:rsidRPr="00A773A7">
        <w:t>s</w:t>
      </w:r>
      <w:r w:rsidR="000447C2" w:rsidRPr="00A773A7">
        <w:t xml:space="preserve"> liberalisation. This implies </w:t>
      </w:r>
      <w:r w:rsidR="005E445D" w:rsidRPr="00A773A7">
        <w:t xml:space="preserve">that, were market access </w:t>
      </w:r>
      <w:r w:rsidR="001F5599" w:rsidRPr="00A773A7">
        <w:t>in air transport to be brought under the purview of th</w:t>
      </w:r>
      <w:r w:rsidR="00296C7F" w:rsidRPr="00A773A7">
        <w:t>e GATS, liberalisation would be achieved in an incremental, as opposed to an automatic</w:t>
      </w:r>
      <w:r w:rsidR="005137BE" w:rsidRPr="00A773A7">
        <w:t>,</w:t>
      </w:r>
      <w:r w:rsidR="00296C7F" w:rsidRPr="00A773A7">
        <w:t xml:space="preserve"> way.</w:t>
      </w:r>
      <w:r w:rsidR="005137BE" w:rsidRPr="00A773A7">
        <w:t xml:space="preserve"> </w:t>
      </w:r>
      <w:r w:rsidR="00577E5F" w:rsidRPr="00A773A7">
        <w:t>Where a sector is covered by the GATS,</w:t>
      </w:r>
      <w:r w:rsidR="00E1393C" w:rsidRPr="00A773A7">
        <w:t xml:space="preserve"> </w:t>
      </w:r>
      <w:r w:rsidR="00577E5F" w:rsidRPr="00A773A7">
        <w:t>Member</w:t>
      </w:r>
      <w:r w:rsidR="00E1393C" w:rsidRPr="00A773A7">
        <w:t xml:space="preserve"> States </w:t>
      </w:r>
      <w:r w:rsidR="00577E5F" w:rsidRPr="00A773A7">
        <w:t xml:space="preserve">are authorised </w:t>
      </w:r>
      <w:r w:rsidR="00E1393C" w:rsidRPr="00A773A7">
        <w:t>to make specific commitments with re</w:t>
      </w:r>
      <w:r w:rsidR="00577E5F" w:rsidRPr="00A773A7">
        <w:t>spect to market access</w:t>
      </w:r>
      <w:r w:rsidR="00CC67BA" w:rsidRPr="00A773A7">
        <w:t>,</w:t>
      </w:r>
      <w:r w:rsidR="00653BCA" w:rsidRPr="00A773A7">
        <w:t xml:space="preserve"> by virtue of the GATS market access principle.</w:t>
      </w:r>
      <w:r w:rsidR="00DA21B8" w:rsidRPr="00A773A7">
        <w:rPr>
          <w:rStyle w:val="FootnoteReference"/>
        </w:rPr>
        <w:footnoteReference w:id="21"/>
      </w:r>
      <w:r w:rsidR="00CC67BA" w:rsidRPr="00A773A7">
        <w:t xml:space="preserve"> The GATS market access principle </w:t>
      </w:r>
      <w:r w:rsidR="00BE13E5" w:rsidRPr="00A773A7">
        <w:t>is an application of</w:t>
      </w:r>
      <w:r w:rsidR="00CC67BA" w:rsidRPr="00A773A7">
        <w:t xml:space="preserve"> the NT principle in the area of market access.</w:t>
      </w:r>
      <w:r w:rsidR="00C127DA" w:rsidRPr="00A773A7">
        <w:t xml:space="preserve"> </w:t>
      </w:r>
      <w:r w:rsidR="00C4018F" w:rsidRPr="00A773A7">
        <w:t>Therefor</w:t>
      </w:r>
      <w:r w:rsidR="0004490E" w:rsidRPr="00A773A7">
        <w:t xml:space="preserve">e, market access </w:t>
      </w:r>
      <w:r w:rsidR="00797DC1" w:rsidRPr="00A773A7">
        <w:t>is governed by the underlying GATS</w:t>
      </w:r>
      <w:r w:rsidR="0004490E" w:rsidRPr="00A773A7">
        <w:t xml:space="preserve"> logic of</w:t>
      </w:r>
      <w:r w:rsidR="00376B24" w:rsidRPr="00A773A7">
        <w:t xml:space="preserve"> progressive</w:t>
      </w:r>
      <w:r w:rsidR="0004490E" w:rsidRPr="00A773A7">
        <w:t xml:space="preserve"> liberalisation.</w:t>
      </w:r>
      <w:r w:rsidR="00ED7772">
        <w:t xml:space="preserve"> H</w:t>
      </w:r>
      <w:r w:rsidR="00251052" w:rsidRPr="00A773A7">
        <w:t>owever,</w:t>
      </w:r>
      <w:r w:rsidR="001F30E1" w:rsidRPr="00A773A7">
        <w:t xml:space="preserve"> </w:t>
      </w:r>
      <w:r w:rsidR="00ED7772">
        <w:t xml:space="preserve">in areas </w:t>
      </w:r>
      <w:r w:rsidR="001F30E1" w:rsidRPr="00A773A7">
        <w:t xml:space="preserve">falling outside the </w:t>
      </w:r>
      <w:r w:rsidR="00C06BD8" w:rsidRPr="00A773A7">
        <w:t xml:space="preserve">GATS </w:t>
      </w:r>
      <w:r w:rsidR="001F30E1" w:rsidRPr="00A773A7">
        <w:t>mark</w:t>
      </w:r>
      <w:r w:rsidR="00C06BD8" w:rsidRPr="00A773A7">
        <w:t>et access and NT provisions</w:t>
      </w:r>
      <w:r w:rsidR="00251052" w:rsidRPr="00A773A7">
        <w:t xml:space="preserve"> (e.g. competition)</w:t>
      </w:r>
      <w:proofErr w:type="gramStart"/>
      <w:r w:rsidR="00C06BD8" w:rsidRPr="00A773A7">
        <w:t>,</w:t>
      </w:r>
      <w:proofErr w:type="gramEnd"/>
      <w:r w:rsidR="001F30E1" w:rsidRPr="00A773A7">
        <w:t xml:space="preserve"> the Member States</w:t>
      </w:r>
      <w:r w:rsidR="0004490E" w:rsidRPr="00A773A7">
        <w:t xml:space="preserve"> </w:t>
      </w:r>
      <w:r w:rsidR="00807615" w:rsidRPr="00A773A7">
        <w:t>are free to undertake</w:t>
      </w:r>
      <w:r w:rsidR="001F30E1" w:rsidRPr="00A773A7">
        <w:t xml:space="preserve"> additional commitments</w:t>
      </w:r>
      <w:r w:rsidR="00251052" w:rsidRPr="00A773A7">
        <w:t xml:space="preserve">. </w:t>
      </w:r>
      <w:r w:rsidR="00EF0AB9" w:rsidRPr="00A773A7">
        <w:t>A</w:t>
      </w:r>
      <w:r w:rsidR="00320CCC" w:rsidRPr="00A773A7">
        <w:t xml:space="preserve"> </w:t>
      </w:r>
      <w:r w:rsidR="00790986" w:rsidRPr="00A773A7">
        <w:t xml:space="preserve">proactive Member State approach </w:t>
      </w:r>
      <w:r w:rsidR="00320CCC" w:rsidRPr="00A773A7">
        <w:t>in areas where there is scope for regulatory convergence induce</w:t>
      </w:r>
      <w:r w:rsidR="00F75810" w:rsidRPr="00A773A7">
        <w:t>s market access liberalisation, but remain</w:t>
      </w:r>
      <w:r w:rsidR="00761C7F" w:rsidRPr="00A773A7">
        <w:t>s, ultimately,</w:t>
      </w:r>
      <w:r w:rsidR="00F75810" w:rsidRPr="00A773A7">
        <w:t xml:space="preserve"> an issue of Member State discretion.</w:t>
      </w:r>
    </w:p>
    <w:p w:rsidR="00C50E79" w:rsidRPr="00A773A7" w:rsidRDefault="00C50E79" w:rsidP="000E7C0E">
      <w:pPr>
        <w:spacing w:after="0"/>
      </w:pPr>
    </w:p>
    <w:p w:rsidR="00BB2650" w:rsidRPr="00A773A7" w:rsidRDefault="00355128" w:rsidP="000E7C0E">
      <w:pPr>
        <w:spacing w:after="0"/>
      </w:pPr>
      <w:r w:rsidRPr="00A773A7">
        <w:t>T</w:t>
      </w:r>
      <w:r w:rsidR="00911FD2" w:rsidRPr="00A773A7">
        <w:t>he appropriateness and effectiveness</w:t>
      </w:r>
      <w:r w:rsidR="00C50E79" w:rsidRPr="00A773A7">
        <w:t xml:space="preserve"> o</w:t>
      </w:r>
      <w:r w:rsidR="00911FD2" w:rsidRPr="00A773A7">
        <w:t xml:space="preserve">f the GATS system to achieve globalisation of trade in air transport </w:t>
      </w:r>
      <w:r w:rsidRPr="00A773A7">
        <w:t xml:space="preserve">must be </w:t>
      </w:r>
      <w:r w:rsidR="001059CC" w:rsidRPr="00A773A7">
        <w:t xml:space="preserve">examined </w:t>
      </w:r>
      <w:r w:rsidR="00910E90" w:rsidRPr="00A773A7">
        <w:t xml:space="preserve">in the light of </w:t>
      </w:r>
      <w:r w:rsidR="00E47BDF" w:rsidRPr="00A773A7">
        <w:t xml:space="preserve">the </w:t>
      </w:r>
      <w:r w:rsidR="001059CC" w:rsidRPr="00A773A7">
        <w:t>existing regulatory framework.</w:t>
      </w:r>
      <w:r w:rsidR="00E47BDF" w:rsidRPr="00A773A7">
        <w:t xml:space="preserve"> </w:t>
      </w:r>
      <w:r w:rsidR="003B30BB" w:rsidRPr="00A773A7">
        <w:t>T</w:t>
      </w:r>
      <w:r w:rsidR="00910E90" w:rsidRPr="00A773A7">
        <w:t xml:space="preserve">he </w:t>
      </w:r>
      <w:r w:rsidR="003B30BB" w:rsidRPr="00A773A7">
        <w:t>longevity of the Chicago regime suggests that the transition to a new framework</w:t>
      </w:r>
      <w:r w:rsidR="00652B4A" w:rsidRPr="00A773A7">
        <w:t>,</w:t>
      </w:r>
      <w:r w:rsidR="000040A8" w:rsidRPr="00A773A7">
        <w:t xml:space="preserve"> </w:t>
      </w:r>
      <w:r w:rsidR="00652B4A" w:rsidRPr="00A773A7">
        <w:t xml:space="preserve">or the co-existence of the two frameworks, </w:t>
      </w:r>
      <w:r w:rsidR="000040A8" w:rsidRPr="00A773A7">
        <w:t>would</w:t>
      </w:r>
      <w:r w:rsidR="003B30BB" w:rsidRPr="00A773A7">
        <w:t xml:space="preserve"> </w:t>
      </w:r>
      <w:r w:rsidR="00652B4A" w:rsidRPr="00A773A7">
        <w:t>have to overcome</w:t>
      </w:r>
      <w:r w:rsidR="00AA188F" w:rsidRPr="00A773A7">
        <w:t xml:space="preserve"> a number of</w:t>
      </w:r>
      <w:r w:rsidR="003B30BB" w:rsidRPr="00A773A7">
        <w:t xml:space="preserve"> obstacles.</w:t>
      </w:r>
      <w:r w:rsidR="009E6AD5" w:rsidRPr="00A773A7">
        <w:t xml:space="preserve"> </w:t>
      </w:r>
      <w:r w:rsidR="00CE3884" w:rsidRPr="00A773A7">
        <w:t xml:space="preserve"> </w:t>
      </w:r>
      <w:r w:rsidR="009E6AD5" w:rsidRPr="00A773A7">
        <w:t>T</w:t>
      </w:r>
      <w:r w:rsidR="00D65EAD" w:rsidRPr="00A773A7">
        <w:t>he main</w:t>
      </w:r>
      <w:r w:rsidR="006634EC" w:rsidRPr="00A773A7">
        <w:t xml:space="preserve"> obstacle stems from the conflicting </w:t>
      </w:r>
      <w:r w:rsidR="00652B4A" w:rsidRPr="00A773A7">
        <w:t>philosophies of the two systems</w:t>
      </w:r>
      <w:r w:rsidR="00CE3884" w:rsidRPr="00A773A7">
        <w:t>.</w:t>
      </w:r>
      <w:r w:rsidR="000040A8" w:rsidRPr="00A773A7">
        <w:t xml:space="preserve"> Market access under the Chicago regime </w:t>
      </w:r>
      <w:r w:rsidR="009C213C" w:rsidRPr="00A773A7">
        <w:t>is an</w:t>
      </w:r>
      <w:r w:rsidR="00652B4A" w:rsidRPr="00A773A7">
        <w:t xml:space="preserve"> issue of economic sovereignty.</w:t>
      </w:r>
      <w:r w:rsidR="00EB0C6E" w:rsidRPr="00A773A7">
        <w:rPr>
          <w:rStyle w:val="FootnoteReference"/>
        </w:rPr>
        <w:footnoteReference w:id="22"/>
      </w:r>
      <w:r w:rsidR="00652B4A" w:rsidRPr="00A773A7">
        <w:t xml:space="preserve"> </w:t>
      </w:r>
      <w:r w:rsidR="00CE3884" w:rsidRPr="00A773A7">
        <w:t xml:space="preserve">This has resulted in a bilateral system, whereby market access is provided on the basis of reciprocity. </w:t>
      </w:r>
      <w:r w:rsidR="004857AA" w:rsidRPr="00A773A7">
        <w:t>Under the GATS system,</w:t>
      </w:r>
      <w:r w:rsidR="00CE3884" w:rsidRPr="00A773A7">
        <w:t xml:space="preserve"> </w:t>
      </w:r>
      <w:r w:rsidR="004857AA" w:rsidRPr="00A773A7">
        <w:t>market access is conceptually part of the NT principle.</w:t>
      </w:r>
      <w:r w:rsidR="002D0271" w:rsidRPr="00A773A7">
        <w:t xml:space="preserve"> Although the flexibility of NT commitments </w:t>
      </w:r>
      <w:r w:rsidR="000447C2" w:rsidRPr="00A773A7">
        <w:t>(and</w:t>
      </w:r>
      <w:r w:rsidR="006553E3" w:rsidRPr="00A773A7">
        <w:t xml:space="preserve"> MFN exemption</w:t>
      </w:r>
      <w:r w:rsidR="000447C2" w:rsidRPr="00A773A7">
        <w:t>s</w:t>
      </w:r>
      <w:r w:rsidR="006553E3" w:rsidRPr="00A773A7">
        <w:t xml:space="preserve">) </w:t>
      </w:r>
      <w:r w:rsidR="002D0271" w:rsidRPr="00A773A7">
        <w:t>enables Member</w:t>
      </w:r>
      <w:r w:rsidR="000E521B" w:rsidRPr="00A773A7">
        <w:t xml:space="preserve"> States to </w:t>
      </w:r>
      <w:r w:rsidR="002D0271" w:rsidRPr="00A773A7">
        <w:t xml:space="preserve">offer market access </w:t>
      </w:r>
      <w:r w:rsidR="000E521B" w:rsidRPr="00A773A7">
        <w:t>under conditions th</w:t>
      </w:r>
      <w:r w:rsidR="0009290B" w:rsidRPr="00A773A7">
        <w:t>at mirror Chicago bilateralism</w:t>
      </w:r>
      <w:r w:rsidR="00D12490" w:rsidRPr="00A773A7">
        <w:t xml:space="preserve">, </w:t>
      </w:r>
      <w:r w:rsidR="00D864AA" w:rsidRPr="00A773A7">
        <w:t>the spirit of the GATS, subs</w:t>
      </w:r>
      <w:r w:rsidR="0025270D" w:rsidRPr="00A773A7">
        <w:t xml:space="preserve">umed in its fundamental principles of MFN, NT and market access, </w:t>
      </w:r>
      <w:r w:rsidR="00E60830" w:rsidRPr="00A773A7">
        <w:t>requires States to give commit</w:t>
      </w:r>
      <w:r w:rsidR="00607015" w:rsidRPr="00A773A7">
        <w:t>ments to all signatories alike, i.e. multilaterally</w:t>
      </w:r>
      <w:r w:rsidR="00DC577D" w:rsidRPr="00A773A7">
        <w:t>.</w:t>
      </w:r>
      <w:r w:rsidR="00D65EAD" w:rsidRPr="00A773A7">
        <w:t xml:space="preserve"> The transition from bilateralism to multilateralism requires Member States to </w:t>
      </w:r>
      <w:r w:rsidR="00ED7772">
        <w:t>cease</w:t>
      </w:r>
      <w:r w:rsidR="00C67A54" w:rsidRPr="00A773A7">
        <w:t xml:space="preserve"> </w:t>
      </w:r>
      <w:r w:rsidR="00D65EAD" w:rsidRPr="00A773A7">
        <w:t>regard</w:t>
      </w:r>
      <w:r w:rsidR="00C67A54" w:rsidRPr="00A773A7">
        <w:t>ing</w:t>
      </w:r>
      <w:r w:rsidR="00D65EAD" w:rsidRPr="00A773A7">
        <w:t xml:space="preserve"> international air traffic </w:t>
      </w:r>
      <w:r w:rsidR="00C67A54" w:rsidRPr="00A773A7">
        <w:t>as national propert</w:t>
      </w:r>
      <w:r w:rsidR="00D9291F" w:rsidRPr="00A773A7">
        <w:t xml:space="preserve">y, </w:t>
      </w:r>
      <w:r w:rsidR="00C67A54" w:rsidRPr="00A773A7">
        <w:t>regard</w:t>
      </w:r>
      <w:r w:rsidR="00D9291F" w:rsidRPr="00A773A7">
        <w:t>ing</w:t>
      </w:r>
      <w:r w:rsidR="00C67A54" w:rsidRPr="00A773A7">
        <w:t xml:space="preserve"> it</w:t>
      </w:r>
      <w:r w:rsidR="00D9291F" w:rsidRPr="00A773A7">
        <w:t xml:space="preserve"> instead</w:t>
      </w:r>
      <w:r w:rsidR="00C67A54" w:rsidRPr="00A773A7">
        <w:t xml:space="preserve"> as international property.</w:t>
      </w:r>
      <w:r w:rsidR="00C67A54" w:rsidRPr="00A773A7">
        <w:rPr>
          <w:rStyle w:val="FootnoteReference"/>
        </w:rPr>
        <w:footnoteReference w:id="23"/>
      </w:r>
    </w:p>
    <w:p w:rsidR="001F30E1" w:rsidRPr="00A773A7" w:rsidRDefault="001F30E1" w:rsidP="000E7C0E">
      <w:pPr>
        <w:spacing w:after="0"/>
      </w:pPr>
    </w:p>
    <w:p w:rsidR="00E40F81" w:rsidRPr="00A773A7" w:rsidRDefault="004C6048" w:rsidP="000E7C0E">
      <w:pPr>
        <w:spacing w:after="0"/>
      </w:pPr>
      <w:r w:rsidRPr="00A773A7">
        <w:lastRenderedPageBreak/>
        <w:t>The signatories of the Chicago Conventio</w:t>
      </w:r>
      <w:r w:rsidR="00E23F38" w:rsidRPr="00A773A7">
        <w:t>n have undertaken</w:t>
      </w:r>
      <w:r w:rsidRPr="00A773A7">
        <w:t xml:space="preserve"> not to enter into any obligations and understandings between them</w:t>
      </w:r>
      <w:r w:rsidR="00FD6C24" w:rsidRPr="00A773A7">
        <w:t>,</w:t>
      </w:r>
      <w:r w:rsidRPr="00A773A7">
        <w:t xml:space="preserve"> which are inconsistent with the terms of the Convention.</w:t>
      </w:r>
      <w:r w:rsidR="00E23F38" w:rsidRPr="00A773A7">
        <w:rPr>
          <w:rStyle w:val="FootnoteReference"/>
        </w:rPr>
        <w:footnoteReference w:id="24"/>
      </w:r>
      <w:r w:rsidR="00392393" w:rsidRPr="00A773A7">
        <w:t xml:space="preserve"> </w:t>
      </w:r>
      <w:r w:rsidR="008E7740" w:rsidRPr="00A773A7">
        <w:t>This entail</w:t>
      </w:r>
      <w:r w:rsidR="00274621" w:rsidRPr="00A773A7">
        <w:t>s that</w:t>
      </w:r>
      <w:r w:rsidR="008E7740" w:rsidRPr="00A773A7">
        <w:t>,</w:t>
      </w:r>
      <w:r w:rsidR="00FD6C24" w:rsidRPr="00A773A7">
        <w:t xml:space="preserve"> insofar as the</w:t>
      </w:r>
      <w:r w:rsidR="002D12DA" w:rsidRPr="00A773A7">
        <w:t xml:space="preserve"> obligations </w:t>
      </w:r>
      <w:r w:rsidR="00274621" w:rsidRPr="00A773A7">
        <w:t>the Member States have assumed</w:t>
      </w:r>
      <w:r w:rsidR="00FD6C24" w:rsidRPr="00A773A7">
        <w:t xml:space="preserve"> under the GATS are</w:t>
      </w:r>
      <w:r w:rsidR="00274621" w:rsidRPr="00A773A7">
        <w:t xml:space="preserve"> </w:t>
      </w:r>
      <w:r w:rsidR="002D12DA" w:rsidRPr="00A773A7">
        <w:t xml:space="preserve">consistent with the Chicago Convention, </w:t>
      </w:r>
      <w:r w:rsidR="00FD6C24" w:rsidRPr="00A773A7">
        <w:t xml:space="preserve">States </w:t>
      </w:r>
      <w:r w:rsidR="00C06BD8" w:rsidRPr="00A773A7">
        <w:t>could stay under both systems</w:t>
      </w:r>
      <w:r w:rsidR="007A3F65" w:rsidRPr="00A773A7">
        <w:t xml:space="preserve">. If </w:t>
      </w:r>
      <w:r w:rsidR="00BB2F86" w:rsidRPr="00A773A7">
        <w:t>a State</w:t>
      </w:r>
      <w:r w:rsidR="007A3F65" w:rsidRPr="00A773A7">
        <w:t xml:space="preserve"> elected to follow</w:t>
      </w:r>
      <w:r w:rsidR="00241D41" w:rsidRPr="00A773A7">
        <w:t xml:space="preserve"> the G</w:t>
      </w:r>
      <w:r w:rsidR="00C06BD8" w:rsidRPr="00A773A7">
        <w:t>ATS system</w:t>
      </w:r>
      <w:r w:rsidR="00241D41" w:rsidRPr="00A773A7">
        <w:t xml:space="preserve"> to the exclusion of the Chicago</w:t>
      </w:r>
      <w:r w:rsidR="00C06BD8" w:rsidRPr="00A773A7">
        <w:t xml:space="preserve"> system</w:t>
      </w:r>
      <w:r w:rsidR="00BB2F86" w:rsidRPr="00A773A7">
        <w:t>, it would have to de</w:t>
      </w:r>
      <w:r w:rsidR="00BB6911">
        <w:t>nounce</w:t>
      </w:r>
      <w:r w:rsidR="00241D41" w:rsidRPr="00A773A7">
        <w:t xml:space="preserve"> the Chicago Convention</w:t>
      </w:r>
      <w:r w:rsidR="00CB7FC9" w:rsidRPr="00A773A7">
        <w:t>, an un</w:t>
      </w:r>
      <w:r w:rsidR="00241D41" w:rsidRPr="00A773A7">
        <w:t>realistic proposi</w:t>
      </w:r>
      <w:r w:rsidR="001965C4" w:rsidRPr="00A773A7">
        <w:t xml:space="preserve">tion, considering that </w:t>
      </w:r>
      <w:r w:rsidR="00AA0F40" w:rsidRPr="00A773A7">
        <w:t>the Chicago Convention is binding upon virtually the entire</w:t>
      </w:r>
      <w:r w:rsidR="00B3343D" w:rsidRPr="00A773A7">
        <w:t>ty of the</w:t>
      </w:r>
      <w:r w:rsidR="00AA0F40" w:rsidRPr="00A773A7">
        <w:t xml:space="preserve"> </w:t>
      </w:r>
      <w:r w:rsidR="00CB7FC9" w:rsidRPr="00A773A7">
        <w:t>aviation</w:t>
      </w:r>
      <w:r w:rsidR="001965C4" w:rsidRPr="00A773A7">
        <w:t xml:space="preserve"> community</w:t>
      </w:r>
      <w:r w:rsidR="00DA219A" w:rsidRPr="00A773A7">
        <w:t>.</w:t>
      </w:r>
      <w:r w:rsidR="007A3F65" w:rsidRPr="00A773A7">
        <w:rPr>
          <w:rStyle w:val="FootnoteReference"/>
        </w:rPr>
        <w:footnoteReference w:id="25"/>
      </w:r>
      <w:r w:rsidR="00CB7FC9" w:rsidRPr="00A773A7">
        <w:t xml:space="preserve"> </w:t>
      </w:r>
      <w:r w:rsidR="00C06BD8" w:rsidRPr="00A773A7">
        <w:t>Staying under both systems</w:t>
      </w:r>
      <w:r w:rsidR="00CB7FC9" w:rsidRPr="00A773A7">
        <w:t xml:space="preserve"> </w:t>
      </w:r>
      <w:r w:rsidR="00742031" w:rsidRPr="00A773A7">
        <w:t xml:space="preserve">of course </w:t>
      </w:r>
      <w:r w:rsidR="00CB7FC9" w:rsidRPr="00A773A7">
        <w:t>begs the question of whether</w:t>
      </w:r>
      <w:r w:rsidR="00B3343D" w:rsidRPr="00A773A7">
        <w:t xml:space="preserve"> the</w:t>
      </w:r>
      <w:r w:rsidR="00C06BD8" w:rsidRPr="00A773A7">
        <w:t>ir</w:t>
      </w:r>
      <w:r w:rsidR="00B3343D" w:rsidRPr="00A773A7">
        <w:t xml:space="preserve"> different philo</w:t>
      </w:r>
      <w:r w:rsidR="00C06BD8" w:rsidRPr="00A773A7">
        <w:t>sophies</w:t>
      </w:r>
      <w:r w:rsidR="00CB7FC9" w:rsidRPr="00A773A7">
        <w:t xml:space="preserve"> are mutually exclusive (something which would rule</w:t>
      </w:r>
      <w:r w:rsidR="00B3343D" w:rsidRPr="00A773A7">
        <w:t xml:space="preserve"> out </w:t>
      </w:r>
      <w:r w:rsidR="00B3343D" w:rsidRPr="00A773A7">
        <w:rPr>
          <w:i/>
        </w:rPr>
        <w:t>a</w:t>
      </w:r>
      <w:r w:rsidR="00B3343D" w:rsidRPr="00A773A7">
        <w:t xml:space="preserve"> </w:t>
      </w:r>
      <w:r w:rsidR="00B3343D" w:rsidRPr="00A773A7">
        <w:rPr>
          <w:i/>
        </w:rPr>
        <w:t>priori</w:t>
      </w:r>
      <w:r w:rsidR="00B3343D" w:rsidRPr="00A773A7">
        <w:t xml:space="preserve"> any </w:t>
      </w:r>
      <w:r w:rsidR="00613FFF" w:rsidRPr="00A773A7">
        <w:t>discussion of co-existence</w:t>
      </w:r>
      <w:r w:rsidR="00286AF1" w:rsidRPr="00A773A7">
        <w:t>)</w:t>
      </w:r>
      <w:r w:rsidR="00613FFF" w:rsidRPr="00A773A7">
        <w:t xml:space="preserve"> or whether purely commercial air transport services could be hived off from bilater</w:t>
      </w:r>
      <w:r w:rsidR="00CB166D" w:rsidRPr="00A773A7">
        <w:t xml:space="preserve">al air services agreements </w:t>
      </w:r>
      <w:r w:rsidR="00742031" w:rsidRPr="00A773A7">
        <w:t xml:space="preserve">and rolled into the GATS </w:t>
      </w:r>
      <w:r w:rsidR="00CB166D" w:rsidRPr="00A773A7">
        <w:t>to be</w:t>
      </w:r>
      <w:r w:rsidR="00613FFF" w:rsidRPr="00A773A7">
        <w:t xml:space="preserve"> dealt wit</w:t>
      </w:r>
      <w:r w:rsidR="00E40F81" w:rsidRPr="00A773A7">
        <w:t>h multilaterally</w:t>
      </w:r>
      <w:r w:rsidR="00742031" w:rsidRPr="00A773A7">
        <w:t>.</w:t>
      </w:r>
      <w:r w:rsidR="00E40F81" w:rsidRPr="00A773A7">
        <w:t xml:space="preserve"> Considering that the</w:t>
      </w:r>
      <w:r w:rsidR="00BB6911">
        <w:t xml:space="preserve"> answer to this question will</w:t>
      </w:r>
      <w:r w:rsidR="00E40F81" w:rsidRPr="00A773A7">
        <w:t xml:space="preserve"> eventually </w:t>
      </w:r>
      <w:r w:rsidR="00BB6911">
        <w:t xml:space="preserve">be </w:t>
      </w:r>
      <w:r w:rsidR="00E40F81" w:rsidRPr="00A773A7">
        <w:t xml:space="preserve">reached at political level, </w:t>
      </w:r>
      <w:r w:rsidR="00621578" w:rsidRPr="00A773A7">
        <w:t>the objective of the following sections is to inform the discussion about the</w:t>
      </w:r>
      <w:r w:rsidR="00B844B2" w:rsidRPr="00A773A7">
        <w:t xml:space="preserve"> optimal</w:t>
      </w:r>
      <w:r w:rsidR="00621578" w:rsidRPr="00A773A7">
        <w:t xml:space="preserve"> path to liberalisation.</w:t>
      </w:r>
    </w:p>
    <w:p w:rsidR="00CB1398" w:rsidRPr="00A773A7" w:rsidRDefault="00CB1398" w:rsidP="000E7C0E">
      <w:pPr>
        <w:spacing w:after="0"/>
      </w:pPr>
    </w:p>
    <w:p w:rsidR="00CB1398" w:rsidRPr="00A773A7" w:rsidRDefault="00CB1398" w:rsidP="000E7C0E">
      <w:pPr>
        <w:spacing w:after="0"/>
        <w:rPr>
          <w:b/>
        </w:rPr>
      </w:pPr>
      <w:r w:rsidRPr="00A773A7">
        <w:rPr>
          <w:b/>
        </w:rPr>
        <w:t>3.2. Amendment of the Chicago Convention</w:t>
      </w:r>
    </w:p>
    <w:p w:rsidR="003D4C29" w:rsidRPr="00A773A7" w:rsidRDefault="003D4C29" w:rsidP="000E7C0E">
      <w:pPr>
        <w:spacing w:after="0"/>
        <w:rPr>
          <w:b/>
        </w:rPr>
      </w:pPr>
    </w:p>
    <w:p w:rsidR="004320FE" w:rsidRPr="00A773A7" w:rsidRDefault="003D4C29" w:rsidP="000E7C0E">
      <w:pPr>
        <w:spacing w:after="0"/>
      </w:pPr>
      <w:r w:rsidRPr="00A773A7">
        <w:t xml:space="preserve">The Chicago Convention </w:t>
      </w:r>
      <w:r w:rsidR="009B2458" w:rsidRPr="00A773A7">
        <w:t xml:space="preserve">constitutes the </w:t>
      </w:r>
      <w:r w:rsidR="00744492" w:rsidRPr="00A773A7">
        <w:t xml:space="preserve">most important </w:t>
      </w:r>
      <w:r w:rsidR="009B2458" w:rsidRPr="00A773A7">
        <w:t xml:space="preserve">primary source of public </w:t>
      </w:r>
      <w:r w:rsidR="00744492" w:rsidRPr="00A773A7">
        <w:t xml:space="preserve">international air law, being binding upon 191 signatories. </w:t>
      </w:r>
      <w:r w:rsidR="00DB2435" w:rsidRPr="00A773A7">
        <w:t xml:space="preserve">The most straightforward and effective way to liberalise international civil aviation would </w:t>
      </w:r>
      <w:r w:rsidR="00BB6911">
        <w:t>therefore</w:t>
      </w:r>
      <w:r w:rsidR="00CB612B" w:rsidRPr="00A773A7">
        <w:t xml:space="preserve"> </w:t>
      </w:r>
      <w:r w:rsidR="00DB2435" w:rsidRPr="00A773A7">
        <w:t xml:space="preserve">be to amend the Chicago Convention. </w:t>
      </w:r>
      <w:r w:rsidR="009A66CC" w:rsidRPr="00A773A7">
        <w:t>T</w:t>
      </w:r>
      <w:r w:rsidR="00F928F3" w:rsidRPr="00A773A7">
        <w:t>he</w:t>
      </w:r>
      <w:r w:rsidR="009A66CC" w:rsidRPr="00A773A7">
        <w:t xml:space="preserve"> provision which</w:t>
      </w:r>
      <w:r w:rsidR="00CB612B" w:rsidRPr="00A773A7">
        <w:t xml:space="preserve"> </w:t>
      </w:r>
      <w:r w:rsidR="001A2785" w:rsidRPr="00A773A7">
        <w:t>seems to obstruct</w:t>
      </w:r>
      <w:r w:rsidR="00CB612B" w:rsidRPr="00A773A7">
        <w:t xml:space="preserve"> liberalisation</w:t>
      </w:r>
      <w:r w:rsidR="009A66CC" w:rsidRPr="00A773A7">
        <w:t xml:space="preserve"> is Article 6</w:t>
      </w:r>
      <w:r w:rsidR="00D96D42" w:rsidRPr="00A773A7">
        <w:t xml:space="preserve"> of the Convention</w:t>
      </w:r>
      <w:r w:rsidR="00BB6911">
        <w:t>. Article 6 places</w:t>
      </w:r>
      <w:r w:rsidR="002C79FA" w:rsidRPr="00A773A7">
        <w:t xml:space="preserve"> the principle of national sovereignty in the area of market access. </w:t>
      </w:r>
      <w:r w:rsidR="007774BD" w:rsidRPr="00A773A7">
        <w:t>In essence, it provides that all commercial international air passenger transport services are forbidden except to the extent that they are permitted.</w:t>
      </w:r>
      <w:r w:rsidR="007774BD" w:rsidRPr="00A773A7">
        <w:rPr>
          <w:rStyle w:val="FootnoteReference"/>
        </w:rPr>
        <w:footnoteReference w:id="26"/>
      </w:r>
      <w:r w:rsidR="002A4A3E" w:rsidRPr="00A773A7">
        <w:t xml:space="preserve"> This axiom should be seen against the historical backdrop prevailing at the time of the conclusion of the Chicago Convention.</w:t>
      </w:r>
      <w:r w:rsidR="001B6C72" w:rsidRPr="00A773A7">
        <w:t xml:space="preserve"> </w:t>
      </w:r>
      <w:r w:rsidR="002F529A" w:rsidRPr="00A773A7">
        <w:t>Since then, the concept of na</w:t>
      </w:r>
      <w:r w:rsidR="00DB1BDB" w:rsidRPr="00A773A7">
        <w:t>tional sovereignty has evolved considerably, so much so that</w:t>
      </w:r>
      <w:r w:rsidR="0078446C" w:rsidRPr="00A773A7">
        <w:t>,</w:t>
      </w:r>
      <w:r w:rsidR="00DB1BDB" w:rsidRPr="00A773A7">
        <w:t xml:space="preserve"> </w:t>
      </w:r>
      <w:r w:rsidR="00362EEE" w:rsidRPr="00A773A7">
        <w:t xml:space="preserve">within certain </w:t>
      </w:r>
      <w:r w:rsidR="00D9012B" w:rsidRPr="00A773A7">
        <w:t>“</w:t>
      </w:r>
      <w:r w:rsidR="00362EEE" w:rsidRPr="00A773A7">
        <w:t xml:space="preserve">regional or </w:t>
      </w:r>
      <w:proofErr w:type="spellStart"/>
      <w:r w:rsidR="00362EEE" w:rsidRPr="00A773A7">
        <w:t>subregional</w:t>
      </w:r>
      <w:proofErr w:type="spellEnd"/>
      <w:r w:rsidR="00362EEE" w:rsidRPr="00A773A7">
        <w:t xml:space="preserve"> economic groupings</w:t>
      </w:r>
      <w:r w:rsidR="00D9012B" w:rsidRPr="00A773A7">
        <w:t>”</w:t>
      </w:r>
      <w:r w:rsidR="00362EEE" w:rsidRPr="00A773A7">
        <w:t xml:space="preserve">, the </w:t>
      </w:r>
      <w:r w:rsidR="00E16424" w:rsidRPr="00A773A7">
        <w:t xml:space="preserve">ICAO </w:t>
      </w:r>
      <w:r w:rsidR="00362EEE" w:rsidRPr="00A773A7">
        <w:t>principle of community of interest has taken precedence.</w:t>
      </w:r>
      <w:r w:rsidR="00362EEE" w:rsidRPr="00A773A7">
        <w:rPr>
          <w:rStyle w:val="FootnoteReference"/>
        </w:rPr>
        <w:footnoteReference w:id="27"/>
      </w:r>
      <w:r w:rsidR="00B15651" w:rsidRPr="00A773A7">
        <w:t xml:space="preserve"> ICAO has </w:t>
      </w:r>
      <w:r w:rsidR="009831F1" w:rsidRPr="00A773A7">
        <w:t xml:space="preserve">acknowledged that the strict application of the criterion of substantial ownership and effective control could deny many States a fair and equal opportunity to operate international air services. </w:t>
      </w:r>
      <w:r w:rsidR="00F928F3" w:rsidRPr="00A773A7">
        <w:t>For this reason</w:t>
      </w:r>
      <w:r w:rsidR="008E4D86" w:rsidRPr="00A773A7">
        <w:t>,</w:t>
      </w:r>
      <w:r w:rsidR="00F928F3" w:rsidRPr="00A773A7">
        <w:t xml:space="preserve"> it has</w:t>
      </w:r>
      <w:r w:rsidR="004320FE" w:rsidRPr="00A773A7">
        <w:t xml:space="preserve"> urged States to recognise the concept of community of interest as a valid basis for airline designation.</w:t>
      </w:r>
      <w:r w:rsidR="004320FE" w:rsidRPr="00A773A7">
        <w:rPr>
          <w:rStyle w:val="FootnoteReference"/>
        </w:rPr>
        <w:t xml:space="preserve"> </w:t>
      </w:r>
      <w:r w:rsidR="004320FE" w:rsidRPr="00A773A7">
        <w:rPr>
          <w:rStyle w:val="FootnoteReference"/>
        </w:rPr>
        <w:footnoteReference w:id="28"/>
      </w:r>
    </w:p>
    <w:p w:rsidR="004320FE" w:rsidRPr="00A773A7" w:rsidRDefault="004320FE" w:rsidP="000E7C0E">
      <w:pPr>
        <w:spacing w:after="0"/>
      </w:pPr>
    </w:p>
    <w:p w:rsidR="00EF381C" w:rsidRPr="00A773A7" w:rsidRDefault="00593A52" w:rsidP="000E7C0E">
      <w:pPr>
        <w:spacing w:after="0"/>
        <w:rPr>
          <w:vertAlign w:val="superscript"/>
        </w:rPr>
      </w:pPr>
      <w:r w:rsidRPr="00A773A7">
        <w:lastRenderedPageBreak/>
        <w:t xml:space="preserve">ICAO has emphasised the economic dimension of regional integration, referring to “regional </w:t>
      </w:r>
      <w:r w:rsidR="00BB2F18" w:rsidRPr="00A773A7">
        <w:t xml:space="preserve">or </w:t>
      </w:r>
      <w:proofErr w:type="spellStart"/>
      <w:r w:rsidR="00BB2F18" w:rsidRPr="00A773A7">
        <w:t>subregional</w:t>
      </w:r>
      <w:proofErr w:type="spellEnd"/>
      <w:r w:rsidR="00BB2F18" w:rsidRPr="00A773A7">
        <w:t xml:space="preserve"> </w:t>
      </w:r>
      <w:r w:rsidRPr="00A773A7">
        <w:rPr>
          <w:i/>
        </w:rPr>
        <w:t>economic</w:t>
      </w:r>
      <w:r w:rsidRPr="00A773A7">
        <w:t xml:space="preserve"> groupings”.</w:t>
      </w:r>
      <w:r w:rsidR="004B0B59" w:rsidRPr="00A773A7">
        <w:rPr>
          <w:rStyle w:val="FootnoteReference"/>
        </w:rPr>
        <w:footnoteReference w:id="29"/>
      </w:r>
      <w:r w:rsidRPr="00A773A7">
        <w:t xml:space="preserve"> Moreover, it has emphasised the affinity an</w:t>
      </w:r>
      <w:r w:rsidR="00BC0EDC" w:rsidRPr="00A773A7">
        <w:t>d community of interest shared</w:t>
      </w:r>
      <w:r w:rsidR="00BB6911">
        <w:t>,</w:t>
      </w:r>
      <w:r w:rsidR="00BC0EDC" w:rsidRPr="00A773A7">
        <w:t xml:space="preserve"> </w:t>
      </w:r>
      <w:r w:rsidR="00BB6911">
        <w:t xml:space="preserve">in particular, </w:t>
      </w:r>
      <w:r w:rsidRPr="00A773A7">
        <w:t xml:space="preserve">among </w:t>
      </w:r>
      <w:r w:rsidRPr="00A773A7">
        <w:rPr>
          <w:i/>
        </w:rPr>
        <w:t>developing</w:t>
      </w:r>
      <w:r w:rsidR="00BB6911">
        <w:t xml:space="preserve"> States</w:t>
      </w:r>
      <w:r w:rsidR="00BC0EDC" w:rsidRPr="00A773A7">
        <w:t xml:space="preserve">, </w:t>
      </w:r>
      <w:r w:rsidRPr="00A773A7">
        <w:t xml:space="preserve">belonging to such </w:t>
      </w:r>
      <w:r w:rsidR="00BC0EDC" w:rsidRPr="00A773A7">
        <w:t>groupings.</w:t>
      </w:r>
      <w:r w:rsidR="005049E7" w:rsidRPr="00A773A7">
        <w:rPr>
          <w:rStyle w:val="FootnoteReference"/>
        </w:rPr>
        <w:footnoteReference w:id="30"/>
      </w:r>
      <w:r w:rsidR="005049E7" w:rsidRPr="00A773A7">
        <w:t xml:space="preserve"> </w:t>
      </w:r>
      <w:r w:rsidR="00BC0EDC" w:rsidRPr="00A773A7">
        <w:t>However, r</w:t>
      </w:r>
      <w:r w:rsidR="005049E7" w:rsidRPr="00A773A7">
        <w:t>egi</w:t>
      </w:r>
      <w:r w:rsidR="001D6BCA" w:rsidRPr="00A773A7">
        <w:t>onal int</w:t>
      </w:r>
      <w:r w:rsidR="00BC0EDC" w:rsidRPr="00A773A7">
        <w:t>egration</w:t>
      </w:r>
      <w:r w:rsidR="009B4B29" w:rsidRPr="00A773A7">
        <w:t xml:space="preserve"> </w:t>
      </w:r>
      <w:r w:rsidR="002A2DF9" w:rsidRPr="00A773A7">
        <w:t>reaches</w:t>
      </w:r>
      <w:r w:rsidR="00B95FEE" w:rsidRPr="00A773A7">
        <w:t xml:space="preserve"> beyond economic integration to </w:t>
      </w:r>
      <w:r w:rsidR="009B72F7" w:rsidRPr="00A773A7">
        <w:t>culminate in</w:t>
      </w:r>
      <w:r w:rsidR="00BB2F18" w:rsidRPr="00A773A7">
        <w:t xml:space="preserve"> </w:t>
      </w:r>
      <w:r w:rsidR="00994319" w:rsidRPr="00A773A7">
        <w:t xml:space="preserve">political </w:t>
      </w:r>
      <w:r w:rsidR="00BB2F18" w:rsidRPr="00A773A7">
        <w:t>Unions</w:t>
      </w:r>
      <w:r w:rsidR="00DA48F1" w:rsidRPr="00A773A7">
        <w:t xml:space="preserve"> with a single legal personality</w:t>
      </w:r>
      <w:r w:rsidR="002A0A0A" w:rsidRPr="00A773A7">
        <w:t>.</w:t>
      </w:r>
      <w:r w:rsidR="00BB2F18" w:rsidRPr="00A773A7">
        <w:t xml:space="preserve"> The European Union is</w:t>
      </w:r>
      <w:r w:rsidR="002A0A0A" w:rsidRPr="00A773A7">
        <w:t xml:space="preserve"> the most prominent example</w:t>
      </w:r>
      <w:r w:rsidR="00BB2F18" w:rsidRPr="00A773A7">
        <w:t xml:space="preserve"> of such a Union</w:t>
      </w:r>
      <w:r w:rsidR="00994319" w:rsidRPr="00A773A7">
        <w:t xml:space="preserve"> </w:t>
      </w:r>
      <w:r w:rsidR="00BB2F18" w:rsidRPr="00A773A7">
        <w:t>composed of developed States</w:t>
      </w:r>
      <w:r w:rsidR="002A0A0A" w:rsidRPr="00A773A7">
        <w:t>.</w:t>
      </w:r>
      <w:r w:rsidR="00BB2F18" w:rsidRPr="00A773A7">
        <w:rPr>
          <w:rStyle w:val="FootnoteReference"/>
        </w:rPr>
        <w:footnoteReference w:id="31"/>
      </w:r>
      <w:r w:rsidR="00BB2F18" w:rsidRPr="00A773A7">
        <w:t xml:space="preserve"> </w:t>
      </w:r>
      <w:r w:rsidR="002A0A0A" w:rsidRPr="00A773A7">
        <w:t xml:space="preserve"> </w:t>
      </w:r>
      <w:r w:rsidR="00E020B0" w:rsidRPr="00A773A7">
        <w:t xml:space="preserve">The </w:t>
      </w:r>
      <w:r w:rsidR="007262AB" w:rsidRPr="00A773A7">
        <w:t xml:space="preserve">relevance </w:t>
      </w:r>
      <w:r w:rsidR="00180D14" w:rsidRPr="00A773A7">
        <w:t xml:space="preserve">of </w:t>
      </w:r>
      <w:r w:rsidR="00994319" w:rsidRPr="00A773A7">
        <w:t>the principle of community of</w:t>
      </w:r>
      <w:r w:rsidR="007262AB" w:rsidRPr="00A773A7">
        <w:t xml:space="preserve"> interest </w:t>
      </w:r>
      <w:r w:rsidR="00180D14" w:rsidRPr="00A773A7">
        <w:t>for</w:t>
      </w:r>
      <w:r w:rsidR="006C24B6" w:rsidRPr="00A773A7">
        <w:t xml:space="preserve"> developing and developed States alike</w:t>
      </w:r>
      <w:r w:rsidR="00180D14" w:rsidRPr="00A773A7">
        <w:t xml:space="preserve"> </w:t>
      </w:r>
      <w:r w:rsidR="00B61EDA" w:rsidRPr="00A773A7">
        <w:t>implies the</w:t>
      </w:r>
      <w:r w:rsidR="007262AB" w:rsidRPr="00A773A7">
        <w:t xml:space="preserve"> </w:t>
      </w:r>
      <w:r w:rsidR="002A0A0A" w:rsidRPr="00A773A7">
        <w:t>need to re</w:t>
      </w:r>
      <w:r w:rsidR="00180D14" w:rsidRPr="00A773A7">
        <w:t>visit the concept</w:t>
      </w:r>
      <w:r w:rsidR="002A0A0A" w:rsidRPr="00A773A7">
        <w:t xml:space="preserve"> of national sovereignty.</w:t>
      </w:r>
      <w:r w:rsidR="00625FE0" w:rsidRPr="00A773A7">
        <w:t xml:space="preserve"> As pointed out</w:t>
      </w:r>
      <w:r w:rsidR="00BB6911">
        <w:t xml:space="preserve"> above</w:t>
      </w:r>
      <w:r w:rsidR="00625FE0" w:rsidRPr="00A773A7">
        <w:t>, State sovereignty is, in the modern context of globalisation, more a responsibility to the global community than an exclusive right to enforce protectionism.</w:t>
      </w:r>
      <w:r w:rsidR="006C24B6" w:rsidRPr="00A773A7">
        <w:rPr>
          <w:vertAlign w:val="superscript"/>
        </w:rPr>
        <w:t xml:space="preserve"> </w:t>
      </w:r>
      <w:r w:rsidR="006C24B6" w:rsidRPr="00A773A7">
        <w:rPr>
          <w:vertAlign w:val="superscript"/>
        </w:rPr>
        <w:footnoteReference w:id="32"/>
      </w:r>
    </w:p>
    <w:p w:rsidR="00EF381C" w:rsidRPr="00A773A7" w:rsidRDefault="00EF381C" w:rsidP="000E7C0E">
      <w:pPr>
        <w:spacing w:after="0"/>
        <w:rPr>
          <w:vertAlign w:val="superscript"/>
        </w:rPr>
      </w:pPr>
    </w:p>
    <w:p w:rsidR="008D7640" w:rsidRPr="00A773A7" w:rsidRDefault="00E02D2C" w:rsidP="000E7C0E">
      <w:pPr>
        <w:spacing w:after="0"/>
        <w:rPr>
          <w:rStyle w:val="hps"/>
          <w:lang w:val="en"/>
        </w:rPr>
      </w:pPr>
      <w:r w:rsidRPr="00A773A7">
        <w:rPr>
          <w:rStyle w:val="hps"/>
          <w:lang w:val="en"/>
        </w:rPr>
        <w:t xml:space="preserve">ICAO has set </w:t>
      </w:r>
      <w:r w:rsidR="00F75ED5" w:rsidRPr="00A773A7">
        <w:rPr>
          <w:rStyle w:val="hps"/>
          <w:lang w:val="en"/>
        </w:rPr>
        <w:t xml:space="preserve">the </w:t>
      </w:r>
      <w:r w:rsidR="00EA67BA" w:rsidRPr="00A773A7">
        <w:rPr>
          <w:rStyle w:val="hps"/>
          <w:lang w:val="en"/>
        </w:rPr>
        <w:t>“Economic Development of Air T</w:t>
      </w:r>
      <w:r w:rsidR="00F75ED5" w:rsidRPr="00A773A7">
        <w:rPr>
          <w:rStyle w:val="hps"/>
          <w:lang w:val="en"/>
        </w:rPr>
        <w:t>ransport</w:t>
      </w:r>
      <w:r w:rsidR="00EA67BA" w:rsidRPr="00A773A7">
        <w:rPr>
          <w:rStyle w:val="hps"/>
          <w:lang w:val="en"/>
        </w:rPr>
        <w:t>”</w:t>
      </w:r>
      <w:r w:rsidR="00F75ED5" w:rsidRPr="00A773A7">
        <w:rPr>
          <w:rStyle w:val="hps"/>
          <w:lang w:val="en"/>
        </w:rPr>
        <w:t xml:space="preserve"> </w:t>
      </w:r>
      <w:r w:rsidR="00EA67BA" w:rsidRPr="00A773A7">
        <w:rPr>
          <w:rStyle w:val="hps"/>
          <w:lang w:val="en"/>
        </w:rPr>
        <w:t xml:space="preserve">as one of its </w:t>
      </w:r>
      <w:r w:rsidR="00C86018" w:rsidRPr="00A773A7">
        <w:rPr>
          <w:rStyle w:val="hps"/>
          <w:lang w:val="en"/>
        </w:rPr>
        <w:t>s</w:t>
      </w:r>
      <w:r w:rsidR="00EA67BA" w:rsidRPr="00A773A7">
        <w:rPr>
          <w:rStyle w:val="hps"/>
          <w:lang w:val="en"/>
        </w:rPr>
        <w:t>trategic o</w:t>
      </w:r>
      <w:r w:rsidRPr="00A773A7">
        <w:rPr>
          <w:rStyle w:val="hps"/>
          <w:lang w:val="en"/>
        </w:rPr>
        <w:t xml:space="preserve">bjectives for the 2014-2016 </w:t>
      </w:r>
      <w:proofErr w:type="gramStart"/>
      <w:r w:rsidRPr="00A773A7">
        <w:rPr>
          <w:rStyle w:val="hps"/>
          <w:lang w:val="en"/>
        </w:rPr>
        <w:t>triennium</w:t>
      </w:r>
      <w:proofErr w:type="gramEnd"/>
      <w:r w:rsidRPr="00A773A7">
        <w:rPr>
          <w:rStyle w:val="hps"/>
          <w:lang w:val="en"/>
        </w:rPr>
        <w:t>.</w:t>
      </w:r>
      <w:r w:rsidRPr="00A773A7">
        <w:rPr>
          <w:rStyle w:val="FootnoteReference"/>
          <w:lang w:val="en"/>
        </w:rPr>
        <w:footnoteReference w:id="33"/>
      </w:r>
      <w:r w:rsidR="00EF381C" w:rsidRPr="00A773A7">
        <w:rPr>
          <w:rStyle w:val="hps"/>
          <w:lang w:val="en"/>
        </w:rPr>
        <w:t xml:space="preserve"> To </w:t>
      </w:r>
      <w:r w:rsidR="00BB6911">
        <w:rPr>
          <w:rStyle w:val="hps"/>
          <w:lang w:val="en"/>
        </w:rPr>
        <w:t xml:space="preserve">further </w:t>
      </w:r>
      <w:r w:rsidR="00EF381C" w:rsidRPr="00A773A7">
        <w:rPr>
          <w:rStyle w:val="hps"/>
          <w:lang w:val="en"/>
        </w:rPr>
        <w:t xml:space="preserve">this </w:t>
      </w:r>
      <w:r w:rsidR="00BB6911">
        <w:rPr>
          <w:rStyle w:val="hps"/>
          <w:lang w:val="en"/>
        </w:rPr>
        <w:t>objective, it has recommended</w:t>
      </w:r>
      <w:r w:rsidR="00EF381C" w:rsidRPr="00A773A7">
        <w:rPr>
          <w:rStyle w:val="hps"/>
          <w:lang w:val="en"/>
        </w:rPr>
        <w:t xml:space="preserve"> assess</w:t>
      </w:r>
      <w:r w:rsidR="00BB6911">
        <w:rPr>
          <w:rStyle w:val="hps"/>
          <w:lang w:val="en"/>
        </w:rPr>
        <w:t>ing</w:t>
      </w:r>
      <w:r w:rsidR="00EF381C" w:rsidRPr="00A773A7">
        <w:rPr>
          <w:rStyle w:val="hps"/>
          <w:lang w:val="en"/>
        </w:rPr>
        <w:t>, in cooperation with States, the value of a possible new Annex to the Chicago Convention on sustainable economic development of air transpor</w:t>
      </w:r>
      <w:r w:rsidR="003728C1" w:rsidRPr="00A773A7">
        <w:rPr>
          <w:rStyle w:val="hps"/>
          <w:lang w:val="en"/>
        </w:rPr>
        <w:t>t</w:t>
      </w:r>
      <w:r w:rsidR="00EF381C" w:rsidRPr="00A773A7">
        <w:rPr>
          <w:rStyle w:val="hps"/>
          <w:lang w:val="en"/>
        </w:rPr>
        <w:t>.</w:t>
      </w:r>
      <w:r w:rsidR="00EA6A8D" w:rsidRPr="00A773A7">
        <w:rPr>
          <w:rStyle w:val="FootnoteReference"/>
          <w:lang w:val="en"/>
        </w:rPr>
        <w:footnoteReference w:id="34"/>
      </w:r>
      <w:r w:rsidR="00AC22D9" w:rsidRPr="00A773A7">
        <w:rPr>
          <w:rStyle w:val="hps"/>
          <w:lang w:val="en"/>
        </w:rPr>
        <w:t xml:space="preserve">  </w:t>
      </w:r>
      <w:r w:rsidR="00362987" w:rsidRPr="00A773A7">
        <w:rPr>
          <w:rStyle w:val="hps"/>
          <w:lang w:val="en"/>
        </w:rPr>
        <w:t>A</w:t>
      </w:r>
      <w:r w:rsidR="008811EA" w:rsidRPr="00A773A7">
        <w:rPr>
          <w:rStyle w:val="hps"/>
          <w:lang w:val="en"/>
        </w:rPr>
        <w:t xml:space="preserve"> new Annex to the Convention on issues</w:t>
      </w:r>
      <w:r w:rsidR="00AC22D9" w:rsidRPr="00A773A7">
        <w:rPr>
          <w:rStyle w:val="hps"/>
          <w:lang w:val="en"/>
        </w:rPr>
        <w:t xml:space="preserve"> </w:t>
      </w:r>
      <w:r w:rsidR="008811EA" w:rsidRPr="00A773A7">
        <w:rPr>
          <w:rStyle w:val="hps"/>
          <w:lang w:val="en"/>
        </w:rPr>
        <w:t xml:space="preserve">of economic governance </w:t>
      </w:r>
      <w:r w:rsidR="00AC22D9" w:rsidRPr="00A773A7">
        <w:rPr>
          <w:rStyle w:val="hps"/>
          <w:lang w:val="en"/>
        </w:rPr>
        <w:t>appears an appropriate</w:t>
      </w:r>
      <w:r w:rsidR="00417E0B" w:rsidRPr="00A773A7">
        <w:rPr>
          <w:rStyle w:val="hps"/>
          <w:lang w:val="en"/>
        </w:rPr>
        <w:t xml:space="preserve"> place to undertake</w:t>
      </w:r>
      <w:r w:rsidR="00CF228D" w:rsidRPr="00A773A7">
        <w:rPr>
          <w:rStyle w:val="hps"/>
          <w:lang w:val="en"/>
        </w:rPr>
        <w:t xml:space="preserve"> a</w:t>
      </w:r>
      <w:r w:rsidR="00AC22D9" w:rsidRPr="00A773A7">
        <w:rPr>
          <w:rStyle w:val="hps"/>
          <w:lang w:val="en"/>
        </w:rPr>
        <w:t xml:space="preserve"> topical interpretation of the concept of national sovereignty</w:t>
      </w:r>
      <w:r w:rsidR="00CF228D" w:rsidRPr="00A773A7">
        <w:rPr>
          <w:rStyle w:val="hps"/>
          <w:lang w:val="en"/>
        </w:rPr>
        <w:t>.</w:t>
      </w:r>
      <w:r w:rsidR="00CF228D" w:rsidRPr="00A773A7">
        <w:rPr>
          <w:rStyle w:val="FootnoteReference"/>
          <w:lang w:val="en"/>
        </w:rPr>
        <w:footnoteReference w:id="35"/>
      </w:r>
      <w:r w:rsidR="008B6918" w:rsidRPr="00A773A7">
        <w:rPr>
          <w:rStyle w:val="hps"/>
          <w:lang w:val="en"/>
        </w:rPr>
        <w:t xml:space="preserve"> </w:t>
      </w:r>
      <w:r w:rsidR="00417E0B" w:rsidRPr="00A773A7">
        <w:rPr>
          <w:rStyle w:val="hps"/>
          <w:lang w:val="en"/>
        </w:rPr>
        <w:t>Given that such an interpretation</w:t>
      </w:r>
      <w:r w:rsidR="00E23538" w:rsidRPr="00A773A7">
        <w:rPr>
          <w:rStyle w:val="hps"/>
          <w:lang w:val="en"/>
        </w:rPr>
        <w:t xml:space="preserve"> </w:t>
      </w:r>
      <w:r w:rsidR="00170234" w:rsidRPr="00A773A7">
        <w:rPr>
          <w:rStyle w:val="hps"/>
          <w:lang w:val="en"/>
        </w:rPr>
        <w:t xml:space="preserve">would have to be translated into the area of market access, Article 6 of the Convention would have to be revisited. </w:t>
      </w:r>
      <w:r w:rsidR="00417E0B" w:rsidRPr="00A773A7">
        <w:rPr>
          <w:rStyle w:val="hps"/>
          <w:lang w:val="en"/>
        </w:rPr>
        <w:t xml:space="preserve">Any action to </w:t>
      </w:r>
      <w:proofErr w:type="spellStart"/>
      <w:r w:rsidR="00417E0B" w:rsidRPr="00A773A7">
        <w:rPr>
          <w:rStyle w:val="hps"/>
          <w:lang w:val="en"/>
        </w:rPr>
        <w:t>liberalise</w:t>
      </w:r>
      <w:proofErr w:type="spellEnd"/>
      <w:r w:rsidR="00570A89" w:rsidRPr="00A773A7">
        <w:rPr>
          <w:rStyle w:val="hps"/>
          <w:lang w:val="en"/>
        </w:rPr>
        <w:t xml:space="preserve"> market access</w:t>
      </w:r>
      <w:r w:rsidR="00F44C88" w:rsidRPr="00A773A7">
        <w:rPr>
          <w:rStyle w:val="hps"/>
          <w:lang w:val="en"/>
        </w:rPr>
        <w:t xml:space="preserve"> should</w:t>
      </w:r>
      <w:r w:rsidR="00D64F43" w:rsidRPr="00A773A7">
        <w:rPr>
          <w:rStyle w:val="hps"/>
          <w:lang w:val="en"/>
        </w:rPr>
        <w:t xml:space="preserve"> strike the right balance</w:t>
      </w:r>
      <w:r w:rsidR="00D848C6" w:rsidRPr="00A773A7">
        <w:rPr>
          <w:rStyle w:val="hps"/>
          <w:lang w:val="en"/>
        </w:rPr>
        <w:t xml:space="preserve"> between </w:t>
      </w:r>
      <w:r w:rsidR="00E23538" w:rsidRPr="00A773A7">
        <w:rPr>
          <w:rStyle w:val="hps"/>
          <w:lang w:val="en"/>
        </w:rPr>
        <w:t>air transport as a commercial activity</w:t>
      </w:r>
      <w:r w:rsidR="00832C46" w:rsidRPr="00A773A7">
        <w:rPr>
          <w:rStyle w:val="hps"/>
          <w:lang w:val="en"/>
        </w:rPr>
        <w:t xml:space="preserve"> and a</w:t>
      </w:r>
      <w:r w:rsidR="00581364" w:rsidRPr="00A773A7">
        <w:rPr>
          <w:rStyle w:val="hps"/>
          <w:lang w:val="en"/>
        </w:rPr>
        <w:t>ir transport as a</w:t>
      </w:r>
      <w:r w:rsidR="00E23538" w:rsidRPr="00A773A7">
        <w:rPr>
          <w:rStyle w:val="hps"/>
          <w:lang w:val="en"/>
        </w:rPr>
        <w:t xml:space="preserve"> </w:t>
      </w:r>
      <w:r w:rsidR="000C51B3" w:rsidRPr="00A773A7">
        <w:rPr>
          <w:rStyle w:val="hps"/>
          <w:lang w:val="en"/>
        </w:rPr>
        <w:t>public utility.</w:t>
      </w:r>
      <w:r w:rsidR="00417E0B" w:rsidRPr="00A773A7">
        <w:rPr>
          <w:rStyle w:val="hps"/>
          <w:lang w:val="en"/>
        </w:rPr>
        <w:t xml:space="preserve"> Providing</w:t>
      </w:r>
      <w:r w:rsidR="00F06990" w:rsidRPr="00A773A7">
        <w:rPr>
          <w:rStyle w:val="hps"/>
          <w:lang w:val="en"/>
        </w:rPr>
        <w:t xml:space="preserve"> </w:t>
      </w:r>
      <w:r w:rsidR="00417E0B" w:rsidRPr="00A773A7">
        <w:rPr>
          <w:rStyle w:val="hps"/>
          <w:lang w:val="en"/>
        </w:rPr>
        <w:t xml:space="preserve">unrestricted </w:t>
      </w:r>
      <w:r w:rsidR="00F06990" w:rsidRPr="00A773A7">
        <w:rPr>
          <w:rStyle w:val="hps"/>
          <w:lang w:val="en"/>
        </w:rPr>
        <w:t>market access</w:t>
      </w:r>
      <w:r w:rsidR="00BB6911">
        <w:rPr>
          <w:rStyle w:val="hps"/>
          <w:lang w:val="en"/>
        </w:rPr>
        <w:t xml:space="preserve"> in principle</w:t>
      </w:r>
      <w:r w:rsidR="00F06990" w:rsidRPr="00A773A7">
        <w:rPr>
          <w:rStyle w:val="hps"/>
          <w:lang w:val="en"/>
        </w:rPr>
        <w:t>, whilst preserving the States’ privilege to refuse such access where and when justified</w:t>
      </w:r>
      <w:r w:rsidR="00417E0B" w:rsidRPr="00A773A7">
        <w:rPr>
          <w:rStyle w:val="hps"/>
          <w:lang w:val="en"/>
        </w:rPr>
        <w:t xml:space="preserve"> appears a reasonable step to take</w:t>
      </w:r>
      <w:r w:rsidR="00F06990" w:rsidRPr="00A773A7">
        <w:rPr>
          <w:rStyle w:val="hps"/>
          <w:lang w:val="en"/>
        </w:rPr>
        <w:t>.</w:t>
      </w:r>
      <w:r w:rsidR="00A3379A" w:rsidRPr="00A773A7">
        <w:rPr>
          <w:rStyle w:val="FootnoteReference"/>
          <w:lang w:val="en"/>
        </w:rPr>
        <w:footnoteReference w:id="36"/>
      </w:r>
    </w:p>
    <w:p w:rsidR="002F6123" w:rsidRPr="00A773A7" w:rsidRDefault="002F6123" w:rsidP="000E7C0E">
      <w:pPr>
        <w:spacing w:after="0"/>
        <w:rPr>
          <w:b/>
        </w:rPr>
      </w:pPr>
    </w:p>
    <w:p w:rsidR="008E34FB" w:rsidRPr="00A773A7" w:rsidRDefault="002F6123" w:rsidP="000E7C0E">
      <w:pPr>
        <w:spacing w:after="0"/>
      </w:pPr>
      <w:r w:rsidRPr="00A773A7">
        <w:t>A revision of the</w:t>
      </w:r>
      <w:r w:rsidR="005A445A" w:rsidRPr="00A773A7">
        <w:t xml:space="preserve"> Chicago Convention along these</w:t>
      </w:r>
      <w:r w:rsidR="00926F36" w:rsidRPr="00A773A7">
        <w:t xml:space="preserve"> </w:t>
      </w:r>
      <w:r w:rsidRPr="00A773A7">
        <w:t xml:space="preserve">lines </w:t>
      </w:r>
      <w:r w:rsidR="00610B93" w:rsidRPr="00A773A7">
        <w:t xml:space="preserve">would </w:t>
      </w:r>
      <w:r w:rsidR="00BB6911">
        <w:t>at least assuage the conflict between the philosophies of</w:t>
      </w:r>
      <w:r w:rsidR="00610B93" w:rsidRPr="00A773A7">
        <w:t xml:space="preserve"> the GATS system and the Chicago system</w:t>
      </w:r>
      <w:r w:rsidR="009B5CBF" w:rsidRPr="00A773A7">
        <w:t>, facilitating</w:t>
      </w:r>
      <w:r w:rsidR="00A7535F" w:rsidRPr="00A773A7">
        <w:t xml:space="preserve"> a coordinated approach</w:t>
      </w:r>
      <w:r w:rsidR="00307FCA" w:rsidRPr="00A773A7">
        <w:t xml:space="preserve"> </w:t>
      </w:r>
      <w:r w:rsidR="00FC5670" w:rsidRPr="00A773A7">
        <w:t>between</w:t>
      </w:r>
      <w:r w:rsidR="0059409D" w:rsidRPr="00A773A7">
        <w:t xml:space="preserve"> </w:t>
      </w:r>
      <w:r w:rsidR="005A445A" w:rsidRPr="00A773A7">
        <w:t>WTO and ICAO</w:t>
      </w:r>
      <w:r w:rsidR="00BE7C8C" w:rsidRPr="00A773A7">
        <w:t>.</w:t>
      </w:r>
      <w:r w:rsidR="009B5CBF" w:rsidRPr="00A773A7">
        <w:t xml:space="preserve"> Chicago bilateralism would guarantee </w:t>
      </w:r>
      <w:r w:rsidR="0055622F" w:rsidRPr="00A773A7">
        <w:t>the mission of air transport as a public utility</w:t>
      </w:r>
      <w:r w:rsidR="009B5CBF" w:rsidRPr="00A773A7">
        <w:t xml:space="preserve">, while </w:t>
      </w:r>
      <w:r w:rsidR="0055622F" w:rsidRPr="00A773A7">
        <w:t xml:space="preserve">GATS multilateralism would support its development as a commercial activity. </w:t>
      </w:r>
      <w:r w:rsidR="004B0410" w:rsidRPr="00A773A7">
        <w:t>Despite their differences</w:t>
      </w:r>
      <w:r w:rsidR="002248E6" w:rsidRPr="00A773A7">
        <w:t>,</w:t>
      </w:r>
      <w:r w:rsidR="003A43F8" w:rsidRPr="00A773A7">
        <w:t xml:space="preserve"> both systems </w:t>
      </w:r>
      <w:r w:rsidR="002A7178" w:rsidRPr="00A773A7">
        <w:t>are predicated on</w:t>
      </w:r>
      <w:r w:rsidR="004B0410" w:rsidRPr="00A773A7">
        <w:t xml:space="preserve"> the principle of non-discrimination</w:t>
      </w:r>
      <w:r w:rsidR="003A43F8" w:rsidRPr="00A773A7">
        <w:t xml:space="preserve"> as applied to both States and service suppliers.</w:t>
      </w:r>
      <w:r w:rsidR="004B0410" w:rsidRPr="00A773A7">
        <w:t xml:space="preserve"> </w:t>
      </w:r>
      <w:r w:rsidR="00BC6868" w:rsidRPr="00A773A7">
        <w:t xml:space="preserve">Relaxing the wording of Article 6 of the Chicago Convention to </w:t>
      </w:r>
      <w:r w:rsidR="00BB6911">
        <w:t>make room for</w:t>
      </w:r>
      <w:r w:rsidR="00A7535F" w:rsidRPr="00A773A7">
        <w:t xml:space="preserve"> division of labou</w:t>
      </w:r>
      <w:r w:rsidR="00F71E0F" w:rsidRPr="00A773A7">
        <w:t>r between the Chicago Convention and the GATS</w:t>
      </w:r>
      <w:r w:rsidR="00A7535F" w:rsidRPr="00A773A7">
        <w:t xml:space="preserve"> </w:t>
      </w:r>
      <w:r w:rsidR="00A7535F" w:rsidRPr="00A773A7">
        <w:lastRenderedPageBreak/>
        <w:t xml:space="preserve">would </w:t>
      </w:r>
      <w:r w:rsidR="00BC6868" w:rsidRPr="00A773A7">
        <w:t xml:space="preserve">bridge the gap between </w:t>
      </w:r>
      <w:r w:rsidR="009B520F" w:rsidRPr="00A773A7">
        <w:t>non-discrimination at bilateral level and non-discrimination at multilateral level</w:t>
      </w:r>
      <w:r w:rsidR="00054070" w:rsidRPr="00A773A7">
        <w:t>.</w:t>
      </w:r>
      <w:r w:rsidR="00A7726B" w:rsidRPr="00A773A7">
        <w:t xml:space="preserve"> </w:t>
      </w:r>
    </w:p>
    <w:p w:rsidR="008E34FB" w:rsidRPr="00A773A7" w:rsidRDefault="008E34FB" w:rsidP="000E7C0E">
      <w:pPr>
        <w:spacing w:after="0"/>
      </w:pPr>
    </w:p>
    <w:p w:rsidR="00F3587E" w:rsidRPr="00A773A7" w:rsidRDefault="00F02489" w:rsidP="000E7C0E">
      <w:pPr>
        <w:spacing w:after="0"/>
      </w:pPr>
      <w:r w:rsidRPr="00A773A7">
        <w:t>A</w:t>
      </w:r>
      <w:r w:rsidR="00BB6911">
        <w:t>mendment of</w:t>
      </w:r>
      <w:r w:rsidR="002A7178" w:rsidRPr="00A773A7">
        <w:t xml:space="preserve"> the Chicago Convention </w:t>
      </w:r>
      <w:r w:rsidRPr="00A773A7">
        <w:t>to achieve liberalisation</w:t>
      </w:r>
      <w:r w:rsidR="00F3587E" w:rsidRPr="00A773A7">
        <w:t>, however effective</w:t>
      </w:r>
      <w:r w:rsidR="00BB6911">
        <w:t xml:space="preserve"> that</w:t>
      </w:r>
      <w:r w:rsidR="00F3587E" w:rsidRPr="00A773A7">
        <w:t xml:space="preserve"> </w:t>
      </w:r>
      <w:r w:rsidR="00C764ED" w:rsidRPr="00A773A7">
        <w:t>might appear</w:t>
      </w:r>
      <w:r w:rsidR="00F3587E" w:rsidRPr="00A773A7">
        <w:t>,</w:t>
      </w:r>
      <w:r w:rsidRPr="00A773A7">
        <w:t xml:space="preserve"> </w:t>
      </w:r>
      <w:r w:rsidR="00D63064" w:rsidRPr="00A773A7">
        <w:t>will be</w:t>
      </w:r>
      <w:r w:rsidRPr="00A773A7">
        <w:t xml:space="preserve"> confront</w:t>
      </w:r>
      <w:r w:rsidR="00D63064" w:rsidRPr="00A773A7">
        <w:t>ed with</w:t>
      </w:r>
      <w:r w:rsidRPr="00A773A7">
        <w:t xml:space="preserve"> </w:t>
      </w:r>
      <w:r w:rsidR="00293AF2" w:rsidRPr="00A773A7">
        <w:t>a number of</w:t>
      </w:r>
      <w:r w:rsidRPr="00A773A7">
        <w:t xml:space="preserve"> political </w:t>
      </w:r>
      <w:r w:rsidR="00293AF2" w:rsidRPr="00A773A7">
        <w:t xml:space="preserve">and legal </w:t>
      </w:r>
      <w:r w:rsidRPr="00A773A7">
        <w:t>obstacles.</w:t>
      </w:r>
      <w:r w:rsidR="002A7178" w:rsidRPr="00A773A7">
        <w:t xml:space="preserve"> </w:t>
      </w:r>
      <w:r w:rsidRPr="00A773A7">
        <w:t>The most conspicuous</w:t>
      </w:r>
      <w:r w:rsidR="00B45EF3" w:rsidRPr="00A773A7">
        <w:t xml:space="preserve"> </w:t>
      </w:r>
      <w:r w:rsidR="00285719" w:rsidRPr="00A773A7">
        <w:t>one appears to be</w:t>
      </w:r>
      <w:r w:rsidR="00B45EF3" w:rsidRPr="00A773A7">
        <w:t xml:space="preserve"> the level of consensus which is required </w:t>
      </w:r>
      <w:r w:rsidR="00003CB3" w:rsidRPr="00A773A7">
        <w:t xml:space="preserve">within ICAO </w:t>
      </w:r>
      <w:r w:rsidR="00B45EF3" w:rsidRPr="00A773A7">
        <w:t>for an amendment to take effect.</w:t>
      </w:r>
      <w:r w:rsidRPr="00A773A7">
        <w:t xml:space="preserve"> </w:t>
      </w:r>
      <w:r w:rsidR="00542C02" w:rsidRPr="00A773A7">
        <w:t>Pursuant</w:t>
      </w:r>
      <w:r w:rsidRPr="00A773A7">
        <w:t xml:space="preserve"> to Article 94(a) of the</w:t>
      </w:r>
      <w:r w:rsidR="00542C02" w:rsidRPr="00A773A7">
        <w:t xml:space="preserve"> Convention</w:t>
      </w:r>
      <w:r w:rsidR="002F2D93" w:rsidRPr="00A773A7">
        <w:t>,</w:t>
      </w:r>
      <w:r w:rsidR="00542C02" w:rsidRPr="00A773A7">
        <w:t xml:space="preserve"> “[a]</w:t>
      </w:r>
      <w:proofErr w:type="spellStart"/>
      <w:r w:rsidR="00542C02" w:rsidRPr="00A773A7">
        <w:t>ny</w:t>
      </w:r>
      <w:proofErr w:type="spellEnd"/>
      <w:r w:rsidR="00542C02" w:rsidRPr="00A773A7">
        <w:t xml:space="preserve"> proposed amendment…must be approved by a two-thirds vote of the Assembly and shall then come into force in respect of States which have ratified such amendment when ratified by …</w:t>
      </w:r>
      <w:r w:rsidR="00A86DE3" w:rsidRPr="00A773A7">
        <w:t xml:space="preserve"> </w:t>
      </w:r>
      <w:r w:rsidR="00542C02" w:rsidRPr="00A773A7">
        <w:t>[no]… less than two-thirds of the total number of contracting State</w:t>
      </w:r>
      <w:r w:rsidRPr="00A773A7">
        <w:t xml:space="preserve">s”. </w:t>
      </w:r>
      <w:r w:rsidR="00F3587E" w:rsidRPr="00A773A7">
        <w:t xml:space="preserve">The </w:t>
      </w:r>
      <w:r w:rsidR="000E0001" w:rsidRPr="00A773A7">
        <w:t>required volume of ratifications</w:t>
      </w:r>
      <w:r w:rsidR="00744095" w:rsidRPr="00A773A7">
        <w:t xml:space="preserve"> suggests that ICAO’s leadership in orchestrating the process of revision is indispensable. Reaching consensus within ICAO has always</w:t>
      </w:r>
      <w:r w:rsidR="00A470C5">
        <w:t xml:space="preserve"> been challenging in view of the</w:t>
      </w:r>
      <w:r w:rsidR="00744095" w:rsidRPr="00A773A7">
        <w:t xml:space="preserve"> volume of </w:t>
      </w:r>
      <w:r w:rsidR="00A470C5">
        <w:t xml:space="preserve">its </w:t>
      </w:r>
      <w:r w:rsidR="00744095" w:rsidRPr="00A773A7">
        <w:t>mem</w:t>
      </w:r>
      <w:r w:rsidR="00107301" w:rsidRPr="00A773A7">
        <w:t>bership</w:t>
      </w:r>
      <w:r w:rsidR="00A457D6" w:rsidRPr="00A773A7">
        <w:t xml:space="preserve">. The leadership role ICAO is called </w:t>
      </w:r>
      <w:r w:rsidR="00BC6494">
        <w:t xml:space="preserve">upon </w:t>
      </w:r>
      <w:r w:rsidR="00A457D6" w:rsidRPr="00A773A7">
        <w:t>to play</w:t>
      </w:r>
      <w:r w:rsidR="00F3587E" w:rsidRPr="00A773A7">
        <w:t xml:space="preserve"> points to</w:t>
      </w:r>
      <w:r w:rsidR="000E0001" w:rsidRPr="00A773A7">
        <w:t xml:space="preserve"> what </w:t>
      </w:r>
      <w:r w:rsidR="00175E72" w:rsidRPr="00A773A7">
        <w:t>might be the core obstacle, namely</w:t>
      </w:r>
      <w:r w:rsidR="00BC6494">
        <w:t xml:space="preserve"> ICAO’s competence (or lack</w:t>
      </w:r>
      <w:r w:rsidR="00F3587E" w:rsidRPr="00A773A7">
        <w:t xml:space="preserve"> thereof) in the area of economic regulation.</w:t>
      </w:r>
    </w:p>
    <w:p w:rsidR="00C1093D" w:rsidRPr="00A773A7" w:rsidRDefault="00C1093D" w:rsidP="000E7C0E">
      <w:pPr>
        <w:spacing w:after="0"/>
      </w:pPr>
    </w:p>
    <w:p w:rsidR="00144A4C" w:rsidRPr="00A773A7" w:rsidRDefault="00BC6494" w:rsidP="000E7C0E">
      <w:r>
        <w:t>Looking back to</w:t>
      </w:r>
      <w:r w:rsidR="00EE1DCD" w:rsidRPr="00A773A7">
        <w:t xml:space="preserve"> the time </w:t>
      </w:r>
      <w:r w:rsidR="00BA6C2F" w:rsidRPr="00A773A7">
        <w:t xml:space="preserve">when </w:t>
      </w:r>
      <w:r w:rsidR="00EE1DCD" w:rsidRPr="00A773A7">
        <w:t>the Chicago Convention was adopted,</w:t>
      </w:r>
      <w:r w:rsidR="00AB17EA" w:rsidRPr="00A773A7">
        <w:t xml:space="preserve"> the decision of the States to exchange traffic rights bilaterally</w:t>
      </w:r>
      <w:r>
        <w:t>, that is to say, to reserve to</w:t>
      </w:r>
      <w:r w:rsidR="00AB17EA" w:rsidRPr="00A773A7">
        <w:t xml:space="preserve"> themselves the economic and commercial aspects of</w:t>
      </w:r>
      <w:r>
        <w:t xml:space="preserve"> international civil aviation, </w:t>
      </w:r>
      <w:r w:rsidR="00AB17EA" w:rsidRPr="00A773A7">
        <w:t>resulted in the Convention regulating only te</w:t>
      </w:r>
      <w:r w:rsidR="009446A9" w:rsidRPr="00A773A7">
        <w:t>chnical and operational aspects</w:t>
      </w:r>
      <w:r w:rsidR="00AB17EA" w:rsidRPr="00A773A7">
        <w:t xml:space="preserve">.  As a result, ICAO, </w:t>
      </w:r>
      <w:r w:rsidR="00926F36" w:rsidRPr="00A773A7">
        <w:t>estab</w:t>
      </w:r>
      <w:r w:rsidR="00144A4C" w:rsidRPr="00A773A7">
        <w:t>l</w:t>
      </w:r>
      <w:r w:rsidR="00926F36" w:rsidRPr="00A773A7">
        <w:t>ished</w:t>
      </w:r>
      <w:r w:rsidR="00AB17EA" w:rsidRPr="00A773A7">
        <w:t xml:space="preserve"> by the Chicago Convention, has mainly operated as a technical </w:t>
      </w:r>
      <w:r>
        <w:t xml:space="preserve">standard-setting body. The intention </w:t>
      </w:r>
      <w:r w:rsidR="00AB17EA" w:rsidRPr="00A773A7">
        <w:t>of the signatories not to delegate any regulatory power in the economic field to ICAO is r</w:t>
      </w:r>
      <w:r w:rsidR="009446A9" w:rsidRPr="00A773A7">
        <w:t xml:space="preserve">eflected in the wording of Article 44, </w:t>
      </w:r>
      <w:r w:rsidR="00BA6C2F" w:rsidRPr="00A773A7">
        <w:t>which lays</w:t>
      </w:r>
      <w:r w:rsidR="009446A9" w:rsidRPr="00A773A7">
        <w:t xml:space="preserve"> down ICAO’s objectives</w:t>
      </w:r>
      <w:r w:rsidR="00AB17EA" w:rsidRPr="00A773A7">
        <w:t>. Thus</w:t>
      </w:r>
      <w:r w:rsidR="00BA6C2F" w:rsidRPr="00A773A7">
        <w:t xml:space="preserve">, in contrast with the area of international air navigation, where the aims and objectives of ICAO are </w:t>
      </w:r>
      <w:r w:rsidR="00AB17EA" w:rsidRPr="00A773A7">
        <w:rPr>
          <w:i/>
        </w:rPr>
        <w:t>to develop</w:t>
      </w:r>
      <w:r w:rsidR="00BA6C2F" w:rsidRPr="00A773A7">
        <w:t xml:space="preserve"> the relevant </w:t>
      </w:r>
      <w:r w:rsidR="00AB17EA" w:rsidRPr="00A773A7">
        <w:t xml:space="preserve">principles and </w:t>
      </w:r>
      <w:r w:rsidR="00BA6C2F" w:rsidRPr="00A773A7">
        <w:t>techniques</w:t>
      </w:r>
      <w:r w:rsidR="00AB17EA" w:rsidRPr="00A773A7">
        <w:t xml:space="preserve">, </w:t>
      </w:r>
      <w:r w:rsidR="00BA6C2F" w:rsidRPr="00A773A7">
        <w:t xml:space="preserve">when it comes to </w:t>
      </w:r>
      <w:r w:rsidR="00AB17EA" w:rsidRPr="00A773A7">
        <w:t>the planning and development of international air transport so as to meet the needs of the peoples of the world for safe, regul</w:t>
      </w:r>
      <w:r w:rsidR="00BA6C2F" w:rsidRPr="00A773A7">
        <w:t xml:space="preserve">ar and economical air transport, ICAO’s aims and objectives are merely </w:t>
      </w:r>
      <w:r w:rsidR="00AB17EA" w:rsidRPr="00A773A7">
        <w:rPr>
          <w:i/>
        </w:rPr>
        <w:t>to</w:t>
      </w:r>
      <w:r w:rsidR="00AB17EA" w:rsidRPr="00A773A7">
        <w:t xml:space="preserve"> </w:t>
      </w:r>
      <w:r w:rsidR="00AB17EA" w:rsidRPr="00A773A7">
        <w:rPr>
          <w:i/>
        </w:rPr>
        <w:t>foster</w:t>
      </w:r>
      <w:r w:rsidR="00AB17EA" w:rsidRPr="00A773A7">
        <w:t xml:space="preserve"> this planning and development.</w:t>
      </w:r>
      <w:r w:rsidR="00144A4C" w:rsidRPr="00A773A7">
        <w:t xml:space="preserve"> </w:t>
      </w:r>
    </w:p>
    <w:p w:rsidR="002A7178" w:rsidRPr="00A773A7" w:rsidRDefault="005A445A" w:rsidP="000E7C0E">
      <w:r w:rsidRPr="00A773A7">
        <w:t xml:space="preserve">The fostering </w:t>
      </w:r>
      <w:r w:rsidR="0021572D" w:rsidRPr="00A773A7">
        <w:t>role</w:t>
      </w:r>
      <w:r w:rsidRPr="00A773A7">
        <w:t xml:space="preserve"> reserved for ICAO in the area of economic regulation </w:t>
      </w:r>
      <w:r w:rsidR="0021572D" w:rsidRPr="00A773A7">
        <w:t>generates doubts about its ability to orchestrate the process of rev</w:t>
      </w:r>
      <w:r w:rsidR="00D40FD2" w:rsidRPr="00A773A7">
        <w:t xml:space="preserve">ision of the </w:t>
      </w:r>
      <w:r w:rsidR="00BC6494">
        <w:t>Chicago Convention and ensure</w:t>
      </w:r>
      <w:r w:rsidR="00D40FD2" w:rsidRPr="00A773A7">
        <w:t xml:space="preserve"> the </w:t>
      </w:r>
      <w:r w:rsidR="004F028D" w:rsidRPr="00A773A7">
        <w:t xml:space="preserve">required </w:t>
      </w:r>
      <w:r w:rsidR="00D40FD2" w:rsidRPr="00A773A7">
        <w:t>nu</w:t>
      </w:r>
      <w:r w:rsidR="004F028D" w:rsidRPr="00A773A7">
        <w:t>mber of ratifications</w:t>
      </w:r>
      <w:r w:rsidR="0059409D" w:rsidRPr="00A773A7">
        <w:t xml:space="preserve"> to achieve liberalisation.</w:t>
      </w:r>
      <w:r w:rsidR="0021572D" w:rsidRPr="00A773A7">
        <w:t xml:space="preserve"> </w:t>
      </w:r>
      <w:r w:rsidR="00BA0558" w:rsidRPr="00A773A7">
        <w:t>Unlike</w:t>
      </w:r>
      <w:r w:rsidR="0021572D" w:rsidRPr="00A773A7">
        <w:t xml:space="preserve"> the technical field, where ICAO plays a leadership role, in the area of economic regulation,</w:t>
      </w:r>
      <w:r w:rsidR="004F028D" w:rsidRPr="00A773A7">
        <w:t xml:space="preserve"> </w:t>
      </w:r>
      <w:r w:rsidR="00CE2376" w:rsidRPr="00A773A7">
        <w:t>it</w:t>
      </w:r>
      <w:r w:rsidR="00BA0558" w:rsidRPr="00A773A7">
        <w:t xml:space="preserve"> has not been particularly proactive</w:t>
      </w:r>
      <w:r w:rsidR="00D40FD2" w:rsidRPr="00A773A7">
        <w:t>.</w:t>
      </w:r>
      <w:r w:rsidR="004F028D" w:rsidRPr="00A773A7">
        <w:rPr>
          <w:vertAlign w:val="superscript"/>
        </w:rPr>
        <w:footnoteReference w:id="37"/>
      </w:r>
      <w:r w:rsidR="00D40FD2" w:rsidRPr="00A773A7">
        <w:t xml:space="preserve"> </w:t>
      </w:r>
      <w:r w:rsidR="00C71A13" w:rsidRPr="00A773A7">
        <w:t xml:space="preserve"> A way around ICAO’s limited competence in the economic field may reside in the Chicago Convention itself.</w:t>
      </w:r>
      <w:r w:rsidR="00EC00C4" w:rsidRPr="00A773A7">
        <w:t xml:space="preserve"> Article </w:t>
      </w:r>
      <w:r w:rsidR="00BC6494">
        <w:t xml:space="preserve">55(d) </w:t>
      </w:r>
      <w:r w:rsidR="00EC00C4" w:rsidRPr="00A773A7">
        <w:t>authorises the Council to study any matters affecting the organisation and operation of international air transport, including the international ownership and operation of international air services on trunk rout</w:t>
      </w:r>
      <w:r w:rsidR="009907D6" w:rsidRPr="00A773A7">
        <w:t>e</w:t>
      </w:r>
      <w:r w:rsidR="00EC00C4" w:rsidRPr="00A773A7">
        <w:t>s, and submit to the Assembly plans in relation thereto.</w:t>
      </w:r>
      <w:r w:rsidR="00F24972" w:rsidRPr="00A773A7">
        <w:t xml:space="preserve"> </w:t>
      </w:r>
      <w:r w:rsidR="00651FEB" w:rsidRPr="00A773A7">
        <w:t>This provision offers a sound legal basis for</w:t>
      </w:r>
      <w:r w:rsidR="0059409D" w:rsidRPr="00A773A7">
        <w:t xml:space="preserve"> ICAO to spearhead</w:t>
      </w:r>
      <w:r w:rsidR="00651FEB" w:rsidRPr="00A773A7">
        <w:t xml:space="preserve"> the liberalisation of international civil aviation.</w:t>
      </w:r>
      <w:r w:rsidR="00E655F7" w:rsidRPr="00A773A7">
        <w:rPr>
          <w:rStyle w:val="FootnoteReference"/>
        </w:rPr>
        <w:footnoteReference w:id="38"/>
      </w:r>
      <w:r w:rsidR="00651FEB" w:rsidRPr="00A773A7">
        <w:t xml:space="preserve"> </w:t>
      </w:r>
      <w:r w:rsidR="008375D0" w:rsidRPr="00A773A7">
        <w:t xml:space="preserve">What is more, it seems to welcome a </w:t>
      </w:r>
      <w:r w:rsidR="00D94CA8" w:rsidRPr="00A773A7">
        <w:t>fresh take on</w:t>
      </w:r>
      <w:r w:rsidR="008375D0" w:rsidRPr="00A773A7">
        <w:t xml:space="preserve"> ICAO’s fostering role, implying the need to re-interpret Article 44</w:t>
      </w:r>
      <w:r w:rsidR="002A7178" w:rsidRPr="00A773A7">
        <w:t xml:space="preserve"> in a positive, enabling, spirit, as opposed to the prevailing negative, disabling, spirit</w:t>
      </w:r>
      <w:r w:rsidR="008375D0" w:rsidRPr="00A773A7">
        <w:t>.</w:t>
      </w:r>
    </w:p>
    <w:p w:rsidR="00683A19" w:rsidRPr="00A773A7" w:rsidRDefault="00683A19" w:rsidP="000E7C0E">
      <w:pPr>
        <w:rPr>
          <w:b/>
        </w:rPr>
      </w:pPr>
      <w:r w:rsidRPr="00A773A7">
        <w:rPr>
          <w:b/>
        </w:rPr>
        <w:t>3.3.</w:t>
      </w:r>
      <w:r w:rsidR="005D0A61" w:rsidRPr="00A773A7">
        <w:rPr>
          <w:b/>
        </w:rPr>
        <w:t xml:space="preserve"> Waivers of nationality clauses</w:t>
      </w:r>
    </w:p>
    <w:p w:rsidR="00705425" w:rsidRPr="00A773A7" w:rsidRDefault="00A03702" w:rsidP="000E7C0E">
      <w:pPr>
        <w:rPr>
          <w:b/>
        </w:rPr>
      </w:pPr>
      <w:r w:rsidRPr="00A773A7">
        <w:rPr>
          <w:b/>
        </w:rPr>
        <w:t>3.3.1. Unilateral waivers</w:t>
      </w:r>
      <w:r w:rsidR="002C675B" w:rsidRPr="00A773A7">
        <w:rPr>
          <w:b/>
        </w:rPr>
        <w:t xml:space="preserve"> granted on the basis of reciprocity</w:t>
      </w:r>
    </w:p>
    <w:p w:rsidR="00D24882" w:rsidRPr="00A773A7" w:rsidRDefault="00C2392D" w:rsidP="000E7C0E">
      <w:r w:rsidRPr="00A773A7">
        <w:lastRenderedPageBreak/>
        <w:t xml:space="preserve">The creation of a new order in the regulation of international civil aviation through an amendment of the Chicago Convention </w:t>
      </w:r>
      <w:r w:rsidR="007C490D" w:rsidRPr="00A773A7">
        <w:t>is a laborious task.</w:t>
      </w:r>
      <w:r w:rsidR="00616568" w:rsidRPr="00A773A7">
        <w:t xml:space="preserve"> The question, therefore, arises </w:t>
      </w:r>
      <w:r w:rsidR="00FC0C5A" w:rsidRPr="00A773A7">
        <w:t xml:space="preserve">as to </w:t>
      </w:r>
      <w:r w:rsidR="00616568" w:rsidRPr="00A773A7">
        <w:t xml:space="preserve">whether liberalisation can be achieved outside the framework of the Chicago Convention. </w:t>
      </w:r>
      <w:r w:rsidR="0087521C" w:rsidRPr="00A773A7">
        <w:t xml:space="preserve">The main obstacle to opening up market access is the nationality restrictions provided for in national laws and reiterated, in the form of ownership and control clauses, in air services agreements. A typical nationality clause </w:t>
      </w:r>
      <w:r w:rsidR="00AB32DE" w:rsidRPr="00A773A7">
        <w:t>reads: “</w:t>
      </w:r>
      <w:r w:rsidR="00BC6933" w:rsidRPr="00A773A7">
        <w:t>[E]</w:t>
      </w:r>
      <w:proofErr w:type="spellStart"/>
      <w:r w:rsidR="00BC6933" w:rsidRPr="00A773A7">
        <w:t>ither</w:t>
      </w:r>
      <w:proofErr w:type="spellEnd"/>
      <w:r w:rsidR="00BC6933" w:rsidRPr="00A773A7">
        <w:t xml:space="preserve"> Party may revoke, suspend or limit the operating authorizations or technical permissions of an airline designated by the other Party where substantial ownership and effective control of that airline are not vested in the other Party, the Party's nationals, or both”.</w:t>
      </w:r>
      <w:r w:rsidR="00AA66D5" w:rsidRPr="00A773A7">
        <w:rPr>
          <w:rStyle w:val="FootnoteReference"/>
        </w:rPr>
        <w:footnoteReference w:id="39"/>
      </w:r>
      <w:r w:rsidR="003A4476" w:rsidRPr="00A773A7">
        <w:t xml:space="preserve"> </w:t>
      </w:r>
      <w:r w:rsidR="008E39A1" w:rsidRPr="00A773A7">
        <w:t>Nationality clauses create a right of revocation, which may or may not be exercised. The discretion conferred on the Parties implies a right not t</w:t>
      </w:r>
      <w:r w:rsidR="000E354C" w:rsidRPr="00A773A7">
        <w:t>o revoke.</w:t>
      </w:r>
      <w:r w:rsidR="001F6A6B" w:rsidRPr="00A773A7">
        <w:t xml:space="preserve"> This has given rise to the idea of waivers of nationality clauses</w:t>
      </w:r>
      <w:r w:rsidR="002C675B" w:rsidRPr="00A773A7">
        <w:t>,</w:t>
      </w:r>
      <w:r w:rsidR="001F6A6B" w:rsidRPr="00A773A7">
        <w:t xml:space="preserve"> pioneered by the International Air Transport Association (IATA).</w:t>
      </w:r>
    </w:p>
    <w:p w:rsidR="00F2510A" w:rsidRPr="00A773A7" w:rsidRDefault="00AA10BA" w:rsidP="000E7C0E">
      <w:r w:rsidRPr="00A773A7">
        <w:t>The idea of waivers of nationality clauses is part of IATA’s Agenda for Free</w:t>
      </w:r>
      <w:r w:rsidR="000D6D80" w:rsidRPr="00A773A7">
        <w:t>dom initiative</w:t>
      </w:r>
      <w:r w:rsidRPr="00A773A7">
        <w:t>.</w:t>
      </w:r>
      <w:r w:rsidR="00D05AB2" w:rsidRPr="00A773A7">
        <w:rPr>
          <w:rStyle w:val="FootnoteReference"/>
          <w:lang w:val="en"/>
        </w:rPr>
        <w:t xml:space="preserve"> </w:t>
      </w:r>
      <w:r w:rsidR="00D05AB2" w:rsidRPr="00A773A7">
        <w:rPr>
          <w:rStyle w:val="FootnoteReference"/>
          <w:lang w:val="en"/>
        </w:rPr>
        <w:footnoteReference w:id="40"/>
      </w:r>
      <w:r w:rsidR="00D05AB2" w:rsidRPr="00A773A7">
        <w:rPr>
          <w:rStyle w:val="hps"/>
          <w:lang w:val="en"/>
        </w:rPr>
        <w:t xml:space="preserve"> </w:t>
      </w:r>
      <w:r w:rsidR="000D6D80" w:rsidRPr="00A773A7">
        <w:t xml:space="preserve"> </w:t>
      </w:r>
      <w:r w:rsidR="00CD4807">
        <w:t>Since IATA represents</w:t>
      </w:r>
      <w:r w:rsidR="000D6D80" w:rsidRPr="00A773A7">
        <w:t xml:space="preserve"> the airline industry, Agenda for Freedom is a bottom-up initiative to</w:t>
      </w:r>
      <w:r w:rsidR="00C14F55" w:rsidRPr="00A773A7">
        <w:t xml:space="preserve"> mobilise governments around the world to liberalise international civil aviation. </w:t>
      </w:r>
      <w:r w:rsidR="00C850FE" w:rsidRPr="00A773A7">
        <w:t>First launched at IATA’s 2008 Annual General Meeting</w:t>
      </w:r>
      <w:r w:rsidR="006F31AE" w:rsidRPr="00A773A7">
        <w:t xml:space="preserve">, it culminated in </w:t>
      </w:r>
      <w:r w:rsidR="003E0F8D" w:rsidRPr="00A773A7">
        <w:rPr>
          <w:rStyle w:val="hps"/>
          <w:lang w:val="en"/>
        </w:rPr>
        <w:t>a</w:t>
      </w:r>
      <w:r w:rsidR="006F31AE" w:rsidRPr="00A773A7">
        <w:rPr>
          <w:rStyle w:val="hps"/>
          <w:lang w:val="en"/>
        </w:rPr>
        <w:t xml:space="preserve"> “</w:t>
      </w:r>
      <w:r w:rsidR="006F31AE" w:rsidRPr="00A773A7">
        <w:rPr>
          <w:rFonts w:cs="Arial"/>
        </w:rPr>
        <w:t>Statement of Policy Principles regarding the Implementation of Bilateral Air Services Agreements”, adopted in 2009, at Montebello, Canada</w:t>
      </w:r>
      <w:r w:rsidR="00463F0A" w:rsidRPr="00A773A7">
        <w:rPr>
          <w:rFonts w:cs="Arial"/>
        </w:rPr>
        <w:t>.</w:t>
      </w:r>
      <w:r w:rsidR="00463F0A" w:rsidRPr="00A773A7">
        <w:rPr>
          <w:rStyle w:val="FootnoteReference"/>
          <w:rFonts w:cs="Arial"/>
        </w:rPr>
        <w:footnoteReference w:id="41"/>
      </w:r>
      <w:r w:rsidR="00463F0A" w:rsidRPr="00A773A7">
        <w:rPr>
          <w:rFonts w:cs="Arial"/>
        </w:rPr>
        <w:t xml:space="preserve"> </w:t>
      </w:r>
      <w:r w:rsidR="00FD3431" w:rsidRPr="00A773A7">
        <w:rPr>
          <w:rFonts w:cs="Arial"/>
        </w:rPr>
        <w:t>The Statement is a non-legal</w:t>
      </w:r>
      <w:r w:rsidR="006D1292" w:rsidRPr="00A773A7">
        <w:rPr>
          <w:rFonts w:cs="Arial"/>
        </w:rPr>
        <w:t>ly binding instrument, signed</w:t>
      </w:r>
      <w:r w:rsidR="00FD3431" w:rsidRPr="00A773A7">
        <w:rPr>
          <w:rFonts w:cs="Arial"/>
        </w:rPr>
        <w:t xml:space="preserve"> so far by twelve countries, including the United States, and endorsed by the European Commission. </w:t>
      </w:r>
      <w:r w:rsidR="0087784C" w:rsidRPr="00A773A7">
        <w:rPr>
          <w:rFonts w:cs="Arial"/>
        </w:rPr>
        <w:t>O</w:t>
      </w:r>
      <w:r w:rsidR="00BF66D9" w:rsidRPr="00A773A7">
        <w:rPr>
          <w:rFonts w:cs="Arial"/>
        </w:rPr>
        <w:t xml:space="preserve">n the basis of reciprocity, and in the absence of valid social or public policy concerns, </w:t>
      </w:r>
      <w:r w:rsidR="0087784C" w:rsidRPr="00A773A7">
        <w:rPr>
          <w:rFonts w:cs="Arial"/>
        </w:rPr>
        <w:t>States</w:t>
      </w:r>
      <w:r w:rsidR="00BF66D9" w:rsidRPr="00A773A7">
        <w:rPr>
          <w:rFonts w:cs="Arial"/>
        </w:rPr>
        <w:t xml:space="preserve"> expressed their</w:t>
      </w:r>
      <w:r w:rsidR="004851CD" w:rsidRPr="00A773A7">
        <w:rPr>
          <w:rFonts w:cs="Arial"/>
        </w:rPr>
        <w:t xml:space="preserve"> will to waive or otherwise refrain from exercising rights stemming from</w:t>
      </w:r>
      <w:r w:rsidR="00004E21" w:rsidRPr="00A773A7">
        <w:rPr>
          <w:rFonts w:cs="Arial"/>
        </w:rPr>
        <w:t xml:space="preserve"> the nationality clauses agreed in their </w:t>
      </w:r>
      <w:proofErr w:type="spellStart"/>
      <w:r w:rsidR="00004E21" w:rsidRPr="00A773A7">
        <w:rPr>
          <w:rFonts w:cs="Arial"/>
        </w:rPr>
        <w:t>bilaterals</w:t>
      </w:r>
      <w:proofErr w:type="spellEnd"/>
      <w:r w:rsidR="00004E21" w:rsidRPr="00A773A7">
        <w:rPr>
          <w:rFonts w:cs="Arial"/>
        </w:rPr>
        <w:t xml:space="preserve"> and </w:t>
      </w:r>
      <w:r w:rsidR="00CD4807">
        <w:rPr>
          <w:rFonts w:cs="Arial"/>
        </w:rPr>
        <w:t xml:space="preserve">to </w:t>
      </w:r>
      <w:r w:rsidR="00004E21" w:rsidRPr="00A773A7">
        <w:rPr>
          <w:rFonts w:cs="Arial"/>
        </w:rPr>
        <w:t>eliminate, replace or otherwise reduce the negative effects of nationality clauses when negotiating new or amended air s</w:t>
      </w:r>
      <w:r w:rsidR="002C675B" w:rsidRPr="00A773A7">
        <w:rPr>
          <w:rFonts w:cs="Arial"/>
        </w:rPr>
        <w:t>ervices agreements</w:t>
      </w:r>
      <w:r w:rsidR="00004E21" w:rsidRPr="00A773A7">
        <w:rPr>
          <w:rFonts w:cs="Arial"/>
        </w:rPr>
        <w:t>.</w:t>
      </w:r>
      <w:r w:rsidR="00004E21" w:rsidRPr="00A773A7">
        <w:rPr>
          <w:vertAlign w:val="superscript"/>
        </w:rPr>
        <w:t xml:space="preserve"> </w:t>
      </w:r>
      <w:r w:rsidR="00004E21" w:rsidRPr="00A773A7">
        <w:rPr>
          <w:vertAlign w:val="superscript"/>
        </w:rPr>
        <w:footnoteReference w:id="42"/>
      </w:r>
      <w:r w:rsidR="00040A89" w:rsidRPr="00A773A7">
        <w:rPr>
          <w:vertAlign w:val="superscript"/>
        </w:rPr>
        <w:t xml:space="preserve"> </w:t>
      </w:r>
    </w:p>
    <w:p w:rsidR="00040A89" w:rsidRPr="00A773A7" w:rsidRDefault="00040A89" w:rsidP="000E7C0E">
      <w:r w:rsidRPr="00A773A7">
        <w:t xml:space="preserve">The most obvious weakness </w:t>
      </w:r>
      <w:r w:rsidR="00CE546D" w:rsidRPr="00A773A7">
        <w:t>of the Montebello Statement of Principles is its legal effect. Signature of the Statement creates no legal obligation on the signatories.</w:t>
      </w:r>
      <w:r w:rsidR="00CE546D" w:rsidRPr="00A773A7">
        <w:rPr>
          <w:rStyle w:val="FootnoteReference"/>
        </w:rPr>
        <w:footnoteReference w:id="43"/>
      </w:r>
      <w:r w:rsidR="005A7500" w:rsidRPr="00A773A7">
        <w:t xml:space="preserve"> The non-binding nature of the Statement implies that it is not enforceable. However, </w:t>
      </w:r>
      <w:r w:rsidR="007E3CC5" w:rsidRPr="00A773A7">
        <w:t>the ambition</w:t>
      </w:r>
      <w:r w:rsidR="00F266BD" w:rsidRPr="00A773A7">
        <w:t xml:space="preserve"> of the Statement is</w:t>
      </w:r>
      <w:r w:rsidR="007E3CC5" w:rsidRPr="00A773A7">
        <w:t xml:space="preserve"> to be accompanied by public statements made by the signatories</w:t>
      </w:r>
      <w:r w:rsidR="003C5708" w:rsidRPr="00A773A7">
        <w:t>’ competent authorities</w:t>
      </w:r>
      <w:r w:rsidR="007E3CC5" w:rsidRPr="00A773A7">
        <w:t xml:space="preserve"> that they will </w:t>
      </w:r>
      <w:r w:rsidR="00453908" w:rsidRPr="00A773A7">
        <w:t>refrain</w:t>
      </w:r>
      <w:r w:rsidR="007E3CC5" w:rsidRPr="00A773A7">
        <w:t xml:space="preserve"> from enforcing the</w:t>
      </w:r>
      <w:r w:rsidR="003C7CD2" w:rsidRPr="00A773A7">
        <w:t xml:space="preserve"> nationality clauses in their </w:t>
      </w:r>
      <w:proofErr w:type="spellStart"/>
      <w:r w:rsidR="003C7CD2" w:rsidRPr="00A773A7">
        <w:t>bilaterals</w:t>
      </w:r>
      <w:proofErr w:type="spellEnd"/>
      <w:r w:rsidR="003C7CD2" w:rsidRPr="00A773A7">
        <w:t xml:space="preserve"> with</w:t>
      </w:r>
      <w:r w:rsidR="007E3CC5" w:rsidRPr="00A773A7">
        <w:t xml:space="preserve"> countries which agree to do the same. </w:t>
      </w:r>
      <w:r w:rsidR="00CC6D79" w:rsidRPr="00A773A7">
        <w:t>Even though</w:t>
      </w:r>
      <w:r w:rsidR="001E09E3" w:rsidRPr="00A773A7">
        <w:t xml:space="preserve"> such</w:t>
      </w:r>
      <w:r w:rsidR="00A748BF" w:rsidRPr="00A773A7">
        <w:t xml:space="preserve"> public declarations have a certain </w:t>
      </w:r>
      <w:r w:rsidR="00CC6D79" w:rsidRPr="00A773A7">
        <w:t xml:space="preserve">legal </w:t>
      </w:r>
      <w:r w:rsidR="00A748BF" w:rsidRPr="00A773A7">
        <w:t xml:space="preserve">standing under public international law, </w:t>
      </w:r>
      <w:r w:rsidR="00CC6D79" w:rsidRPr="00A773A7">
        <w:t xml:space="preserve">they are not strong enough to bind States, if </w:t>
      </w:r>
      <w:r w:rsidR="008F5C14" w:rsidRPr="00A773A7">
        <w:t xml:space="preserve">they are not </w:t>
      </w:r>
      <w:r w:rsidR="00CC6D79" w:rsidRPr="00A773A7">
        <w:t>implemented. As a result, they remain unenforceable.</w:t>
      </w:r>
      <w:r w:rsidR="00CC6D79" w:rsidRPr="00A773A7">
        <w:rPr>
          <w:vertAlign w:val="superscript"/>
        </w:rPr>
        <w:t xml:space="preserve"> </w:t>
      </w:r>
      <w:r w:rsidR="00CC6D79" w:rsidRPr="00A773A7">
        <w:rPr>
          <w:vertAlign w:val="superscript"/>
        </w:rPr>
        <w:footnoteReference w:id="44"/>
      </w:r>
    </w:p>
    <w:p w:rsidR="00FD3431" w:rsidRPr="00A773A7" w:rsidRDefault="00CD4807" w:rsidP="000E7C0E">
      <w:r>
        <w:t>The effectiveness of w</w:t>
      </w:r>
      <w:r w:rsidR="00F2510A" w:rsidRPr="00A773A7">
        <w:t xml:space="preserve">aiving the nationality clauses on the basis of unilateral reciprocity </w:t>
      </w:r>
      <w:r w:rsidR="007E77F5" w:rsidRPr="00A773A7">
        <w:t xml:space="preserve">could also be </w:t>
      </w:r>
      <w:r>
        <w:t>questioned</w:t>
      </w:r>
      <w:r w:rsidR="007E77F5" w:rsidRPr="00A773A7">
        <w:t>.</w:t>
      </w:r>
      <w:r w:rsidR="00AE7874" w:rsidRPr="00A773A7">
        <w:t xml:space="preserve"> </w:t>
      </w:r>
      <w:r w:rsidR="002169FD" w:rsidRPr="00A773A7">
        <w:t>On the face of it, r</w:t>
      </w:r>
      <w:r w:rsidR="000B5C0F" w:rsidRPr="00A773A7">
        <w:t xml:space="preserve">eciprocal waivers encourage consolidation among </w:t>
      </w:r>
      <w:r>
        <w:t xml:space="preserve">the </w:t>
      </w:r>
      <w:r w:rsidR="000B5C0F" w:rsidRPr="00A773A7">
        <w:t>ai</w:t>
      </w:r>
      <w:r w:rsidR="00E36174" w:rsidRPr="00A773A7">
        <w:t>rlines of waiving countries</w:t>
      </w:r>
      <w:r w:rsidR="000B5C0F" w:rsidRPr="00A773A7">
        <w:t>. W</w:t>
      </w:r>
      <w:r w:rsidR="001F7A72" w:rsidRPr="00A773A7">
        <w:t>ere waivers</w:t>
      </w:r>
      <w:r w:rsidR="000B5C0F" w:rsidRPr="00A773A7">
        <w:t xml:space="preserve"> to be granted on a non-reciprocal basis, free riders could avail themselves of unreciprocated benefits – the same problem the WTO MFN exemption mechanism </w:t>
      </w:r>
      <w:r w:rsidR="000B5C0F" w:rsidRPr="00A773A7">
        <w:lastRenderedPageBreak/>
        <w:t xml:space="preserve">tries to </w:t>
      </w:r>
      <w:proofErr w:type="gramStart"/>
      <w:r w:rsidR="000B5C0F" w:rsidRPr="00A773A7">
        <w:t>tackle.</w:t>
      </w:r>
      <w:proofErr w:type="gramEnd"/>
      <w:r w:rsidR="002169FD" w:rsidRPr="00A773A7">
        <w:t xml:space="preserve"> Yet, b</w:t>
      </w:r>
      <w:r w:rsidR="003628F1" w:rsidRPr="00A773A7">
        <w:t>y limiti</w:t>
      </w:r>
      <w:r w:rsidR="001F7A72" w:rsidRPr="00A773A7">
        <w:t>ng the free flow of capital within waiving countries</w:t>
      </w:r>
      <w:r w:rsidR="00245531" w:rsidRPr="00A773A7">
        <w:t>, airline</w:t>
      </w:r>
      <w:r w:rsidR="001F7A72" w:rsidRPr="00A773A7">
        <w:t xml:space="preserve"> consolidation </w:t>
      </w:r>
      <w:r w:rsidR="00245531" w:rsidRPr="00A773A7">
        <w:t xml:space="preserve">can hardly be encouraged </w:t>
      </w:r>
      <w:r w:rsidR="00E36174" w:rsidRPr="00A773A7">
        <w:t xml:space="preserve">even among waiving countries’ airlines </w:t>
      </w:r>
      <w:r w:rsidR="00245531" w:rsidRPr="00A773A7">
        <w:t xml:space="preserve">for the additional reason that non-waiving countries can always enforce the nationality clauses in their </w:t>
      </w:r>
      <w:proofErr w:type="spellStart"/>
      <w:r w:rsidR="00245531" w:rsidRPr="00A773A7">
        <w:t>bilaterals</w:t>
      </w:r>
      <w:proofErr w:type="spellEnd"/>
      <w:r w:rsidR="00245531" w:rsidRPr="00A773A7">
        <w:t xml:space="preserve"> </w:t>
      </w:r>
      <w:r w:rsidR="00E36174" w:rsidRPr="00A773A7">
        <w:t xml:space="preserve">with waiving countries </w:t>
      </w:r>
      <w:r w:rsidR="00245531" w:rsidRPr="00A773A7">
        <w:t>each time an airline from a waiving country</w:t>
      </w:r>
      <w:r w:rsidR="002169FD" w:rsidRPr="00A773A7">
        <w:t>,</w:t>
      </w:r>
      <w:r w:rsidR="00245531" w:rsidRPr="00A773A7">
        <w:t xml:space="preserve"> whose ownership and control have changed as a result of a merger or acquisition by nationals of another waiving state</w:t>
      </w:r>
      <w:r w:rsidR="002169FD" w:rsidRPr="00A773A7">
        <w:t>, is designated.</w:t>
      </w:r>
      <w:r w:rsidR="0085488B" w:rsidRPr="00A773A7">
        <w:t xml:space="preserve"> </w:t>
      </w:r>
    </w:p>
    <w:p w:rsidR="00463F0A" w:rsidRPr="00A773A7" w:rsidRDefault="00690B10" w:rsidP="000E7C0E">
      <w:r w:rsidRPr="00A773A7">
        <w:t xml:space="preserve">Although unilateral reciprocity is not the answer to the problem of </w:t>
      </w:r>
      <w:r w:rsidR="005233BF" w:rsidRPr="00A773A7">
        <w:t xml:space="preserve">access to international capital markets, </w:t>
      </w:r>
      <w:proofErr w:type="gramStart"/>
      <w:r w:rsidR="005233BF" w:rsidRPr="00A773A7">
        <w:t>its</w:t>
      </w:r>
      <w:proofErr w:type="gramEnd"/>
      <w:r w:rsidR="005233BF" w:rsidRPr="00A773A7">
        <w:t xml:space="preserve"> dynamic to bring about a reform in the system of airline ownership and control is not negligible. </w:t>
      </w:r>
      <w:r w:rsidR="00B42746" w:rsidRPr="00A773A7">
        <w:t>IATA’s bottom-up initiative generated a top-down reaction</w:t>
      </w:r>
      <w:r w:rsidR="00D43E0F" w:rsidRPr="00A773A7">
        <w:t>,</w:t>
      </w:r>
      <w:r w:rsidR="00B42746" w:rsidRPr="00A773A7">
        <w:t xml:space="preserve"> which </w:t>
      </w:r>
      <w:r w:rsidR="009E0624" w:rsidRPr="00A773A7">
        <w:t>is an in</w:t>
      </w:r>
      <w:r w:rsidR="005663E2" w:rsidRPr="00A773A7">
        <w:t xml:space="preserve">dicator of the momentum the issue of </w:t>
      </w:r>
      <w:r w:rsidR="009E0624" w:rsidRPr="00A773A7">
        <w:t>liberalisation</w:t>
      </w:r>
      <w:r w:rsidR="005663E2" w:rsidRPr="00A773A7">
        <w:t xml:space="preserve"> has gained</w:t>
      </w:r>
      <w:r w:rsidR="009E0624" w:rsidRPr="00A773A7">
        <w:t xml:space="preserve">. Even if the </w:t>
      </w:r>
      <w:r w:rsidR="006459FE" w:rsidRPr="00A773A7">
        <w:t xml:space="preserve">integrity of </w:t>
      </w:r>
      <w:r w:rsidR="00CD4807">
        <w:t xml:space="preserve">the </w:t>
      </w:r>
      <w:r w:rsidR="006459FE" w:rsidRPr="00A773A7">
        <w:t xml:space="preserve">intentions expressed in the </w:t>
      </w:r>
      <w:r w:rsidR="009E0624" w:rsidRPr="00A773A7">
        <w:t xml:space="preserve">Montebello </w:t>
      </w:r>
      <w:r w:rsidR="006459FE" w:rsidRPr="00A773A7">
        <w:t xml:space="preserve">Statement is questioned by </w:t>
      </w:r>
      <w:r w:rsidR="00CD4807">
        <w:t>its</w:t>
      </w:r>
      <w:r w:rsidR="00AF0710" w:rsidRPr="00A773A7">
        <w:t xml:space="preserve"> </w:t>
      </w:r>
      <w:r w:rsidR="006459FE" w:rsidRPr="00A773A7">
        <w:t>non-binding effect</w:t>
      </w:r>
      <w:r w:rsidR="00AF0710" w:rsidRPr="00A773A7">
        <w:t xml:space="preserve">, </w:t>
      </w:r>
      <w:r w:rsidR="00DB10A7" w:rsidRPr="00A773A7">
        <w:t>the Statement remains</w:t>
      </w:r>
      <w:r w:rsidR="006D09C3" w:rsidRPr="00A773A7">
        <w:t xml:space="preserve"> a preparatory step in the liberalisation process</w:t>
      </w:r>
      <w:r w:rsidR="00D43E0F" w:rsidRPr="00A773A7">
        <w:t>.</w:t>
      </w:r>
    </w:p>
    <w:p w:rsidR="00D43E0F" w:rsidRPr="00A773A7" w:rsidRDefault="00D43E0F" w:rsidP="000E7C0E">
      <w:pPr>
        <w:rPr>
          <w:b/>
        </w:rPr>
      </w:pPr>
      <w:r w:rsidRPr="00A773A7">
        <w:rPr>
          <w:b/>
        </w:rPr>
        <w:t xml:space="preserve">3.3.2. </w:t>
      </w:r>
      <w:r w:rsidR="00595268" w:rsidRPr="00A773A7">
        <w:rPr>
          <w:b/>
        </w:rPr>
        <w:t>Multilateral waivers</w:t>
      </w:r>
    </w:p>
    <w:p w:rsidR="00362F8E" w:rsidRPr="00A773A7" w:rsidRDefault="00EE5E52" w:rsidP="00362F8E">
      <w:pPr>
        <w:rPr>
          <w:rFonts w:cs="Arial"/>
        </w:rPr>
      </w:pPr>
      <w:r w:rsidRPr="00A773A7">
        <w:t xml:space="preserve">The States signing the Montebello Statement </w:t>
      </w:r>
      <w:r w:rsidR="00D848ED" w:rsidRPr="00A773A7">
        <w:t xml:space="preserve">have not been </w:t>
      </w:r>
      <w:r w:rsidR="00572DC7" w:rsidRPr="00A773A7">
        <w:t>oblivious to</w:t>
      </w:r>
      <w:r w:rsidRPr="00A773A7">
        <w:t xml:space="preserve"> </w:t>
      </w:r>
      <w:r w:rsidR="00CD4807">
        <w:t xml:space="preserve">the limited ability of the unilateral waivers </w:t>
      </w:r>
      <w:r w:rsidR="00CA183D" w:rsidRPr="00A773A7">
        <w:t xml:space="preserve">to liberalise access to capital markets. </w:t>
      </w:r>
      <w:r w:rsidR="00C91027" w:rsidRPr="00A773A7">
        <w:t>Instead, t</w:t>
      </w:r>
      <w:r w:rsidR="00FB5E27" w:rsidRPr="00A773A7">
        <w:t>hey</w:t>
      </w:r>
      <w:r w:rsidR="00572DC7" w:rsidRPr="00A773A7">
        <w:t xml:space="preserve"> expressed their will to give “sympathetic consideration” to the possibility of a multilateral agreement to accomplish the same goal.</w:t>
      </w:r>
      <w:r w:rsidR="00572DC7" w:rsidRPr="00A773A7">
        <w:rPr>
          <w:rStyle w:val="FootnoteReference"/>
        </w:rPr>
        <w:footnoteReference w:id="45"/>
      </w:r>
      <w:r w:rsidR="00001CD5" w:rsidRPr="00A773A7">
        <w:t xml:space="preserve"> A draft of a Multilateral Convention on Foreign Investment in Airlines</w:t>
      </w:r>
      <w:r w:rsidR="00724C8E" w:rsidRPr="00A773A7">
        <w:t xml:space="preserve"> </w:t>
      </w:r>
      <w:r w:rsidR="00001CD5" w:rsidRPr="00A773A7">
        <w:t>was discussed</w:t>
      </w:r>
      <w:r w:rsidR="00724C8E" w:rsidRPr="00A773A7">
        <w:t xml:space="preserve"> at the 37</w:t>
      </w:r>
      <w:r w:rsidR="00724C8E" w:rsidRPr="00A773A7">
        <w:rPr>
          <w:vertAlign w:val="superscript"/>
        </w:rPr>
        <w:t>th</w:t>
      </w:r>
      <w:r w:rsidR="00724C8E" w:rsidRPr="00A773A7">
        <w:t xml:space="preserve"> Session of the ICAO Assembly</w:t>
      </w:r>
      <w:r w:rsidR="00362F8E" w:rsidRPr="00A773A7">
        <w:t xml:space="preserve"> (2010)</w:t>
      </w:r>
      <w:r w:rsidR="00724C8E" w:rsidRPr="00A773A7">
        <w:t>.</w:t>
      </w:r>
      <w:r w:rsidR="00245637" w:rsidRPr="00A773A7">
        <w:rPr>
          <w:rStyle w:val="FootnoteReference"/>
        </w:rPr>
        <w:footnoteReference w:id="46"/>
      </w:r>
      <w:r w:rsidR="00362F8E" w:rsidRPr="00A773A7">
        <w:t xml:space="preserve"> The 38</w:t>
      </w:r>
      <w:r w:rsidR="00362F8E" w:rsidRPr="00A773A7">
        <w:rPr>
          <w:vertAlign w:val="superscript"/>
        </w:rPr>
        <w:t>th</w:t>
      </w:r>
      <w:r w:rsidR="00362F8E" w:rsidRPr="00A773A7">
        <w:t xml:space="preserve"> Session of the </w:t>
      </w:r>
      <w:r w:rsidR="00516856" w:rsidRPr="00A773A7">
        <w:t xml:space="preserve">ICAO </w:t>
      </w:r>
      <w:r w:rsidR="00362F8E" w:rsidRPr="00A773A7">
        <w:t>Assembly</w:t>
      </w:r>
      <w:r w:rsidR="00410475" w:rsidRPr="00A773A7">
        <w:t xml:space="preserve"> (2013)</w:t>
      </w:r>
      <w:r w:rsidR="00362F8E" w:rsidRPr="00A773A7">
        <w:rPr>
          <w:rFonts w:cs="Arial"/>
        </w:rPr>
        <w:t xml:space="preserve"> request</w:t>
      </w:r>
      <w:r w:rsidR="00410475" w:rsidRPr="00A773A7">
        <w:rPr>
          <w:rFonts w:cs="Arial"/>
        </w:rPr>
        <w:t>ed</w:t>
      </w:r>
      <w:r w:rsidR="00362F8E" w:rsidRPr="00A773A7">
        <w:rPr>
          <w:rFonts w:cs="Arial"/>
        </w:rPr>
        <w:t xml:space="preserve"> the Council to initiate work on an international agreement to liberalise air carrier ownership and control.</w:t>
      </w:r>
      <w:r w:rsidR="00362F8E" w:rsidRPr="00A773A7">
        <w:rPr>
          <w:rStyle w:val="FootnoteReference"/>
          <w:rFonts w:cs="Arial"/>
        </w:rPr>
        <w:footnoteReference w:id="47"/>
      </w:r>
    </w:p>
    <w:p w:rsidR="00D61285" w:rsidRPr="00A773A7" w:rsidRDefault="00001CD5" w:rsidP="00362F8E">
      <w:pPr>
        <w:rPr>
          <w:rFonts w:cs="Arial"/>
        </w:rPr>
      </w:pPr>
      <w:r w:rsidRPr="00A773A7">
        <w:rPr>
          <w:rFonts w:cs="Arial"/>
        </w:rPr>
        <w:t xml:space="preserve">The </w:t>
      </w:r>
      <w:r w:rsidR="00DF77BD" w:rsidRPr="00A773A7">
        <w:rPr>
          <w:rFonts w:cs="Arial"/>
        </w:rPr>
        <w:t>draft Multilateral Convention discussed at the 37</w:t>
      </w:r>
      <w:r w:rsidR="00DF77BD" w:rsidRPr="00A773A7">
        <w:rPr>
          <w:rFonts w:cs="Arial"/>
          <w:vertAlign w:val="superscript"/>
        </w:rPr>
        <w:t>th</w:t>
      </w:r>
      <w:r w:rsidR="00DF77BD" w:rsidRPr="00A773A7">
        <w:rPr>
          <w:rFonts w:cs="Arial"/>
        </w:rPr>
        <w:t xml:space="preserve"> Sessi</w:t>
      </w:r>
      <w:r w:rsidR="00CD4807">
        <w:rPr>
          <w:rFonts w:cs="Arial"/>
        </w:rPr>
        <w:t>on of the ICAO Assembly proposes</w:t>
      </w:r>
      <w:r w:rsidR="00DF77BD" w:rsidRPr="00A773A7">
        <w:rPr>
          <w:rFonts w:cs="Arial"/>
        </w:rPr>
        <w:t xml:space="preserve"> two possible scenarios. The first scenario is based on lists of partner States</w:t>
      </w:r>
      <w:r w:rsidR="008078B9" w:rsidRPr="00A773A7">
        <w:rPr>
          <w:rFonts w:cs="Arial"/>
        </w:rPr>
        <w:t>,</w:t>
      </w:r>
      <w:r w:rsidR="007A46E0" w:rsidRPr="00A773A7">
        <w:rPr>
          <w:rFonts w:cs="Arial"/>
        </w:rPr>
        <w:t xml:space="preserve"> </w:t>
      </w:r>
      <w:r w:rsidR="00BE7799" w:rsidRPr="00A773A7">
        <w:rPr>
          <w:rFonts w:cs="Arial"/>
        </w:rPr>
        <w:t xml:space="preserve">which States </w:t>
      </w:r>
      <w:r w:rsidR="00DF77BD" w:rsidRPr="00A773A7">
        <w:rPr>
          <w:rFonts w:cs="Arial"/>
        </w:rPr>
        <w:t>submit to the Deposi</w:t>
      </w:r>
      <w:r w:rsidR="00BE7799" w:rsidRPr="00A773A7">
        <w:rPr>
          <w:rFonts w:cs="Arial"/>
        </w:rPr>
        <w:t xml:space="preserve">tary </w:t>
      </w:r>
      <w:r w:rsidR="00DF77BD" w:rsidRPr="00A773A7">
        <w:rPr>
          <w:rFonts w:cs="Arial"/>
        </w:rPr>
        <w:t>at the time of ratification of the Convention</w:t>
      </w:r>
      <w:r w:rsidR="00BE7799" w:rsidRPr="00A773A7">
        <w:rPr>
          <w:rFonts w:cs="Arial"/>
        </w:rPr>
        <w:t>.</w:t>
      </w:r>
      <w:r w:rsidR="002F152A" w:rsidRPr="00A773A7">
        <w:rPr>
          <w:rStyle w:val="FootnoteReference"/>
          <w:rFonts w:cs="Arial"/>
        </w:rPr>
        <w:footnoteReference w:id="48"/>
      </w:r>
      <w:r w:rsidR="007217F2" w:rsidRPr="00A773A7">
        <w:rPr>
          <w:rFonts w:cs="Arial"/>
        </w:rPr>
        <w:t xml:space="preserve"> This scenario accounts for waivers of nationality clauses in the followi</w:t>
      </w:r>
      <w:r w:rsidR="007136D3" w:rsidRPr="00A773A7">
        <w:rPr>
          <w:rFonts w:cs="Arial"/>
        </w:rPr>
        <w:t xml:space="preserve">ng cases: </w:t>
      </w:r>
      <w:proofErr w:type="spellStart"/>
      <w:r w:rsidR="007136D3" w:rsidRPr="00A773A7">
        <w:rPr>
          <w:rFonts w:cs="Arial"/>
        </w:rPr>
        <w:t>i</w:t>
      </w:r>
      <w:proofErr w:type="spellEnd"/>
      <w:r w:rsidR="007136D3" w:rsidRPr="00A773A7">
        <w:rPr>
          <w:rFonts w:cs="Arial"/>
        </w:rPr>
        <w:t>. cases where third country</w:t>
      </w:r>
      <w:r w:rsidR="007217F2" w:rsidRPr="00A773A7">
        <w:rPr>
          <w:rFonts w:cs="Arial"/>
        </w:rPr>
        <w:t xml:space="preserve"> airlines become owned and controlled by</w:t>
      </w:r>
      <w:r w:rsidR="00BC0ACA" w:rsidRPr="00A773A7">
        <w:rPr>
          <w:rFonts w:cs="Arial"/>
        </w:rPr>
        <w:t xml:space="preserve"> </w:t>
      </w:r>
      <w:r w:rsidR="00D83D03" w:rsidRPr="00A773A7">
        <w:rPr>
          <w:rFonts w:cs="Arial"/>
        </w:rPr>
        <w:t xml:space="preserve">nationals </w:t>
      </w:r>
      <w:r w:rsidR="00F711BE" w:rsidRPr="00A773A7">
        <w:rPr>
          <w:rFonts w:cs="Arial"/>
        </w:rPr>
        <w:t xml:space="preserve">of </w:t>
      </w:r>
      <w:r w:rsidR="00BC0ACA" w:rsidRPr="00A773A7">
        <w:rPr>
          <w:rFonts w:cs="Arial"/>
        </w:rPr>
        <w:t>other</w:t>
      </w:r>
      <w:r w:rsidR="007136D3" w:rsidRPr="00A773A7">
        <w:rPr>
          <w:rFonts w:cs="Arial"/>
        </w:rPr>
        <w:t xml:space="preserve"> third countries</w:t>
      </w:r>
      <w:r w:rsidR="00BC0ACA" w:rsidRPr="00A773A7">
        <w:rPr>
          <w:rFonts w:cs="Arial"/>
        </w:rPr>
        <w:t xml:space="preserve"> and are designated </w:t>
      </w:r>
      <w:r w:rsidR="007136D3" w:rsidRPr="00A773A7">
        <w:rPr>
          <w:rFonts w:cs="Arial"/>
        </w:rPr>
        <w:t>by the latter</w:t>
      </w:r>
      <w:r w:rsidR="00BC0ACA" w:rsidRPr="00A773A7">
        <w:rPr>
          <w:rFonts w:cs="Arial"/>
        </w:rPr>
        <w:t>;</w:t>
      </w:r>
      <w:r w:rsidR="009F78C3" w:rsidRPr="00A773A7">
        <w:rPr>
          <w:rStyle w:val="FootnoteReference"/>
          <w:rFonts w:cs="Arial"/>
        </w:rPr>
        <w:footnoteReference w:id="49"/>
      </w:r>
      <w:r w:rsidR="007136D3" w:rsidRPr="00A773A7">
        <w:rPr>
          <w:rFonts w:cs="Arial"/>
        </w:rPr>
        <w:t xml:space="preserve"> ii. </w:t>
      </w:r>
      <w:proofErr w:type="gramStart"/>
      <w:r w:rsidR="007136D3" w:rsidRPr="00A773A7">
        <w:rPr>
          <w:rFonts w:cs="Arial"/>
        </w:rPr>
        <w:t>cases</w:t>
      </w:r>
      <w:proofErr w:type="gramEnd"/>
      <w:r w:rsidR="007136D3" w:rsidRPr="00A773A7">
        <w:rPr>
          <w:rFonts w:cs="Arial"/>
        </w:rPr>
        <w:t xml:space="preserve"> where third country</w:t>
      </w:r>
      <w:r w:rsidR="00BC0ACA" w:rsidRPr="00A773A7">
        <w:rPr>
          <w:rFonts w:cs="Arial"/>
        </w:rPr>
        <w:t xml:space="preserve"> airlines become</w:t>
      </w:r>
      <w:r w:rsidR="00DB423B" w:rsidRPr="00A773A7">
        <w:rPr>
          <w:rFonts w:cs="Arial"/>
        </w:rPr>
        <w:t xml:space="preserve"> owned and controlled by a State</w:t>
      </w:r>
      <w:r w:rsidR="00BC0ACA" w:rsidRPr="00A773A7">
        <w:rPr>
          <w:rFonts w:cs="Arial"/>
        </w:rPr>
        <w:t xml:space="preserve">’s own nationals and are designated by </w:t>
      </w:r>
      <w:r w:rsidR="001641D1" w:rsidRPr="00A773A7">
        <w:rPr>
          <w:rFonts w:cs="Arial"/>
        </w:rPr>
        <w:t>these third</w:t>
      </w:r>
      <w:r w:rsidR="007136D3" w:rsidRPr="00A773A7">
        <w:rPr>
          <w:rFonts w:cs="Arial"/>
        </w:rPr>
        <w:t xml:space="preserve"> countries</w:t>
      </w:r>
      <w:r w:rsidR="00BC0ACA" w:rsidRPr="00A773A7">
        <w:rPr>
          <w:rFonts w:cs="Arial"/>
        </w:rPr>
        <w:t>;</w:t>
      </w:r>
      <w:r w:rsidR="009F78C3" w:rsidRPr="00A773A7">
        <w:rPr>
          <w:rStyle w:val="FootnoteReference"/>
          <w:rFonts w:cs="Arial"/>
        </w:rPr>
        <w:footnoteReference w:id="50"/>
      </w:r>
      <w:r w:rsidR="00BC0ACA" w:rsidRPr="00A773A7">
        <w:rPr>
          <w:rFonts w:cs="Arial"/>
        </w:rPr>
        <w:t xml:space="preserve"> and, iii. </w:t>
      </w:r>
      <w:proofErr w:type="gramStart"/>
      <w:r w:rsidR="00BC0ACA" w:rsidRPr="00A773A7">
        <w:rPr>
          <w:rFonts w:cs="Arial"/>
        </w:rPr>
        <w:t>cases</w:t>
      </w:r>
      <w:proofErr w:type="gramEnd"/>
      <w:r w:rsidR="00BC0ACA" w:rsidRPr="00A773A7">
        <w:rPr>
          <w:rFonts w:cs="Arial"/>
        </w:rPr>
        <w:t xml:space="preserve"> where a State’s own airlines become</w:t>
      </w:r>
      <w:r w:rsidR="007136D3" w:rsidRPr="00A773A7">
        <w:rPr>
          <w:rFonts w:cs="Arial"/>
        </w:rPr>
        <w:t xml:space="preserve"> owned and controlled by third country</w:t>
      </w:r>
      <w:r w:rsidR="00BC0ACA" w:rsidRPr="00A773A7">
        <w:rPr>
          <w:rFonts w:cs="Arial"/>
        </w:rPr>
        <w:t xml:space="preserve"> nationals.</w:t>
      </w:r>
      <w:r w:rsidR="009F78C3" w:rsidRPr="00A773A7">
        <w:rPr>
          <w:rStyle w:val="FootnoteReference"/>
          <w:rFonts w:cs="Arial"/>
        </w:rPr>
        <w:footnoteReference w:id="51"/>
      </w:r>
      <w:r w:rsidR="00BC0ACA" w:rsidRPr="00A773A7">
        <w:rPr>
          <w:rFonts w:cs="Arial"/>
        </w:rPr>
        <w:t xml:space="preserve"> </w:t>
      </w:r>
      <w:r w:rsidR="00E96868" w:rsidRPr="00A773A7">
        <w:rPr>
          <w:rFonts w:cs="Arial"/>
        </w:rPr>
        <w:t>I</w:t>
      </w:r>
      <w:r w:rsidR="006222AC" w:rsidRPr="00A773A7">
        <w:rPr>
          <w:rFonts w:cs="Arial"/>
        </w:rPr>
        <w:t>n all three cases,</w:t>
      </w:r>
      <w:r w:rsidR="001641D1" w:rsidRPr="00A773A7">
        <w:rPr>
          <w:rFonts w:cs="Arial"/>
        </w:rPr>
        <w:t xml:space="preserve"> waiv</w:t>
      </w:r>
      <w:r w:rsidR="001B5512" w:rsidRPr="00A773A7">
        <w:rPr>
          <w:rFonts w:cs="Arial"/>
        </w:rPr>
        <w:t>ers are subject to the condition that all Parti</w:t>
      </w:r>
      <w:r w:rsidR="00D83D03" w:rsidRPr="00A773A7">
        <w:rPr>
          <w:rFonts w:cs="Arial"/>
        </w:rPr>
        <w:t xml:space="preserve">es involved have included each </w:t>
      </w:r>
      <w:r w:rsidR="001B5512" w:rsidRPr="00A773A7">
        <w:rPr>
          <w:rFonts w:cs="Arial"/>
        </w:rPr>
        <w:t>other on the relevant partner lists.</w:t>
      </w:r>
      <w:r w:rsidR="006F422C" w:rsidRPr="00A773A7">
        <w:rPr>
          <w:rFonts w:cs="Arial"/>
        </w:rPr>
        <w:t xml:space="preserve"> </w:t>
      </w:r>
      <w:r w:rsidR="00D61285" w:rsidRPr="00A773A7">
        <w:rPr>
          <w:rFonts w:cs="Arial"/>
        </w:rPr>
        <w:t xml:space="preserve">The second scenario does away with partner lists and </w:t>
      </w:r>
      <w:proofErr w:type="spellStart"/>
      <w:r w:rsidR="00D61285" w:rsidRPr="00A773A7">
        <w:rPr>
          <w:rFonts w:cs="Arial"/>
        </w:rPr>
        <w:t>multilateralises</w:t>
      </w:r>
      <w:proofErr w:type="spellEnd"/>
      <w:r w:rsidR="00D61285" w:rsidRPr="00A773A7">
        <w:rPr>
          <w:rFonts w:cs="Arial"/>
        </w:rPr>
        <w:t xml:space="preserve"> the waivers among all </w:t>
      </w:r>
      <w:r w:rsidR="00D05AB2" w:rsidRPr="00A773A7">
        <w:rPr>
          <w:rFonts w:cs="Arial"/>
        </w:rPr>
        <w:t xml:space="preserve">the Convention’s </w:t>
      </w:r>
      <w:r w:rsidR="00D61285" w:rsidRPr="00A773A7">
        <w:rPr>
          <w:rFonts w:cs="Arial"/>
        </w:rPr>
        <w:t>signatories.</w:t>
      </w:r>
      <w:r w:rsidR="00C16FF6" w:rsidRPr="00A773A7">
        <w:rPr>
          <w:rStyle w:val="FootnoteReference"/>
          <w:rFonts w:cs="Arial"/>
        </w:rPr>
        <w:footnoteReference w:id="52"/>
      </w:r>
      <w:r w:rsidR="00AD6A97" w:rsidRPr="00A773A7">
        <w:rPr>
          <w:rFonts w:cs="Arial"/>
        </w:rPr>
        <w:t xml:space="preserve"> </w:t>
      </w:r>
    </w:p>
    <w:p w:rsidR="00EE5E52" w:rsidRPr="00A773A7" w:rsidRDefault="006F422C" w:rsidP="000E7C0E">
      <w:pPr>
        <w:rPr>
          <w:rFonts w:cs="Arial"/>
        </w:rPr>
      </w:pPr>
      <w:r w:rsidRPr="00A773A7">
        <w:rPr>
          <w:rFonts w:cs="Arial"/>
        </w:rPr>
        <w:t xml:space="preserve">Attempting an assessment of these scenarios, </w:t>
      </w:r>
      <w:r w:rsidR="00F75451" w:rsidRPr="00A773A7">
        <w:rPr>
          <w:rFonts w:cs="Arial"/>
        </w:rPr>
        <w:t xml:space="preserve">partner lists serve the purpose of preventing free riders. </w:t>
      </w:r>
      <w:r w:rsidR="00A32B70" w:rsidRPr="00A773A7">
        <w:rPr>
          <w:rFonts w:cs="Arial"/>
        </w:rPr>
        <w:t xml:space="preserve">Moreover, they </w:t>
      </w:r>
      <w:r w:rsidR="00A86E7C" w:rsidRPr="00A773A7">
        <w:rPr>
          <w:rFonts w:cs="Arial"/>
        </w:rPr>
        <w:t>are</w:t>
      </w:r>
      <w:r w:rsidR="007F2105" w:rsidRPr="00A773A7">
        <w:rPr>
          <w:rFonts w:cs="Arial"/>
        </w:rPr>
        <w:t xml:space="preserve"> sensitive to </w:t>
      </w:r>
      <w:proofErr w:type="spellStart"/>
      <w:r w:rsidR="007F2105" w:rsidRPr="00A773A7">
        <w:rPr>
          <w:rFonts w:cs="Arial"/>
        </w:rPr>
        <w:t>aeropolitics</w:t>
      </w:r>
      <w:proofErr w:type="spellEnd"/>
      <w:r w:rsidR="00A86E7C" w:rsidRPr="00A773A7">
        <w:rPr>
          <w:rFonts w:cs="Arial"/>
        </w:rPr>
        <w:t xml:space="preserve"> in that they </w:t>
      </w:r>
      <w:r w:rsidR="00426221" w:rsidRPr="00A773A7">
        <w:rPr>
          <w:rFonts w:cs="Arial"/>
        </w:rPr>
        <w:t xml:space="preserve">enable </w:t>
      </w:r>
      <w:r w:rsidR="00A86E7C" w:rsidRPr="00A773A7">
        <w:rPr>
          <w:rFonts w:cs="Arial"/>
        </w:rPr>
        <w:t>Parties</w:t>
      </w:r>
      <w:r w:rsidR="00F75451" w:rsidRPr="00A773A7">
        <w:rPr>
          <w:rFonts w:cs="Arial"/>
        </w:rPr>
        <w:t xml:space="preserve"> to choose the States with which they wish to have liberal aviation </w:t>
      </w:r>
      <w:r w:rsidR="00A32B70" w:rsidRPr="00A773A7">
        <w:rPr>
          <w:rFonts w:cs="Arial"/>
        </w:rPr>
        <w:t>relations.</w:t>
      </w:r>
      <w:r w:rsidR="00A86E7C" w:rsidRPr="00A773A7">
        <w:rPr>
          <w:rFonts w:cs="Arial"/>
        </w:rPr>
        <w:t xml:space="preserve"> </w:t>
      </w:r>
      <w:r w:rsidR="00F711BE" w:rsidRPr="00A773A7">
        <w:rPr>
          <w:rFonts w:cs="Arial"/>
        </w:rPr>
        <w:t xml:space="preserve">Multilateral waivers among all </w:t>
      </w:r>
      <w:r w:rsidR="00327724" w:rsidRPr="00A773A7">
        <w:rPr>
          <w:rFonts w:cs="Arial"/>
        </w:rPr>
        <w:t xml:space="preserve">the </w:t>
      </w:r>
      <w:r w:rsidR="00327724" w:rsidRPr="00A773A7">
        <w:rPr>
          <w:rFonts w:cs="Arial"/>
        </w:rPr>
        <w:lastRenderedPageBreak/>
        <w:t xml:space="preserve">Convention’s </w:t>
      </w:r>
      <w:r w:rsidR="00F711BE" w:rsidRPr="00A773A7">
        <w:rPr>
          <w:rFonts w:cs="Arial"/>
        </w:rPr>
        <w:t>signatories do not offer the same protection</w:t>
      </w:r>
      <w:r w:rsidR="00327724" w:rsidRPr="00A773A7">
        <w:rPr>
          <w:rFonts w:cs="Arial"/>
        </w:rPr>
        <w:t xml:space="preserve">, </w:t>
      </w:r>
      <w:r w:rsidR="008C1591" w:rsidRPr="00A773A7">
        <w:rPr>
          <w:rFonts w:cs="Arial"/>
        </w:rPr>
        <w:t>since Parties can control the</w:t>
      </w:r>
      <w:r w:rsidR="005E4343" w:rsidRPr="00A773A7">
        <w:rPr>
          <w:rFonts w:cs="Arial"/>
        </w:rPr>
        <w:t xml:space="preserve"> signatories’ identity</w:t>
      </w:r>
      <w:r w:rsidR="007C29C9" w:rsidRPr="00A773A7">
        <w:rPr>
          <w:rFonts w:cs="Arial"/>
        </w:rPr>
        <w:t xml:space="preserve"> only at the time</w:t>
      </w:r>
      <w:r w:rsidR="008C1591" w:rsidRPr="00A773A7">
        <w:rPr>
          <w:rFonts w:cs="Arial"/>
        </w:rPr>
        <w:t xml:space="preserve"> of signature. </w:t>
      </w:r>
      <w:r w:rsidR="005E4343" w:rsidRPr="00A773A7">
        <w:rPr>
          <w:rFonts w:cs="Arial"/>
        </w:rPr>
        <w:t>Non-signatory States acceding to the Convention at later stages would escape such control</w:t>
      </w:r>
      <w:r w:rsidR="008E6134" w:rsidRPr="00A773A7">
        <w:rPr>
          <w:rFonts w:cs="Arial"/>
        </w:rPr>
        <w:t>,</w:t>
      </w:r>
      <w:r w:rsidR="005E4343" w:rsidRPr="00A773A7">
        <w:rPr>
          <w:rFonts w:cs="Arial"/>
        </w:rPr>
        <w:t xml:space="preserve"> unless further conditions were to be introduced</w:t>
      </w:r>
      <w:r w:rsidR="008E6134" w:rsidRPr="00A773A7">
        <w:rPr>
          <w:rFonts w:cs="Arial"/>
        </w:rPr>
        <w:t>. S</w:t>
      </w:r>
      <w:r w:rsidR="00224D38" w:rsidRPr="00A773A7">
        <w:rPr>
          <w:rFonts w:cs="Arial"/>
        </w:rPr>
        <w:t xml:space="preserve">ignatories could, for instance, </w:t>
      </w:r>
      <w:r w:rsidR="003E6E76" w:rsidRPr="00A773A7">
        <w:rPr>
          <w:rFonts w:cs="Arial"/>
        </w:rPr>
        <w:t>offer</w:t>
      </w:r>
      <w:r w:rsidR="00224D38" w:rsidRPr="00A773A7">
        <w:rPr>
          <w:rFonts w:cs="Arial"/>
        </w:rPr>
        <w:t xml:space="preserve"> their waivers only to acceding States with whom they</w:t>
      </w:r>
      <w:r w:rsidR="002A70D2" w:rsidRPr="00A773A7">
        <w:rPr>
          <w:rFonts w:cs="Arial"/>
        </w:rPr>
        <w:t xml:space="preserve"> have </w:t>
      </w:r>
      <w:r w:rsidR="0010664E" w:rsidRPr="00A773A7">
        <w:rPr>
          <w:rFonts w:cs="Arial"/>
        </w:rPr>
        <w:t xml:space="preserve">concluded </w:t>
      </w:r>
      <w:r w:rsidR="002A70D2" w:rsidRPr="00A773A7">
        <w:rPr>
          <w:rFonts w:cs="Arial"/>
        </w:rPr>
        <w:t>liberal air services agreements.</w:t>
      </w:r>
      <w:r w:rsidR="00846200" w:rsidRPr="00A773A7">
        <w:rPr>
          <w:rFonts w:cs="Arial"/>
        </w:rPr>
        <w:t xml:space="preserve"> </w:t>
      </w:r>
    </w:p>
    <w:p w:rsidR="00463F0A" w:rsidRPr="00A773A7" w:rsidRDefault="00AD3FFE" w:rsidP="000E7C0E">
      <w:pPr>
        <w:rPr>
          <w:rFonts w:cs="Arial"/>
        </w:rPr>
      </w:pPr>
      <w:r w:rsidRPr="00A773A7">
        <w:rPr>
          <w:rFonts w:cs="Arial"/>
        </w:rPr>
        <w:t>A multilateral treaty</w:t>
      </w:r>
      <w:r w:rsidR="0027696E" w:rsidRPr="00A773A7">
        <w:rPr>
          <w:rFonts w:cs="Arial"/>
        </w:rPr>
        <w:t xml:space="preserve"> </w:t>
      </w:r>
      <w:r w:rsidR="007C29C9" w:rsidRPr="00A773A7">
        <w:rPr>
          <w:rFonts w:cs="Arial"/>
        </w:rPr>
        <w:t xml:space="preserve">to waive nationality restrictions </w:t>
      </w:r>
      <w:r w:rsidR="003E6E76" w:rsidRPr="00A773A7">
        <w:rPr>
          <w:rFonts w:cs="Arial"/>
        </w:rPr>
        <w:t>provides</w:t>
      </w:r>
      <w:r w:rsidR="005D123E" w:rsidRPr="00A773A7">
        <w:rPr>
          <w:rFonts w:cs="Arial"/>
        </w:rPr>
        <w:t xml:space="preserve"> legal certainty concerning its bindi</w:t>
      </w:r>
      <w:r w:rsidR="00A070A7" w:rsidRPr="00A773A7">
        <w:rPr>
          <w:rFonts w:cs="Arial"/>
        </w:rPr>
        <w:t>ng fo</w:t>
      </w:r>
      <w:r w:rsidR="00CD4807">
        <w:rPr>
          <w:rFonts w:cs="Arial"/>
        </w:rPr>
        <w:t>rce and enforceability. In contrast</w:t>
      </w:r>
      <w:r w:rsidR="00A070A7" w:rsidRPr="00A773A7">
        <w:rPr>
          <w:rFonts w:cs="Arial"/>
        </w:rPr>
        <w:t xml:space="preserve"> to unilateral waivers by means of political declarations, a multilateral treaty</w:t>
      </w:r>
      <w:r w:rsidR="00E46FE3" w:rsidRPr="00A773A7">
        <w:rPr>
          <w:rFonts w:cs="Arial"/>
        </w:rPr>
        <w:t xml:space="preserve"> is</w:t>
      </w:r>
      <w:r w:rsidR="000933E7" w:rsidRPr="00A773A7">
        <w:rPr>
          <w:rFonts w:cs="Arial"/>
        </w:rPr>
        <w:t xml:space="preserve"> ratified in accordance</w:t>
      </w:r>
      <w:r w:rsidR="00E46FE3" w:rsidRPr="00A773A7">
        <w:rPr>
          <w:rFonts w:cs="Arial"/>
        </w:rPr>
        <w:t xml:space="preserve"> with public international law and is governed by the Vienna Convention on the Law of Treaties, should an issue of interpretation arise.</w:t>
      </w:r>
      <w:r w:rsidR="00011CC0" w:rsidRPr="00A773A7">
        <w:rPr>
          <w:rStyle w:val="FootnoteReference"/>
          <w:rFonts w:cs="Arial"/>
        </w:rPr>
        <w:footnoteReference w:id="53"/>
      </w:r>
      <w:r w:rsidR="008F6A66" w:rsidRPr="00A773A7">
        <w:rPr>
          <w:rFonts w:cs="Arial"/>
        </w:rPr>
        <w:t xml:space="preserve"> </w:t>
      </w:r>
      <w:r w:rsidR="004C6D5E" w:rsidRPr="00A773A7">
        <w:rPr>
          <w:rFonts w:cs="Arial"/>
        </w:rPr>
        <w:t xml:space="preserve">From an effectiveness point of view, ratification by a large volume of States or by </w:t>
      </w:r>
      <w:proofErr w:type="spellStart"/>
      <w:r w:rsidR="004C6D5E" w:rsidRPr="00A773A7">
        <w:rPr>
          <w:rFonts w:cs="Arial"/>
        </w:rPr>
        <w:t>aeropoli</w:t>
      </w:r>
      <w:r w:rsidR="00FC1D66" w:rsidRPr="00A773A7">
        <w:rPr>
          <w:rFonts w:cs="Arial"/>
        </w:rPr>
        <w:t>tically</w:t>
      </w:r>
      <w:proofErr w:type="spellEnd"/>
      <w:r w:rsidR="00FC1D66" w:rsidRPr="00A773A7">
        <w:rPr>
          <w:rFonts w:cs="Arial"/>
        </w:rPr>
        <w:t xml:space="preserve"> influential States can</w:t>
      </w:r>
      <w:r w:rsidR="006A5890" w:rsidRPr="00A773A7">
        <w:rPr>
          <w:rFonts w:cs="Arial"/>
        </w:rPr>
        <w:t xml:space="preserve"> trigger</w:t>
      </w:r>
      <w:r w:rsidR="004C6D5E" w:rsidRPr="00A773A7">
        <w:rPr>
          <w:rFonts w:cs="Arial"/>
        </w:rPr>
        <w:t xml:space="preserve"> further ratifications. </w:t>
      </w:r>
      <w:r w:rsidR="00E610FB" w:rsidRPr="00A773A7">
        <w:rPr>
          <w:rFonts w:cs="Arial"/>
        </w:rPr>
        <w:t>Although the draft Convention discussed at the 37</w:t>
      </w:r>
      <w:r w:rsidR="00E610FB" w:rsidRPr="00A773A7">
        <w:rPr>
          <w:rFonts w:cs="Arial"/>
          <w:vertAlign w:val="superscript"/>
        </w:rPr>
        <w:t>th</w:t>
      </w:r>
      <w:r w:rsidR="00E610FB" w:rsidRPr="00A773A7">
        <w:rPr>
          <w:rFonts w:cs="Arial"/>
        </w:rPr>
        <w:t xml:space="preserve"> Session of the ICAO Assembly </w:t>
      </w:r>
      <w:r w:rsidR="006F318C" w:rsidRPr="00A773A7">
        <w:rPr>
          <w:rFonts w:cs="Arial"/>
        </w:rPr>
        <w:t xml:space="preserve">provides that Parties are not required to permit foreign ownership or control of their own airlines, </w:t>
      </w:r>
      <w:r w:rsidR="00216B69" w:rsidRPr="00A773A7">
        <w:rPr>
          <w:rFonts w:cs="Arial"/>
        </w:rPr>
        <w:t>argu</w:t>
      </w:r>
      <w:r w:rsidR="00CD4807">
        <w:rPr>
          <w:rFonts w:cs="Arial"/>
        </w:rPr>
        <w:t>ably, mass</w:t>
      </w:r>
      <w:r w:rsidR="00216B69" w:rsidRPr="00A773A7">
        <w:rPr>
          <w:rFonts w:cs="Arial"/>
        </w:rPr>
        <w:t xml:space="preserve"> adherence to the Convention could lead to States amending their national laws to permit foreign ownership or control of their airlines.</w:t>
      </w:r>
      <w:r w:rsidR="008072CD" w:rsidRPr="00A773A7">
        <w:rPr>
          <w:rStyle w:val="FootnoteReference"/>
          <w:rFonts w:cs="Arial"/>
        </w:rPr>
        <w:footnoteReference w:id="54"/>
      </w:r>
      <w:r w:rsidR="00FC1D66" w:rsidRPr="00A773A7">
        <w:rPr>
          <w:rFonts w:cs="Arial"/>
        </w:rPr>
        <w:t xml:space="preserve"> Regulatory reform at nati</w:t>
      </w:r>
      <w:r w:rsidR="00E163F3" w:rsidRPr="00A773A7">
        <w:rPr>
          <w:rFonts w:cs="Arial"/>
        </w:rPr>
        <w:t xml:space="preserve">onal level would catalyse </w:t>
      </w:r>
      <w:r w:rsidR="00214F9F" w:rsidRPr="00A773A7">
        <w:rPr>
          <w:rFonts w:cs="Arial"/>
        </w:rPr>
        <w:t>the ame</w:t>
      </w:r>
      <w:r w:rsidR="004F28E6" w:rsidRPr="00A773A7">
        <w:rPr>
          <w:rFonts w:cs="Arial"/>
        </w:rPr>
        <w:t xml:space="preserve">ndment of the Chicago Convention, offering the States the opportunity to </w:t>
      </w:r>
      <w:r w:rsidR="002861DD" w:rsidRPr="00A773A7">
        <w:rPr>
          <w:rFonts w:cs="Arial"/>
        </w:rPr>
        <w:t>determine</w:t>
      </w:r>
      <w:r w:rsidR="00C0187D" w:rsidRPr="00A773A7">
        <w:rPr>
          <w:rFonts w:cs="Arial"/>
        </w:rPr>
        <w:t xml:space="preserve"> the</w:t>
      </w:r>
      <w:r w:rsidR="002861DD" w:rsidRPr="00A773A7">
        <w:rPr>
          <w:rFonts w:cs="Arial"/>
        </w:rPr>
        <w:t xml:space="preserve"> WTO/GATS role</w:t>
      </w:r>
      <w:r w:rsidR="004F28E6" w:rsidRPr="00A773A7">
        <w:rPr>
          <w:rFonts w:cs="Arial"/>
        </w:rPr>
        <w:t xml:space="preserve"> in the regulation of international civil aviation.</w:t>
      </w:r>
      <w:r w:rsidR="00D12769" w:rsidRPr="00A773A7">
        <w:rPr>
          <w:rFonts w:cs="Arial"/>
        </w:rPr>
        <w:t xml:space="preserve"> Therefore, multilateral waivers have the potential to trigger the transition from bilateralism to </w:t>
      </w:r>
      <w:r w:rsidR="00C849B7" w:rsidRPr="00A773A7">
        <w:rPr>
          <w:rFonts w:cs="Arial"/>
        </w:rPr>
        <w:t>multilateralism.</w:t>
      </w:r>
    </w:p>
    <w:p w:rsidR="00FE3862" w:rsidRPr="00A773A7" w:rsidRDefault="00FE3862" w:rsidP="000E7C0E">
      <w:pPr>
        <w:rPr>
          <w:rFonts w:cs="Arial"/>
          <w:b/>
        </w:rPr>
      </w:pPr>
      <w:r w:rsidRPr="00A773A7">
        <w:rPr>
          <w:rFonts w:cs="Arial"/>
          <w:b/>
        </w:rPr>
        <w:t>3.4. Inter-regional Air Transport Agreements</w:t>
      </w:r>
    </w:p>
    <w:p w:rsidR="00A571C6" w:rsidRPr="00A773A7" w:rsidRDefault="00871F62" w:rsidP="000E7C0E">
      <w:pPr>
        <w:rPr>
          <w:rFonts w:cs="Arial"/>
        </w:rPr>
      </w:pPr>
      <w:r w:rsidRPr="00A773A7">
        <w:rPr>
          <w:rFonts w:cs="Arial"/>
        </w:rPr>
        <w:t xml:space="preserve">In an exceedingly globalised world, cooperation is a condition of survival. </w:t>
      </w:r>
      <w:r w:rsidR="00000BB3" w:rsidRPr="00A773A7">
        <w:rPr>
          <w:rFonts w:cs="Arial"/>
        </w:rPr>
        <w:t xml:space="preserve">The establishment of Communities </w:t>
      </w:r>
      <w:r w:rsidR="006D6F5E" w:rsidRPr="00A773A7">
        <w:rPr>
          <w:rFonts w:cs="Arial"/>
        </w:rPr>
        <w:t xml:space="preserve">or Unions </w:t>
      </w:r>
      <w:r w:rsidR="00000BB3" w:rsidRPr="00A773A7">
        <w:rPr>
          <w:rFonts w:cs="Arial"/>
        </w:rPr>
        <w:t>of States</w:t>
      </w:r>
      <w:r w:rsidR="004C62C0" w:rsidRPr="00A773A7">
        <w:rPr>
          <w:rFonts w:cs="Arial"/>
        </w:rPr>
        <w:t xml:space="preserve"> sharing common interests is a </w:t>
      </w:r>
      <w:r w:rsidR="006D6F5E" w:rsidRPr="00A773A7">
        <w:rPr>
          <w:rFonts w:cs="Arial"/>
        </w:rPr>
        <w:t xml:space="preserve">phenomenon that has manifested itself in all continents. </w:t>
      </w:r>
      <w:r w:rsidR="00FF3A92" w:rsidRPr="00A773A7">
        <w:rPr>
          <w:rFonts w:cs="Arial"/>
        </w:rPr>
        <w:t xml:space="preserve">Regional integration </w:t>
      </w:r>
      <w:r w:rsidR="0033523F" w:rsidRPr="00A773A7">
        <w:rPr>
          <w:rFonts w:cs="Arial"/>
        </w:rPr>
        <w:t>amounts to convergence</w:t>
      </w:r>
      <w:r w:rsidR="004B4BBB" w:rsidRPr="00A773A7">
        <w:rPr>
          <w:rFonts w:cs="Arial"/>
        </w:rPr>
        <w:t xml:space="preserve"> of national policies and legislations</w:t>
      </w:r>
      <w:r w:rsidR="0033523F" w:rsidRPr="00A773A7">
        <w:rPr>
          <w:rFonts w:cs="Arial"/>
        </w:rPr>
        <w:t>, culminating in Unions with a single legal personali</w:t>
      </w:r>
      <w:r w:rsidR="004B4BBB" w:rsidRPr="00A773A7">
        <w:rPr>
          <w:rFonts w:cs="Arial"/>
        </w:rPr>
        <w:t>ty. Cooperation among such Unions</w:t>
      </w:r>
      <w:r w:rsidR="003742E8" w:rsidRPr="00A773A7">
        <w:rPr>
          <w:rFonts w:cs="Arial"/>
        </w:rPr>
        <w:t>,</w:t>
      </w:r>
      <w:r w:rsidR="004B4BBB" w:rsidRPr="00A773A7">
        <w:rPr>
          <w:rFonts w:cs="Arial"/>
        </w:rPr>
        <w:t xml:space="preserve"> </w:t>
      </w:r>
      <w:r w:rsidR="00113F13" w:rsidRPr="00A773A7">
        <w:rPr>
          <w:rFonts w:cs="Arial"/>
        </w:rPr>
        <w:t>or amon</w:t>
      </w:r>
      <w:r w:rsidR="00000038" w:rsidRPr="00A773A7">
        <w:rPr>
          <w:rFonts w:cs="Arial"/>
        </w:rPr>
        <w:t>g such Unions and countries of</w:t>
      </w:r>
      <w:r w:rsidR="00113F13" w:rsidRPr="00A773A7">
        <w:rPr>
          <w:rFonts w:cs="Arial"/>
        </w:rPr>
        <w:t xml:space="preserve"> cons</w:t>
      </w:r>
      <w:r w:rsidR="009E7282" w:rsidRPr="00A773A7">
        <w:rPr>
          <w:rFonts w:cs="Arial"/>
        </w:rPr>
        <w:t>iderable size and might</w:t>
      </w:r>
      <w:r w:rsidR="003742E8" w:rsidRPr="00A773A7">
        <w:rPr>
          <w:rFonts w:cs="Arial"/>
        </w:rPr>
        <w:t>,</w:t>
      </w:r>
      <w:r w:rsidR="009E7282" w:rsidRPr="00A773A7">
        <w:rPr>
          <w:rFonts w:cs="Arial"/>
        </w:rPr>
        <w:t xml:space="preserve"> is naturally extended</w:t>
      </w:r>
      <w:r w:rsidR="00EC2CBC" w:rsidRPr="00A773A7">
        <w:rPr>
          <w:rFonts w:cs="Arial"/>
        </w:rPr>
        <w:t xml:space="preserve"> to air transportation. </w:t>
      </w:r>
      <w:r w:rsidR="00A571C6" w:rsidRPr="00A773A7">
        <w:rPr>
          <w:rFonts w:cs="Arial"/>
        </w:rPr>
        <w:t>T</w:t>
      </w:r>
      <w:r w:rsidR="00E8373E" w:rsidRPr="00A773A7">
        <w:rPr>
          <w:rFonts w:cs="Arial"/>
        </w:rPr>
        <w:t>he potential of</w:t>
      </w:r>
      <w:r w:rsidR="00A571C6" w:rsidRPr="00A773A7">
        <w:rPr>
          <w:rFonts w:cs="Arial"/>
        </w:rPr>
        <w:t xml:space="preserve"> inter-regional </w:t>
      </w:r>
      <w:r w:rsidR="00BD4287" w:rsidRPr="00A773A7">
        <w:rPr>
          <w:rFonts w:cs="Arial"/>
        </w:rPr>
        <w:t xml:space="preserve">air transport </w:t>
      </w:r>
      <w:r w:rsidR="00A571C6" w:rsidRPr="00A773A7">
        <w:rPr>
          <w:rFonts w:cs="Arial"/>
        </w:rPr>
        <w:t>agreem</w:t>
      </w:r>
      <w:r w:rsidR="00E8373E" w:rsidRPr="00A773A7">
        <w:rPr>
          <w:rFonts w:cs="Arial"/>
        </w:rPr>
        <w:t xml:space="preserve">ents </w:t>
      </w:r>
      <w:r w:rsidR="00A571C6" w:rsidRPr="00A773A7">
        <w:rPr>
          <w:rFonts w:cs="Arial"/>
        </w:rPr>
        <w:t>to drive liberalisation of international civil aviation</w:t>
      </w:r>
      <w:r w:rsidR="00002745" w:rsidRPr="00A773A7">
        <w:rPr>
          <w:rFonts w:cs="Arial"/>
        </w:rPr>
        <w:t xml:space="preserve"> merits attention.</w:t>
      </w:r>
    </w:p>
    <w:p w:rsidR="006B5A30" w:rsidRPr="00A773A7" w:rsidRDefault="00735BCF" w:rsidP="000E7C0E">
      <w:r>
        <w:rPr>
          <w:rFonts w:cs="Arial"/>
        </w:rPr>
        <w:t xml:space="preserve">The 2007 </w:t>
      </w:r>
      <w:r w:rsidR="00EC2CBC" w:rsidRPr="00A773A7">
        <w:rPr>
          <w:rFonts w:cs="Arial"/>
        </w:rPr>
        <w:t>US</w:t>
      </w:r>
      <w:r>
        <w:rPr>
          <w:rFonts w:cs="Arial"/>
        </w:rPr>
        <w:t>-EU</w:t>
      </w:r>
      <w:r w:rsidR="00EC2CBC" w:rsidRPr="00A773A7">
        <w:rPr>
          <w:rFonts w:cs="Arial"/>
        </w:rPr>
        <w:t xml:space="preserve"> Air </w:t>
      </w:r>
      <w:r w:rsidR="00E8373E" w:rsidRPr="00A773A7">
        <w:rPr>
          <w:rFonts w:cs="Arial"/>
        </w:rPr>
        <w:t xml:space="preserve">Transport Agreement constitutes the </w:t>
      </w:r>
      <w:r w:rsidR="00EC2CBC" w:rsidRPr="00A773A7">
        <w:rPr>
          <w:rFonts w:cs="Arial"/>
        </w:rPr>
        <w:t xml:space="preserve">archetype </w:t>
      </w:r>
      <w:r w:rsidR="000657CC" w:rsidRPr="00A773A7">
        <w:rPr>
          <w:rFonts w:cs="Arial"/>
        </w:rPr>
        <w:t>of an inter-regional</w:t>
      </w:r>
      <w:r w:rsidR="00A7512F" w:rsidRPr="00A773A7">
        <w:rPr>
          <w:rFonts w:cs="Arial"/>
        </w:rPr>
        <w:t xml:space="preserve"> </w:t>
      </w:r>
      <w:r w:rsidR="00567E98" w:rsidRPr="00A773A7">
        <w:rPr>
          <w:rFonts w:cs="Arial"/>
        </w:rPr>
        <w:t xml:space="preserve">air transport </w:t>
      </w:r>
      <w:r w:rsidR="000657CC" w:rsidRPr="00A773A7">
        <w:rPr>
          <w:rFonts w:cs="Arial"/>
        </w:rPr>
        <w:t>agreement</w:t>
      </w:r>
      <w:r w:rsidR="004D2F70" w:rsidRPr="00A773A7">
        <w:rPr>
          <w:rFonts w:cs="Arial"/>
        </w:rPr>
        <w:t>.</w:t>
      </w:r>
      <w:r w:rsidR="00B22BAF" w:rsidRPr="00A773A7">
        <w:rPr>
          <w:vertAlign w:val="superscript"/>
        </w:rPr>
        <w:footnoteReference w:id="55"/>
      </w:r>
      <w:r w:rsidR="00464F28" w:rsidRPr="00A773A7">
        <w:rPr>
          <w:rFonts w:cs="Arial"/>
        </w:rPr>
        <w:t xml:space="preserve"> </w:t>
      </w:r>
      <w:r w:rsidR="00A7512F" w:rsidRPr="00A773A7">
        <w:rPr>
          <w:rFonts w:cs="Arial"/>
        </w:rPr>
        <w:t>The air transport market</w:t>
      </w:r>
      <w:r w:rsidR="00CD4807">
        <w:rPr>
          <w:rFonts w:cs="Arial"/>
        </w:rPr>
        <w:t>s</w:t>
      </w:r>
      <w:r w:rsidR="00A7512F" w:rsidRPr="00A773A7">
        <w:rPr>
          <w:rFonts w:cs="Arial"/>
        </w:rPr>
        <w:t xml:space="preserve"> in the United States an</w:t>
      </w:r>
      <w:r w:rsidR="00CD4807">
        <w:rPr>
          <w:rFonts w:cs="Arial"/>
        </w:rPr>
        <w:t>d the European Union combine to generate</w:t>
      </w:r>
      <w:r w:rsidR="00A7512F" w:rsidRPr="00A773A7">
        <w:rPr>
          <w:rFonts w:cs="Arial"/>
        </w:rPr>
        <w:t xml:space="preserve"> approximately 50% of world traffic, </w:t>
      </w:r>
      <w:r w:rsidR="00CD4807">
        <w:rPr>
          <w:rFonts w:cs="Arial"/>
        </w:rPr>
        <w:t>a factor</w:t>
      </w:r>
      <w:r w:rsidR="0070325E" w:rsidRPr="00A773A7">
        <w:rPr>
          <w:rFonts w:cs="Arial"/>
        </w:rPr>
        <w:t xml:space="preserve"> which is in </w:t>
      </w:r>
      <w:proofErr w:type="gramStart"/>
      <w:r w:rsidR="0070325E" w:rsidRPr="00A773A7">
        <w:rPr>
          <w:rFonts w:cs="Arial"/>
        </w:rPr>
        <w:t>itself</w:t>
      </w:r>
      <w:proofErr w:type="gramEnd"/>
      <w:r w:rsidR="0070325E" w:rsidRPr="00A773A7">
        <w:rPr>
          <w:rFonts w:cs="Arial"/>
        </w:rPr>
        <w:t xml:space="preserve"> sufficient </w:t>
      </w:r>
      <w:r w:rsidR="00520F1C" w:rsidRPr="00A773A7">
        <w:rPr>
          <w:rFonts w:cs="Arial"/>
        </w:rPr>
        <w:t xml:space="preserve">to catalyse air transport </w:t>
      </w:r>
      <w:r w:rsidR="0070325E" w:rsidRPr="00A773A7">
        <w:rPr>
          <w:rFonts w:cs="Arial"/>
        </w:rPr>
        <w:t>liberalisation</w:t>
      </w:r>
      <w:r w:rsidR="00520F1C" w:rsidRPr="00A773A7">
        <w:rPr>
          <w:rFonts w:cs="Arial"/>
        </w:rPr>
        <w:t xml:space="preserve"> in other parts of the world.</w:t>
      </w:r>
      <w:r w:rsidR="005E0F12" w:rsidRPr="00A773A7">
        <w:rPr>
          <w:vertAlign w:val="superscript"/>
        </w:rPr>
        <w:t xml:space="preserve"> </w:t>
      </w:r>
      <w:r w:rsidR="005E0F12" w:rsidRPr="00A773A7">
        <w:rPr>
          <w:vertAlign w:val="superscript"/>
        </w:rPr>
        <w:footnoteReference w:id="56"/>
      </w:r>
      <w:r w:rsidR="00647A9C" w:rsidRPr="00A773A7">
        <w:rPr>
          <w:rFonts w:cs="Arial"/>
        </w:rPr>
        <w:t xml:space="preserve"> </w:t>
      </w:r>
      <w:r w:rsidR="00496655" w:rsidRPr="00A773A7">
        <w:rPr>
          <w:rFonts w:cs="Arial"/>
        </w:rPr>
        <w:t>T</w:t>
      </w:r>
      <w:r w:rsidR="006830F0" w:rsidRPr="00A773A7">
        <w:rPr>
          <w:rFonts w:cs="Arial"/>
        </w:rPr>
        <w:t>his is especially so in view of the extensive market</w:t>
      </w:r>
      <w:r w:rsidR="0096616D" w:rsidRPr="00A773A7">
        <w:rPr>
          <w:rFonts w:cs="Arial"/>
        </w:rPr>
        <w:t xml:space="preserve"> access </w:t>
      </w:r>
      <w:r w:rsidR="006B5A30" w:rsidRPr="00A773A7">
        <w:rPr>
          <w:rFonts w:cs="Arial"/>
        </w:rPr>
        <w:t xml:space="preserve">and other commercial </w:t>
      </w:r>
      <w:r w:rsidR="0096616D" w:rsidRPr="00A773A7">
        <w:rPr>
          <w:rFonts w:cs="Arial"/>
        </w:rPr>
        <w:t>opportunities opened up for</w:t>
      </w:r>
      <w:r w:rsidR="006830F0" w:rsidRPr="00A773A7">
        <w:rPr>
          <w:rFonts w:cs="Arial"/>
        </w:rPr>
        <w:t xml:space="preserve"> </w:t>
      </w:r>
      <w:r w:rsidR="00FC583C" w:rsidRPr="00A773A7">
        <w:rPr>
          <w:rFonts w:cs="Arial"/>
        </w:rPr>
        <w:t xml:space="preserve">EU and US </w:t>
      </w:r>
      <w:r w:rsidR="006830F0" w:rsidRPr="00A773A7">
        <w:rPr>
          <w:rFonts w:cs="Arial"/>
        </w:rPr>
        <w:t>airlines</w:t>
      </w:r>
      <w:r w:rsidR="00496655" w:rsidRPr="00A773A7">
        <w:rPr>
          <w:rFonts w:cs="Arial"/>
        </w:rPr>
        <w:t xml:space="preserve"> </w:t>
      </w:r>
      <w:r w:rsidR="006830F0" w:rsidRPr="00A773A7">
        <w:rPr>
          <w:rFonts w:cs="Arial"/>
        </w:rPr>
        <w:t xml:space="preserve">(i.e. </w:t>
      </w:r>
      <w:r w:rsidR="00647A9C" w:rsidRPr="00A773A7">
        <w:t>unlimited 3</w:t>
      </w:r>
      <w:r w:rsidR="00647A9C" w:rsidRPr="00A773A7">
        <w:rPr>
          <w:vertAlign w:val="superscript"/>
        </w:rPr>
        <w:t>rd</w:t>
      </w:r>
      <w:r w:rsidR="00647A9C" w:rsidRPr="00A773A7">
        <w:t>, 4</w:t>
      </w:r>
      <w:r w:rsidR="00647A9C" w:rsidRPr="00A773A7">
        <w:rPr>
          <w:vertAlign w:val="superscript"/>
        </w:rPr>
        <w:t>th</w:t>
      </w:r>
      <w:r w:rsidR="00647A9C" w:rsidRPr="00A773A7">
        <w:t xml:space="preserve"> and 5</w:t>
      </w:r>
      <w:r w:rsidR="00647A9C" w:rsidRPr="00A773A7">
        <w:rPr>
          <w:vertAlign w:val="superscript"/>
        </w:rPr>
        <w:t>th</w:t>
      </w:r>
      <w:r w:rsidR="00647A9C" w:rsidRPr="00A773A7">
        <w:t xml:space="preserve"> freedom rights for US and EU carriers alike, limited 7</w:t>
      </w:r>
      <w:r w:rsidR="00647A9C" w:rsidRPr="00A773A7">
        <w:rPr>
          <w:vertAlign w:val="superscript"/>
        </w:rPr>
        <w:t>th</w:t>
      </w:r>
      <w:r w:rsidR="00647A9C" w:rsidRPr="00A773A7">
        <w:t xml:space="preserve"> freedom passenger rights and unlimited a</w:t>
      </w:r>
      <w:r w:rsidR="006830F0" w:rsidRPr="00A773A7">
        <w:t>ll-cargo rights</w:t>
      </w:r>
      <w:r w:rsidR="006B5A30" w:rsidRPr="00A773A7">
        <w:t xml:space="preserve"> for EU carriers, </w:t>
      </w:r>
      <w:r w:rsidR="00647A9C" w:rsidRPr="00A773A7">
        <w:t>unrestricted capacity and frequency and free pricing</w:t>
      </w:r>
      <w:r w:rsidR="006B5A30" w:rsidRPr="00A773A7">
        <w:t>)</w:t>
      </w:r>
      <w:r w:rsidR="00966E22" w:rsidRPr="00A773A7">
        <w:t>.</w:t>
      </w:r>
      <w:r w:rsidR="00C029B6" w:rsidRPr="00A773A7">
        <w:t xml:space="preserve"> </w:t>
      </w:r>
      <w:r w:rsidR="006B6DEE" w:rsidRPr="00A773A7">
        <w:t>Air transport being international by nature</w:t>
      </w:r>
      <w:r w:rsidR="00711740" w:rsidRPr="00A773A7">
        <w:t xml:space="preserve">, the </w:t>
      </w:r>
      <w:r w:rsidR="006B5A30" w:rsidRPr="00A773A7">
        <w:t xml:space="preserve">need for a level playing field, </w:t>
      </w:r>
      <w:r w:rsidR="00711740" w:rsidRPr="00A773A7">
        <w:t>that is to say for uniform conditions of competition,</w:t>
      </w:r>
      <w:r w:rsidR="002918BC" w:rsidRPr="00A773A7">
        <w:t xml:space="preserve"> </w:t>
      </w:r>
      <w:r w:rsidR="00251710">
        <w:t>incentivises States to liberalise</w:t>
      </w:r>
      <w:r w:rsidR="00913BEE">
        <w:t>,</w:t>
      </w:r>
      <w:r w:rsidR="00251710">
        <w:t xml:space="preserve"> in order to afford to their carriers </w:t>
      </w:r>
      <w:r w:rsidR="0000623F">
        <w:t xml:space="preserve">a </w:t>
      </w:r>
      <w:r w:rsidR="0068790F">
        <w:t xml:space="preserve">fair and equal </w:t>
      </w:r>
      <w:r w:rsidR="0000623F">
        <w:t>opportunity</w:t>
      </w:r>
      <w:r w:rsidR="0068790F">
        <w:t xml:space="preserve"> to compete</w:t>
      </w:r>
      <w:r w:rsidR="00251710">
        <w:t>.</w:t>
      </w:r>
    </w:p>
    <w:p w:rsidR="00164BF5" w:rsidRPr="00A773A7" w:rsidRDefault="00A075CA" w:rsidP="000E7C0E">
      <w:r w:rsidRPr="00A773A7">
        <w:lastRenderedPageBreak/>
        <w:t>The Agreement</w:t>
      </w:r>
      <w:r w:rsidR="00BB23D8" w:rsidRPr="00A773A7">
        <w:t xml:space="preserve"> is important not only for creating a large liberalised airspace, but mainly for illustrating the interplay between regional</w:t>
      </w:r>
      <w:r w:rsidR="00515922" w:rsidRPr="00A773A7">
        <w:t xml:space="preserve"> integration, </w:t>
      </w:r>
      <w:r w:rsidR="00BB23D8" w:rsidRPr="00A773A7">
        <w:t>inter-regional relations</w:t>
      </w:r>
      <w:r w:rsidR="00515922" w:rsidRPr="00A773A7">
        <w:t xml:space="preserve"> and liberalisation</w:t>
      </w:r>
      <w:r w:rsidR="00BB23D8" w:rsidRPr="00A773A7">
        <w:t>.</w:t>
      </w:r>
      <w:r w:rsidR="00A910DD" w:rsidRPr="00A773A7">
        <w:t xml:space="preserve"> </w:t>
      </w:r>
      <w:r w:rsidR="00C70801" w:rsidRPr="00A773A7">
        <w:t xml:space="preserve">The </w:t>
      </w:r>
      <w:r w:rsidR="0058438B" w:rsidRPr="00A773A7">
        <w:t>creation</w:t>
      </w:r>
      <w:r w:rsidR="00C70801" w:rsidRPr="00A773A7">
        <w:t xml:space="preserve"> of a single European air transport market </w:t>
      </w:r>
      <w:r w:rsidR="0058438B" w:rsidRPr="00A773A7">
        <w:t>in the 1990s</w:t>
      </w:r>
      <w:r w:rsidR="00C70801" w:rsidRPr="00A773A7">
        <w:t xml:space="preserve"> </w:t>
      </w:r>
      <w:r w:rsidR="007B006B" w:rsidRPr="00A773A7">
        <w:t>entailed the right of EU airlines to exercise the EU freedom of establishmen</w:t>
      </w:r>
      <w:r w:rsidR="0061774D" w:rsidRPr="00A773A7">
        <w:t>t.</w:t>
      </w:r>
      <w:r w:rsidR="0061774D" w:rsidRPr="00A773A7">
        <w:rPr>
          <w:rStyle w:val="FootnoteReference"/>
        </w:rPr>
        <w:footnoteReference w:id="57"/>
      </w:r>
      <w:r w:rsidR="0088768B" w:rsidRPr="00A773A7">
        <w:t xml:space="preserve"> </w:t>
      </w:r>
      <w:r w:rsidR="002720BE" w:rsidRPr="00A773A7">
        <w:t xml:space="preserve"> The US-EU Air Transport Agreement</w:t>
      </w:r>
      <w:r w:rsidR="00CD4807" w:rsidRPr="00CD4807">
        <w:t xml:space="preserve"> </w:t>
      </w:r>
      <w:r w:rsidR="00CD4807" w:rsidRPr="00A773A7">
        <w:t>facilitated intra-EU airline consolidation</w:t>
      </w:r>
      <w:r w:rsidR="002720BE" w:rsidRPr="00A773A7">
        <w:t xml:space="preserve"> </w:t>
      </w:r>
      <w:r w:rsidR="004744CE" w:rsidRPr="00A773A7">
        <w:t>by</w:t>
      </w:r>
      <w:r w:rsidR="00725B76" w:rsidRPr="00A773A7">
        <w:t xml:space="preserve"> </w:t>
      </w:r>
      <w:r w:rsidR="0028613C">
        <w:t>acknowledging</w:t>
      </w:r>
      <w:r w:rsidR="005E7B78" w:rsidRPr="00A773A7">
        <w:t xml:space="preserve"> the concept of an “EU carrier”, </w:t>
      </w:r>
      <w:r w:rsidR="00EF7E78" w:rsidRPr="00A773A7">
        <w:t xml:space="preserve">that is to say, </w:t>
      </w:r>
      <w:r w:rsidR="002C255E">
        <w:t xml:space="preserve">an </w:t>
      </w:r>
      <w:r w:rsidR="00EF7E78" w:rsidRPr="00A773A7">
        <w:t>airline with substantial ownership and effective control vested in a Member State or States, nationals of such a State or States, or both, an EU license and principal place of busin</w:t>
      </w:r>
      <w:r w:rsidR="00F535DA">
        <w:t>ess in the territory of the EU</w:t>
      </w:r>
      <w:r w:rsidR="00EF7E78" w:rsidRPr="00A773A7">
        <w:t>.</w:t>
      </w:r>
      <w:r w:rsidR="004E08F8" w:rsidRPr="00A773A7">
        <w:rPr>
          <w:rStyle w:val="FootnoteReference"/>
        </w:rPr>
        <w:footnoteReference w:id="58"/>
      </w:r>
      <w:r w:rsidR="00EF7E78" w:rsidRPr="00A773A7">
        <w:t xml:space="preserve"> </w:t>
      </w:r>
      <w:r w:rsidR="007C29A0">
        <w:t>This is so because the Agreement</w:t>
      </w:r>
      <w:r w:rsidR="005724F8" w:rsidRPr="00A773A7">
        <w:t xml:space="preserve"> removed</w:t>
      </w:r>
      <w:r w:rsidR="00885829" w:rsidRPr="00A773A7">
        <w:t xml:space="preserve"> the fear that mergers and acquisitions</w:t>
      </w:r>
      <w:r w:rsidR="005724F8" w:rsidRPr="00A773A7">
        <w:t xml:space="preserve"> would</w:t>
      </w:r>
      <w:r w:rsidR="00885829" w:rsidRPr="00A773A7">
        <w:t xml:space="preserve"> put </w:t>
      </w:r>
      <w:r w:rsidR="005724F8" w:rsidRPr="00A773A7">
        <w:t xml:space="preserve">the </w:t>
      </w:r>
      <w:r w:rsidR="00885829" w:rsidRPr="00A773A7">
        <w:t xml:space="preserve">traffic rights </w:t>
      </w:r>
      <w:r w:rsidR="005724F8" w:rsidRPr="00A773A7">
        <w:t>agreed in the Member States</w:t>
      </w:r>
      <w:r w:rsidR="007D7B36" w:rsidRPr="00A773A7">
        <w:t>’</w:t>
      </w:r>
      <w:r w:rsidR="005724F8" w:rsidRPr="00A773A7">
        <w:t xml:space="preserve"> </w:t>
      </w:r>
      <w:proofErr w:type="spellStart"/>
      <w:r w:rsidR="005724F8" w:rsidRPr="00A773A7">
        <w:t>bilaterals</w:t>
      </w:r>
      <w:proofErr w:type="spellEnd"/>
      <w:r w:rsidR="005724F8" w:rsidRPr="00A773A7">
        <w:t xml:space="preserve"> with the United States </w:t>
      </w:r>
      <w:r w:rsidR="007C29A0">
        <w:t>at risk</w:t>
      </w:r>
      <w:r w:rsidR="00885829" w:rsidRPr="00A773A7">
        <w:t>.</w:t>
      </w:r>
      <w:r w:rsidR="005724F8" w:rsidRPr="00A773A7">
        <w:t xml:space="preserve"> T</w:t>
      </w:r>
      <w:r w:rsidR="004E08F8" w:rsidRPr="00A773A7">
        <w:t>he US</w:t>
      </w:r>
      <w:r w:rsidR="005724F8" w:rsidRPr="00A773A7">
        <w:t xml:space="preserve"> endorsement of the concept of “EU carriers” strengthened the EU Member States and the European Commission in their effort to convince third countries to replace the nationality clauses in </w:t>
      </w:r>
      <w:r w:rsidR="00383287" w:rsidRPr="00A773A7">
        <w:t>the</w:t>
      </w:r>
      <w:r w:rsidR="007F3FE0" w:rsidRPr="00A773A7">
        <w:t>ir</w:t>
      </w:r>
      <w:r w:rsidR="00383287" w:rsidRPr="00A773A7">
        <w:t xml:space="preserve"> bilateral agreements with EU Member States</w:t>
      </w:r>
      <w:r w:rsidR="005724F8" w:rsidRPr="00A773A7">
        <w:t xml:space="preserve"> with “EU clauses”.</w:t>
      </w:r>
      <w:r w:rsidR="00164BF5" w:rsidRPr="00A773A7">
        <w:t xml:space="preserve"> </w:t>
      </w:r>
      <w:r w:rsidR="007D7B36" w:rsidRPr="00A773A7">
        <w:t xml:space="preserve">The combined effect of </w:t>
      </w:r>
      <w:r w:rsidR="00DE127B" w:rsidRPr="00A773A7">
        <w:t>this sequence of actions is a strong incentive to liberalisation.</w:t>
      </w:r>
    </w:p>
    <w:p w:rsidR="00002745" w:rsidRPr="00A773A7" w:rsidRDefault="00BC6B5E" w:rsidP="000E7C0E">
      <w:r w:rsidRPr="00A773A7">
        <w:t>The liberalising force of the US-EU Air Transport Agreeme</w:t>
      </w:r>
      <w:r w:rsidR="00AC3155" w:rsidRPr="00A773A7">
        <w:t xml:space="preserve">nt is further exemplified by </w:t>
      </w:r>
      <w:r w:rsidR="00B95DDF" w:rsidRPr="00A773A7">
        <w:t>the fa</w:t>
      </w:r>
      <w:r w:rsidR="00AC3155" w:rsidRPr="00A773A7">
        <w:t>c</w:t>
      </w:r>
      <w:r w:rsidR="00B95DDF" w:rsidRPr="00A773A7">
        <w:t>t</w:t>
      </w:r>
      <w:r w:rsidR="00AC3155" w:rsidRPr="00A773A7">
        <w:t xml:space="preserve"> that</w:t>
      </w:r>
      <w:r w:rsidR="00B95DDF" w:rsidRPr="00A773A7">
        <w:t xml:space="preserve"> it</w:t>
      </w:r>
      <w:r w:rsidR="00931D47" w:rsidRPr="00A773A7">
        <w:t xml:space="preserve"> has been devised</w:t>
      </w:r>
      <w:r w:rsidR="00AC3155" w:rsidRPr="00A773A7">
        <w:t xml:space="preserve"> as a</w:t>
      </w:r>
      <w:r w:rsidRPr="00A773A7">
        <w:t xml:space="preserve"> </w:t>
      </w:r>
      <w:proofErr w:type="spellStart"/>
      <w:r w:rsidRPr="00A773A7">
        <w:t>plurilat</w:t>
      </w:r>
      <w:r w:rsidR="00AC3155" w:rsidRPr="00A773A7">
        <w:t>eral</w:t>
      </w:r>
      <w:proofErr w:type="spellEnd"/>
      <w:r w:rsidR="00AC3155" w:rsidRPr="00A773A7">
        <w:t xml:space="preserve"> agreement</w:t>
      </w:r>
      <w:r w:rsidRPr="00A773A7">
        <w:t>, that is to say,</w:t>
      </w:r>
      <w:r w:rsidR="00AC3155" w:rsidRPr="00A773A7">
        <w:t xml:space="preserve"> an agreement</w:t>
      </w:r>
      <w:r w:rsidR="00E57516" w:rsidRPr="00A773A7">
        <w:t xml:space="preserve"> tha</w:t>
      </w:r>
      <w:r w:rsidRPr="00A773A7">
        <w:t>t is open to</w:t>
      </w:r>
      <w:r w:rsidR="00B95DDF" w:rsidRPr="00A773A7">
        <w:t xml:space="preserve"> third </w:t>
      </w:r>
      <w:r w:rsidR="00565AB3">
        <w:t xml:space="preserve">(not necessarily adjacent) </w:t>
      </w:r>
      <w:r w:rsidR="00B95DDF" w:rsidRPr="00A773A7">
        <w:t>countries to accede</w:t>
      </w:r>
      <w:r w:rsidR="00B95DDF" w:rsidRPr="00A773A7">
        <w:rPr>
          <w:vertAlign w:val="superscript"/>
        </w:rPr>
        <w:footnoteReference w:id="59"/>
      </w:r>
      <w:r w:rsidR="00B95DDF" w:rsidRPr="00A773A7">
        <w:t xml:space="preserve"> </w:t>
      </w:r>
      <w:r w:rsidR="00A11AF5" w:rsidRPr="00A773A7">
        <w:t xml:space="preserve">- </w:t>
      </w:r>
      <w:r w:rsidR="00B95DDF" w:rsidRPr="00A773A7">
        <w:t>an option already exercised by Norway and Iceland.</w:t>
      </w:r>
      <w:r w:rsidR="00B95DDF" w:rsidRPr="00A773A7">
        <w:rPr>
          <w:vertAlign w:val="superscript"/>
        </w:rPr>
        <w:t xml:space="preserve"> </w:t>
      </w:r>
      <w:r w:rsidR="00B95DDF" w:rsidRPr="00A773A7">
        <w:rPr>
          <w:vertAlign w:val="superscript"/>
        </w:rPr>
        <w:footnoteReference w:id="60"/>
      </w:r>
      <w:r w:rsidR="00670C14" w:rsidRPr="00A773A7">
        <w:rPr>
          <w:vertAlign w:val="superscript"/>
        </w:rPr>
        <w:t xml:space="preserve"> </w:t>
      </w:r>
      <w:r w:rsidR="008B3766" w:rsidRPr="00A773A7">
        <w:t>T</w:t>
      </w:r>
      <w:r w:rsidR="00670C14" w:rsidRPr="00A773A7">
        <w:t xml:space="preserve">he Parties </w:t>
      </w:r>
      <w:r w:rsidR="008B3766" w:rsidRPr="00A773A7">
        <w:t xml:space="preserve">have further manifested their will </w:t>
      </w:r>
      <w:r w:rsidR="00670C14" w:rsidRPr="00A773A7">
        <w:t xml:space="preserve">to </w:t>
      </w:r>
      <w:r w:rsidR="0028613C">
        <w:t>expand the scope</w:t>
      </w:r>
      <w:r w:rsidR="008B3766" w:rsidRPr="00A773A7">
        <w:t xml:space="preserve"> of the Agreement by undertaking not to disallow the designation of third country-airlines substantially owned and effectively controlled by either EU or US nationals by invoking their air services agreement with the third-country concerned.</w:t>
      </w:r>
      <w:r w:rsidR="00BE01F1" w:rsidRPr="00A773A7">
        <w:rPr>
          <w:vertAlign w:val="superscript"/>
        </w:rPr>
        <w:t xml:space="preserve"> </w:t>
      </w:r>
      <w:r w:rsidR="00BE01F1" w:rsidRPr="00A773A7">
        <w:rPr>
          <w:vertAlign w:val="superscript"/>
        </w:rPr>
        <w:footnoteReference w:id="61"/>
      </w:r>
      <w:r w:rsidR="00931D47" w:rsidRPr="00A773A7">
        <w:t xml:space="preserve"> Moreover, the United States has unilaterally assumed the obligation not to oppose the designation of airlines of Liechtenstein, Switzerland, the Euro</w:t>
      </w:r>
      <w:r w:rsidR="00215D44" w:rsidRPr="00A773A7">
        <w:t>pean Common Aviation Area</w:t>
      </w:r>
      <w:r w:rsidR="00931D47" w:rsidRPr="00A773A7">
        <w:t>, or any African country that has entered into an open skies agreement with the United States on the grounds that their effective control is vested in EU interests.</w:t>
      </w:r>
      <w:r w:rsidR="00931D47" w:rsidRPr="00A773A7">
        <w:rPr>
          <w:vertAlign w:val="superscript"/>
        </w:rPr>
        <w:footnoteReference w:id="62"/>
      </w:r>
      <w:r w:rsidR="008B37B7" w:rsidRPr="00A773A7">
        <w:t xml:space="preserve"> This undertaking is aligned with</w:t>
      </w:r>
      <w:r w:rsidR="00C752FE" w:rsidRPr="00A773A7">
        <w:t xml:space="preserve"> the </w:t>
      </w:r>
      <w:r w:rsidR="008B37B7" w:rsidRPr="00A773A7">
        <w:t xml:space="preserve">EU External Aviation Policy, a clear sign of </w:t>
      </w:r>
      <w:r w:rsidR="00AD6E11" w:rsidRPr="00A773A7">
        <w:t>the interplay between regional integration, inter-regional relations and liberalisation.</w:t>
      </w:r>
      <w:r w:rsidR="00995647" w:rsidRPr="00A773A7">
        <w:rPr>
          <w:rStyle w:val="FootnoteReference"/>
        </w:rPr>
        <w:footnoteReference w:id="63"/>
      </w:r>
    </w:p>
    <w:p w:rsidR="00D6013A" w:rsidRPr="00A773A7" w:rsidRDefault="00265163" w:rsidP="000E7C0E">
      <w:r w:rsidRPr="00A773A7">
        <w:t>T</w:t>
      </w:r>
      <w:r w:rsidR="007C29A0">
        <w:t>his</w:t>
      </w:r>
      <w:r w:rsidR="00076EE1" w:rsidRPr="00A773A7">
        <w:t xml:space="preserve"> interplay </w:t>
      </w:r>
      <w:r w:rsidR="00D22AE1" w:rsidRPr="00A773A7">
        <w:t>can be</w:t>
      </w:r>
      <w:r w:rsidR="009D35AF" w:rsidRPr="00A773A7">
        <w:t xml:space="preserve"> </w:t>
      </w:r>
      <w:r w:rsidR="00D22AE1" w:rsidRPr="00A773A7">
        <w:t>traced also</w:t>
      </w:r>
      <w:r w:rsidRPr="00A773A7">
        <w:t xml:space="preserve"> </w:t>
      </w:r>
      <w:r w:rsidR="009D35AF" w:rsidRPr="00A773A7">
        <w:t xml:space="preserve">in </w:t>
      </w:r>
      <w:r w:rsidR="00F052F9">
        <w:t>a context</w:t>
      </w:r>
      <w:r w:rsidR="009D35AF" w:rsidRPr="00A773A7">
        <w:t xml:space="preserve"> where</w:t>
      </w:r>
      <w:r w:rsidR="00C15072" w:rsidRPr="00A773A7">
        <w:t xml:space="preserve"> </w:t>
      </w:r>
      <w:r w:rsidR="000C43F5" w:rsidRPr="00A773A7">
        <w:t xml:space="preserve">regional </w:t>
      </w:r>
      <w:r w:rsidR="00C15072" w:rsidRPr="00A773A7">
        <w:t>integration</w:t>
      </w:r>
      <w:r w:rsidR="000C43F5" w:rsidRPr="00A773A7">
        <w:t xml:space="preserve"> is </w:t>
      </w:r>
      <w:r w:rsidR="00C15072" w:rsidRPr="00A773A7">
        <w:t xml:space="preserve">still work in progress. The case of the Association of Southeast Asian Nations (ASEAN) </w:t>
      </w:r>
      <w:r w:rsidR="00282736" w:rsidRPr="00A773A7">
        <w:t>comes to mind.</w:t>
      </w:r>
      <w:r w:rsidR="0023661F" w:rsidRPr="00A773A7">
        <w:t xml:space="preserve"> A</w:t>
      </w:r>
      <w:r w:rsidR="00F21382" w:rsidRPr="00A773A7">
        <w:t xml:space="preserve">SEAN </w:t>
      </w:r>
      <w:r w:rsidR="0023661F" w:rsidRPr="00A773A7">
        <w:t xml:space="preserve">has set the objective of </w:t>
      </w:r>
      <w:r w:rsidR="00F21382" w:rsidRPr="00A773A7">
        <w:t>establishing an Economic Community by the year 2015, a compone</w:t>
      </w:r>
      <w:r w:rsidR="00864D4A" w:rsidRPr="00A773A7">
        <w:t xml:space="preserve">nt of which is the ASEAN </w:t>
      </w:r>
      <w:r w:rsidR="0023661F" w:rsidRPr="00A773A7">
        <w:t>Single Aviation Mark</w:t>
      </w:r>
      <w:r w:rsidR="00864D4A" w:rsidRPr="00A773A7">
        <w:t>et (</w:t>
      </w:r>
      <w:r w:rsidR="00F21382" w:rsidRPr="00A773A7">
        <w:t>SAM)</w:t>
      </w:r>
      <w:r w:rsidR="005028DD" w:rsidRPr="00A773A7">
        <w:t>,</w:t>
      </w:r>
      <w:r w:rsidR="00F21382" w:rsidRPr="00A773A7">
        <w:t xml:space="preserve"> </w:t>
      </w:r>
      <w:r w:rsidR="00864D4A" w:rsidRPr="00A773A7">
        <w:t xml:space="preserve">meant to be in place </w:t>
      </w:r>
      <w:r w:rsidR="00AE036B" w:rsidRPr="00A773A7">
        <w:t>by the same year.</w:t>
      </w:r>
      <w:r w:rsidR="005028DD" w:rsidRPr="00A773A7">
        <w:t xml:space="preserve"> I</w:t>
      </w:r>
      <w:r w:rsidR="00F76080" w:rsidRPr="00A773A7">
        <w:t>n pursuance of a SAM</w:t>
      </w:r>
      <w:r w:rsidR="005028DD" w:rsidRPr="00A773A7">
        <w:t xml:space="preserve">, ASEAN has adopted two agreements, i.e. the 2008 Multilateral </w:t>
      </w:r>
      <w:r w:rsidR="00EE1A0B" w:rsidRPr="00A773A7">
        <w:t>Agreement on Air Services</w:t>
      </w:r>
      <w:r w:rsidR="005028DD" w:rsidRPr="00A773A7">
        <w:t xml:space="preserve"> and the 2010 Multilateral Agreement on the Full Liberalisation of Passenger Air Ser</w:t>
      </w:r>
      <w:r w:rsidR="00EE1A0B" w:rsidRPr="00A773A7">
        <w:t>vices</w:t>
      </w:r>
      <w:r w:rsidR="00F76080" w:rsidRPr="00A773A7">
        <w:t xml:space="preserve">, each composed of a </w:t>
      </w:r>
      <w:r w:rsidR="00F76080" w:rsidRPr="00A773A7">
        <w:lastRenderedPageBreak/>
        <w:t>number of Implementing Protocols.</w:t>
      </w:r>
      <w:r w:rsidR="000B69CD" w:rsidRPr="00A773A7">
        <w:rPr>
          <w:vertAlign w:val="superscript"/>
        </w:rPr>
        <w:footnoteReference w:id="64"/>
      </w:r>
      <w:r w:rsidR="00F76080" w:rsidRPr="00A773A7">
        <w:t xml:space="preserve"> </w:t>
      </w:r>
      <w:r w:rsidR="00B12C49" w:rsidRPr="00A773A7">
        <w:t>T</w:t>
      </w:r>
      <w:r w:rsidR="00D6013A" w:rsidRPr="00A773A7">
        <w:t>he Agreements and their Implementing Protocols allow for progressive liberalisation in an effort to increase their acceptance by the ASEAN States.</w:t>
      </w:r>
      <w:r w:rsidR="00D6013A" w:rsidRPr="00A773A7">
        <w:rPr>
          <w:rStyle w:val="FootnoteReference"/>
        </w:rPr>
        <w:footnoteReference w:id="65"/>
      </w:r>
    </w:p>
    <w:p w:rsidR="002E7911" w:rsidRPr="00A773A7" w:rsidRDefault="002E7911" w:rsidP="000E7C0E">
      <w:r w:rsidRPr="00A773A7">
        <w:t>The ASEAN approach to air transport liberalisation resembles in some respects the approach espoused by the European Union. Both ASEAN and the EU opted for phased liberalisa</w:t>
      </w:r>
      <w:r w:rsidR="00185844" w:rsidRPr="00A773A7">
        <w:t>tion</w:t>
      </w:r>
      <w:r w:rsidR="00BA0CFA" w:rsidRPr="00A773A7">
        <w:t xml:space="preserve"> with the adoption of </w:t>
      </w:r>
      <w:r w:rsidR="00185844" w:rsidRPr="00A773A7">
        <w:t>packages of measures coming in</w:t>
      </w:r>
      <w:r w:rsidR="005C1BA8" w:rsidRPr="00A773A7">
        <w:t>to force over a period of time</w:t>
      </w:r>
      <w:r w:rsidR="000C45F6" w:rsidRPr="00A773A7">
        <w:t xml:space="preserve">. </w:t>
      </w:r>
      <w:r w:rsidR="00BA0CFA" w:rsidRPr="00A773A7">
        <w:t xml:space="preserve">The EU/ASEAN model of progressive liberalisation has to be seen in the light of the broader objective of economic integration. In Europe, the establishment of a single air transport market </w:t>
      </w:r>
      <w:r w:rsidR="0022386E" w:rsidRPr="00A773A7">
        <w:t xml:space="preserve">was part of the establishment of a single market, both scheduled for the year 1992 (although air transport liberalisation was completed in 1997 with the adoption of </w:t>
      </w:r>
      <w:proofErr w:type="spellStart"/>
      <w:r w:rsidR="0022386E" w:rsidRPr="00A773A7">
        <w:t>cabotage</w:t>
      </w:r>
      <w:proofErr w:type="spellEnd"/>
      <w:r w:rsidR="0022386E" w:rsidRPr="00A773A7">
        <w:t>). In ASEAN, the establishment of a single aviation market is meant to happen concomitantly with the establishment of an Economic Community.</w:t>
      </w:r>
      <w:r w:rsidR="009B1D56" w:rsidRPr="00A773A7">
        <w:t xml:space="preserve"> Progressive liberalisation </w:t>
      </w:r>
      <w:r w:rsidR="001D4548" w:rsidRPr="00A773A7">
        <w:t xml:space="preserve">accounts for </w:t>
      </w:r>
      <w:r w:rsidR="00855B1A" w:rsidRPr="00A773A7">
        <w:t xml:space="preserve">the </w:t>
      </w:r>
      <w:r w:rsidR="001D4548" w:rsidRPr="00A773A7">
        <w:t>uneven development among</w:t>
      </w:r>
      <w:r w:rsidR="007C29A0">
        <w:t xml:space="preserve"> the Member States, allowing</w:t>
      </w:r>
      <w:r w:rsidR="001D4548" w:rsidRPr="00A773A7">
        <w:t xml:space="preserve"> time for adaptation and convergence.</w:t>
      </w:r>
    </w:p>
    <w:p w:rsidR="001D4548" w:rsidRPr="00A773A7" w:rsidRDefault="001D4548" w:rsidP="000E7C0E">
      <w:r w:rsidRPr="00A773A7">
        <w:t>Despite these similarities, air transport liberalisation in ASEAN and the EU differ</w:t>
      </w:r>
      <w:r w:rsidR="007C29A0">
        <w:t>s</w:t>
      </w:r>
      <w:r w:rsidRPr="00A773A7">
        <w:t xml:space="preserve"> in a number of respects. The first is the s</w:t>
      </w:r>
      <w:r w:rsidR="007C29A0">
        <w:t>cope of liberalisation</w:t>
      </w:r>
      <w:r w:rsidRPr="00A773A7">
        <w:t xml:space="preserve"> which, whilst</w:t>
      </w:r>
      <w:r w:rsidR="002329A1" w:rsidRPr="00A773A7">
        <w:t xml:space="preserve"> in Europe </w:t>
      </w:r>
      <w:r w:rsidR="007C29A0">
        <w:t xml:space="preserve">it </w:t>
      </w:r>
      <w:r w:rsidR="002329A1" w:rsidRPr="00A773A7">
        <w:t>extends</w:t>
      </w:r>
      <w:r w:rsidRPr="00A773A7">
        <w:t xml:space="preserve"> to the freedom to provide </w:t>
      </w:r>
      <w:proofErr w:type="spellStart"/>
      <w:r w:rsidRPr="00A773A7">
        <w:t>cabotage</w:t>
      </w:r>
      <w:proofErr w:type="spellEnd"/>
      <w:r w:rsidRPr="00A773A7">
        <w:t xml:space="preserve">, in ASEAN </w:t>
      </w:r>
      <w:r w:rsidR="007C29A0">
        <w:t xml:space="preserve">it </w:t>
      </w:r>
      <w:r w:rsidRPr="00A773A7">
        <w:t>is limited to 3</w:t>
      </w:r>
      <w:r w:rsidRPr="00A773A7">
        <w:rPr>
          <w:vertAlign w:val="superscript"/>
        </w:rPr>
        <w:t>rd</w:t>
      </w:r>
      <w:r w:rsidRPr="00A773A7">
        <w:t>, 4</w:t>
      </w:r>
      <w:r w:rsidRPr="00A773A7">
        <w:rPr>
          <w:vertAlign w:val="superscript"/>
        </w:rPr>
        <w:t>th</w:t>
      </w:r>
      <w:r w:rsidRPr="00A773A7">
        <w:t xml:space="preserve"> and 5</w:t>
      </w:r>
      <w:r w:rsidRPr="00A773A7">
        <w:rPr>
          <w:vertAlign w:val="superscript"/>
        </w:rPr>
        <w:t>th</w:t>
      </w:r>
      <w:r w:rsidRPr="00A773A7">
        <w:t xml:space="preserve"> freedom rights, with the provision of 7</w:t>
      </w:r>
      <w:r w:rsidRPr="00A773A7">
        <w:rPr>
          <w:vertAlign w:val="superscript"/>
        </w:rPr>
        <w:t>th</w:t>
      </w:r>
      <w:r w:rsidRPr="00A773A7">
        <w:t xml:space="preserve"> f</w:t>
      </w:r>
      <w:r w:rsidR="00A47423" w:rsidRPr="00A773A7">
        <w:t xml:space="preserve">reedom rights and </w:t>
      </w:r>
      <w:proofErr w:type="spellStart"/>
      <w:r w:rsidR="00A47423" w:rsidRPr="00A773A7">
        <w:t>cabotage</w:t>
      </w:r>
      <w:proofErr w:type="spellEnd"/>
      <w:r w:rsidR="00A47423" w:rsidRPr="00A773A7">
        <w:t xml:space="preserve"> being left for an undefined future time. </w:t>
      </w:r>
      <w:r w:rsidR="00690E8F" w:rsidRPr="00A773A7">
        <w:t xml:space="preserve">The second is the concept of </w:t>
      </w:r>
      <w:r w:rsidR="007C29A0">
        <w:t xml:space="preserve">a </w:t>
      </w:r>
      <w:r w:rsidR="00690E8F" w:rsidRPr="00A773A7">
        <w:t>Union or Community carrier, referring mainly to a carrier majori</w:t>
      </w:r>
      <w:r w:rsidR="009223F5" w:rsidRPr="00A773A7">
        <w:t>ty owned and effectively controlled</w:t>
      </w:r>
      <w:r w:rsidR="00706E63" w:rsidRPr="00A773A7">
        <w:t xml:space="preserve"> by one or more Member State </w:t>
      </w:r>
      <w:r w:rsidR="00690E8F" w:rsidRPr="00A773A7">
        <w:t>and/or its nationals.</w:t>
      </w:r>
      <w:r w:rsidR="00A86E05" w:rsidRPr="00A773A7">
        <w:rPr>
          <w:rStyle w:val="FootnoteReference"/>
        </w:rPr>
        <w:footnoteReference w:id="66"/>
      </w:r>
      <w:r w:rsidR="00231BF1" w:rsidRPr="00A773A7">
        <w:t xml:space="preserve"> Whilst </w:t>
      </w:r>
      <w:r w:rsidR="00990840" w:rsidRPr="00A773A7">
        <w:t xml:space="preserve">in Europe </w:t>
      </w:r>
      <w:r w:rsidR="00231BF1" w:rsidRPr="00A773A7">
        <w:t xml:space="preserve">the concept of </w:t>
      </w:r>
      <w:r w:rsidR="00990840" w:rsidRPr="00A773A7">
        <w:t xml:space="preserve">an </w:t>
      </w:r>
      <w:r w:rsidR="00231BF1" w:rsidRPr="00A773A7">
        <w:t xml:space="preserve">“EU carrier” </w:t>
      </w:r>
      <w:r w:rsidR="00990840" w:rsidRPr="00A773A7">
        <w:t xml:space="preserve">is part of the liberalisation </w:t>
      </w:r>
      <w:proofErr w:type="spellStart"/>
      <w:r w:rsidR="00990840" w:rsidRPr="00A773A7">
        <w:rPr>
          <w:i/>
        </w:rPr>
        <w:t>acquis</w:t>
      </w:r>
      <w:proofErr w:type="spellEnd"/>
      <w:r w:rsidR="00706E63" w:rsidRPr="00A773A7">
        <w:t>, in that it establishes an obligation for Member States</w:t>
      </w:r>
      <w:r w:rsidR="0034733C">
        <w:t xml:space="preserve"> to </w:t>
      </w:r>
      <w:r w:rsidR="00706E63" w:rsidRPr="00A773A7">
        <w:t>accept designations of “EU carriers”</w:t>
      </w:r>
      <w:r w:rsidR="008C5864" w:rsidRPr="00A773A7">
        <w:t>, in ASEAN</w:t>
      </w:r>
      <w:r w:rsidR="00706E63" w:rsidRPr="00A773A7">
        <w:t>,</w:t>
      </w:r>
      <w:r w:rsidR="008C5864" w:rsidRPr="00A773A7">
        <w:t xml:space="preserve"> </w:t>
      </w:r>
      <w:r w:rsidR="0034733C">
        <w:t xml:space="preserve">the </w:t>
      </w:r>
      <w:r w:rsidR="00706E63" w:rsidRPr="00A773A7">
        <w:t>designation of “Community carriers” is subject to the acceptance of the Member State receiving the application of a designated airline.</w:t>
      </w:r>
      <w:r w:rsidR="002329A1" w:rsidRPr="00A773A7">
        <w:t xml:space="preserve"> Most import</w:t>
      </w:r>
      <w:r w:rsidR="008C3F6B" w:rsidRPr="00A773A7">
        <w:t>antly, whilst the European Union’s</w:t>
      </w:r>
      <w:r w:rsidR="002329A1" w:rsidRPr="00A773A7">
        <w:t xml:space="preserve"> </w:t>
      </w:r>
      <w:r w:rsidR="008C3F6B" w:rsidRPr="00A773A7">
        <w:t>institutional and constitutional architecture affords it</w:t>
      </w:r>
      <w:r w:rsidR="002329A1" w:rsidRPr="00A773A7">
        <w:t xml:space="preserve"> a supranational status</w:t>
      </w:r>
      <w:r w:rsidR="00754104" w:rsidRPr="00A773A7">
        <w:t xml:space="preserve"> under public intern</w:t>
      </w:r>
      <w:r w:rsidR="008C3F6B" w:rsidRPr="00A773A7">
        <w:t xml:space="preserve">ational law, ASEAN’s lack of representative </w:t>
      </w:r>
      <w:r w:rsidR="007F62BE" w:rsidRPr="00A773A7">
        <w:t xml:space="preserve">legislative, executive and judiciary </w:t>
      </w:r>
      <w:r w:rsidR="008C3F6B" w:rsidRPr="00A773A7">
        <w:t xml:space="preserve">bodies </w:t>
      </w:r>
      <w:r w:rsidR="007F62BE" w:rsidRPr="00A773A7">
        <w:t>affords it more of an</w:t>
      </w:r>
      <w:r w:rsidR="008D2E05" w:rsidRPr="00A773A7">
        <w:t xml:space="preserve"> intergovernmental status. </w:t>
      </w:r>
    </w:p>
    <w:p w:rsidR="00303D78" w:rsidRDefault="00604442" w:rsidP="000E7C0E">
      <w:pPr>
        <w:rPr>
          <w:rStyle w:val="at91"/>
          <w:i w:val="0"/>
        </w:rPr>
      </w:pPr>
      <w:r w:rsidRPr="00A773A7">
        <w:t>Despite the uneven level of</w:t>
      </w:r>
      <w:r w:rsidR="00C2185A" w:rsidRPr="00A773A7">
        <w:t xml:space="preserve"> </w:t>
      </w:r>
      <w:r w:rsidR="00B36E6E" w:rsidRPr="00A773A7">
        <w:t xml:space="preserve">integration achieved in Europe and ASEAN, the two trading </w:t>
      </w:r>
      <w:r w:rsidR="00642AAA" w:rsidRPr="00A773A7">
        <w:t>blocs</w:t>
      </w:r>
      <w:r w:rsidR="00C2185A" w:rsidRPr="00A773A7">
        <w:t xml:space="preserve"> </w:t>
      </w:r>
      <w:r w:rsidR="007C29A0">
        <w:t>have proposed commencing</w:t>
      </w:r>
      <w:r w:rsidR="00426A28" w:rsidRPr="00A773A7">
        <w:t xml:space="preserve"> </w:t>
      </w:r>
      <w:r w:rsidR="00C2185A" w:rsidRPr="00A773A7">
        <w:t>negotia</w:t>
      </w:r>
      <w:r w:rsidRPr="00A773A7">
        <w:t>t</w:t>
      </w:r>
      <w:r w:rsidR="00426A28" w:rsidRPr="00A773A7">
        <w:t>ions over a</w:t>
      </w:r>
      <w:r w:rsidR="00C2185A" w:rsidRPr="00A773A7">
        <w:t xml:space="preserve"> comprehensive air transport agreement.</w:t>
      </w:r>
      <w:r w:rsidR="00B14DE9" w:rsidRPr="00A773A7">
        <w:rPr>
          <w:vertAlign w:val="superscript"/>
        </w:rPr>
        <w:t xml:space="preserve"> </w:t>
      </w:r>
      <w:r w:rsidR="00B14DE9" w:rsidRPr="00A773A7">
        <w:rPr>
          <w:vertAlign w:val="superscript"/>
        </w:rPr>
        <w:footnoteReference w:id="67"/>
      </w:r>
      <w:r w:rsidR="00C51B78" w:rsidRPr="00A773A7">
        <w:rPr>
          <w:vertAlign w:val="superscript"/>
        </w:rPr>
        <w:t xml:space="preserve"> </w:t>
      </w:r>
      <w:r w:rsidR="002A6F16" w:rsidRPr="00A773A7">
        <w:t>The interplay between regional integration, inter-regional relations and liberalisation is encapsulated in a statement of the Chairman of the ASEAN Transport Ministers</w:t>
      </w:r>
      <w:r w:rsidR="00D9024E">
        <w:t>,</w:t>
      </w:r>
      <w:r w:rsidR="002A6F16" w:rsidRPr="00A773A7">
        <w:t xml:space="preserve"> made </w:t>
      </w:r>
      <w:r w:rsidR="00D9024E">
        <w:t>at</w:t>
      </w:r>
      <w:r w:rsidR="002A6F16" w:rsidRPr="00A773A7">
        <w:t xml:space="preserve"> the 2014 EU-ASEAN Aviation Summit, </w:t>
      </w:r>
      <w:r w:rsidR="002A6F16" w:rsidRPr="00D9024E">
        <w:t>that</w:t>
      </w:r>
      <w:r w:rsidR="002A6F16" w:rsidRPr="00A773A7">
        <w:rPr>
          <w:i/>
        </w:rPr>
        <w:t xml:space="preserve"> </w:t>
      </w:r>
      <w:r w:rsidR="002A6F16" w:rsidRPr="00A773A7">
        <w:rPr>
          <w:rStyle w:val="at91"/>
          <w:i w:val="0"/>
        </w:rPr>
        <w:t>a bloc-to-bloc agreement would facilitate further intra-ASEAN integration by allowing ASEAN to learn from the EU’s experience in developing a Single Aviation Market</w:t>
      </w:r>
      <w:r w:rsidR="00A773A7" w:rsidRPr="00A773A7">
        <w:rPr>
          <w:rStyle w:val="at91"/>
          <w:i w:val="0"/>
        </w:rPr>
        <w:t>.</w:t>
      </w:r>
      <w:r w:rsidR="00A773A7" w:rsidRPr="00A773A7">
        <w:rPr>
          <w:rStyle w:val="FootnoteReference"/>
          <w:iCs/>
        </w:rPr>
        <w:footnoteReference w:id="68"/>
      </w:r>
      <w:r w:rsidR="00303D78">
        <w:rPr>
          <w:rStyle w:val="at91"/>
          <w:i w:val="0"/>
        </w:rPr>
        <w:t xml:space="preserve"> ASEAN’s readiness to enter into inter-regional air transport agreements</w:t>
      </w:r>
      <w:r w:rsidR="0089039E">
        <w:rPr>
          <w:rStyle w:val="at91"/>
          <w:i w:val="0"/>
        </w:rPr>
        <w:t>, notwithstanding that</w:t>
      </w:r>
      <w:r w:rsidR="00543A30">
        <w:rPr>
          <w:rStyle w:val="at91"/>
          <w:i w:val="0"/>
        </w:rPr>
        <w:t xml:space="preserve"> its</w:t>
      </w:r>
      <w:r w:rsidR="0089039E">
        <w:rPr>
          <w:rStyle w:val="at91"/>
          <w:i w:val="0"/>
        </w:rPr>
        <w:t xml:space="preserve"> single </w:t>
      </w:r>
      <w:r w:rsidR="0089039E">
        <w:rPr>
          <w:rStyle w:val="at91"/>
          <w:i w:val="0"/>
        </w:rPr>
        <w:lastRenderedPageBreak/>
        <w:t xml:space="preserve">internal market is still </w:t>
      </w:r>
      <w:r w:rsidR="00FA51B9">
        <w:rPr>
          <w:rStyle w:val="at91"/>
          <w:i w:val="0"/>
        </w:rPr>
        <w:t xml:space="preserve">a </w:t>
      </w:r>
      <w:r w:rsidR="0089039E">
        <w:rPr>
          <w:rStyle w:val="at91"/>
          <w:i w:val="0"/>
        </w:rPr>
        <w:t xml:space="preserve">work in </w:t>
      </w:r>
      <w:proofErr w:type="gramStart"/>
      <w:r w:rsidR="0089039E">
        <w:rPr>
          <w:rStyle w:val="at91"/>
          <w:i w:val="0"/>
        </w:rPr>
        <w:t>progress,</w:t>
      </w:r>
      <w:proofErr w:type="gramEnd"/>
      <w:r w:rsidR="0089039E">
        <w:rPr>
          <w:rStyle w:val="at91"/>
          <w:i w:val="0"/>
        </w:rPr>
        <w:t xml:space="preserve"> c</w:t>
      </w:r>
      <w:r w:rsidR="002926F4">
        <w:rPr>
          <w:rStyle w:val="at91"/>
          <w:i w:val="0"/>
        </w:rPr>
        <w:t>an be traced in the 2010 ASEAN –China Air Transport Agreement.</w:t>
      </w:r>
      <w:r w:rsidR="00FF3D0F">
        <w:rPr>
          <w:rStyle w:val="FootnoteReference"/>
          <w:iCs/>
        </w:rPr>
        <w:footnoteReference w:id="69"/>
      </w:r>
    </w:p>
    <w:p w:rsidR="00C75D14" w:rsidRDefault="008E5518" w:rsidP="000E7C0E">
      <w:pPr>
        <w:rPr>
          <w:vertAlign w:val="superscript"/>
        </w:rPr>
      </w:pPr>
      <w:r>
        <w:rPr>
          <w:rStyle w:val="at91"/>
          <w:i w:val="0"/>
        </w:rPr>
        <w:t xml:space="preserve">The 2010 ASEAN-China Air Transport Agreement </w:t>
      </w:r>
      <w:r w:rsidR="003F2D29">
        <w:rPr>
          <w:rStyle w:val="at91"/>
          <w:i w:val="0"/>
        </w:rPr>
        <w:t>provides for unlimited 3</w:t>
      </w:r>
      <w:r w:rsidR="003F2D29" w:rsidRPr="003F2D29">
        <w:rPr>
          <w:rStyle w:val="at91"/>
          <w:i w:val="0"/>
          <w:vertAlign w:val="superscript"/>
        </w:rPr>
        <w:t>rd</w:t>
      </w:r>
      <w:r w:rsidR="003F2D29">
        <w:rPr>
          <w:rStyle w:val="at91"/>
          <w:i w:val="0"/>
        </w:rPr>
        <w:t>/4</w:t>
      </w:r>
      <w:r w:rsidR="003F2D29" w:rsidRPr="003F2D29">
        <w:rPr>
          <w:rStyle w:val="at91"/>
          <w:i w:val="0"/>
          <w:vertAlign w:val="superscript"/>
        </w:rPr>
        <w:t>th</w:t>
      </w:r>
      <w:r w:rsidR="003F2D29">
        <w:rPr>
          <w:rStyle w:val="at91"/>
          <w:i w:val="0"/>
        </w:rPr>
        <w:t xml:space="preserve"> freedom access between the ASEAN States and China. What is more, it recognises the concept of an “ASEAN Community Carrier”, that is to say</w:t>
      </w:r>
      <w:r w:rsidR="006C7C22">
        <w:rPr>
          <w:rStyle w:val="at91"/>
          <w:i w:val="0"/>
        </w:rPr>
        <w:t>,</w:t>
      </w:r>
      <w:r w:rsidR="003F2D29">
        <w:rPr>
          <w:rStyle w:val="at91"/>
          <w:i w:val="0"/>
        </w:rPr>
        <w:t xml:space="preserve"> an airline </w:t>
      </w:r>
      <w:r w:rsidR="00D603A2">
        <w:rPr>
          <w:rStyle w:val="at91"/>
          <w:i w:val="0"/>
        </w:rPr>
        <w:t>which is incorporated in and has</w:t>
      </w:r>
      <w:r w:rsidR="003F2D29">
        <w:rPr>
          <w:rStyle w:val="at91"/>
          <w:i w:val="0"/>
        </w:rPr>
        <w:t xml:space="preserve"> its principal place of business in the designating State</w:t>
      </w:r>
      <w:r w:rsidR="00D603A2">
        <w:rPr>
          <w:rStyle w:val="at91"/>
          <w:i w:val="0"/>
        </w:rPr>
        <w:t>, is substantially owned and effectively controlled by one or more Member State and/or its national</w:t>
      </w:r>
      <w:r w:rsidR="007C29A0">
        <w:rPr>
          <w:rStyle w:val="at91"/>
          <w:i w:val="0"/>
        </w:rPr>
        <w:t>s</w:t>
      </w:r>
      <w:r w:rsidR="00D603A2">
        <w:rPr>
          <w:rStyle w:val="at91"/>
          <w:i w:val="0"/>
        </w:rPr>
        <w:t>, and the designating State has effective regulatory control.</w:t>
      </w:r>
      <w:r w:rsidR="00D603A2">
        <w:rPr>
          <w:rStyle w:val="FootnoteReference"/>
          <w:iCs/>
        </w:rPr>
        <w:footnoteReference w:id="70"/>
      </w:r>
      <w:r w:rsidR="00573F33">
        <w:rPr>
          <w:rStyle w:val="at91"/>
          <w:i w:val="0"/>
        </w:rPr>
        <w:t xml:space="preserve"> </w:t>
      </w:r>
      <w:r w:rsidR="00EA4405">
        <w:rPr>
          <w:rStyle w:val="at91"/>
          <w:i w:val="0"/>
        </w:rPr>
        <w:t>Despite the reciprocal exchange of 3</w:t>
      </w:r>
      <w:r w:rsidR="00EA4405" w:rsidRPr="00EA4405">
        <w:rPr>
          <w:rStyle w:val="at91"/>
          <w:i w:val="0"/>
          <w:vertAlign w:val="superscript"/>
        </w:rPr>
        <w:t>rd</w:t>
      </w:r>
      <w:r w:rsidR="00EA4405">
        <w:rPr>
          <w:rStyle w:val="at91"/>
          <w:i w:val="0"/>
        </w:rPr>
        <w:t xml:space="preserve"> and 4</w:t>
      </w:r>
      <w:r w:rsidR="00EA4405" w:rsidRPr="00EA4405">
        <w:rPr>
          <w:rStyle w:val="at91"/>
          <w:i w:val="0"/>
          <w:vertAlign w:val="superscript"/>
        </w:rPr>
        <w:t>th</w:t>
      </w:r>
      <w:r w:rsidR="00EA4405">
        <w:rPr>
          <w:rStyle w:val="at91"/>
          <w:i w:val="0"/>
        </w:rPr>
        <w:t xml:space="preserve"> freedom rights, the Parties do not enjoy similar market access opportunities. The fact that ASEAN has not yet created a single air transport market </w:t>
      </w:r>
      <w:r w:rsidR="007A20E7">
        <w:rPr>
          <w:rStyle w:val="at91"/>
          <w:i w:val="0"/>
        </w:rPr>
        <w:t>(</w:t>
      </w:r>
      <w:r w:rsidR="00EA4405">
        <w:rPr>
          <w:rStyle w:val="at91"/>
          <w:i w:val="0"/>
        </w:rPr>
        <w:t xml:space="preserve">where freedom of establishment </w:t>
      </w:r>
      <w:r w:rsidR="007A20E7">
        <w:rPr>
          <w:rStyle w:val="at91"/>
          <w:i w:val="0"/>
        </w:rPr>
        <w:t>entails a legal obligation for</w:t>
      </w:r>
      <w:r w:rsidR="00EA4405">
        <w:rPr>
          <w:rStyle w:val="at91"/>
          <w:i w:val="0"/>
        </w:rPr>
        <w:t xml:space="preserve"> the Member States to accept the designation of ASEAN Community carrier</w:t>
      </w:r>
      <w:r w:rsidR="007A20E7">
        <w:rPr>
          <w:rStyle w:val="at91"/>
          <w:i w:val="0"/>
        </w:rPr>
        <w:t>s)</w:t>
      </w:r>
      <w:r w:rsidR="00EA4405">
        <w:rPr>
          <w:rStyle w:val="at91"/>
          <w:i w:val="0"/>
        </w:rPr>
        <w:t xml:space="preserve"> </w:t>
      </w:r>
      <w:r w:rsidR="007A20E7">
        <w:rPr>
          <w:rStyle w:val="at91"/>
          <w:i w:val="0"/>
        </w:rPr>
        <w:t>results in</w:t>
      </w:r>
      <w:r w:rsidR="00EA4405">
        <w:rPr>
          <w:rStyle w:val="at91"/>
          <w:i w:val="0"/>
        </w:rPr>
        <w:t xml:space="preserve"> </w:t>
      </w:r>
      <w:r w:rsidR="007A20E7">
        <w:rPr>
          <w:rStyle w:val="at91"/>
          <w:i w:val="0"/>
        </w:rPr>
        <w:t>an asymmetry of market access opportunities</w:t>
      </w:r>
      <w:r w:rsidR="00F84F75">
        <w:rPr>
          <w:rStyle w:val="at91"/>
          <w:i w:val="0"/>
        </w:rPr>
        <w:t xml:space="preserve"> between Chinese airlines and ASEAN airlines. This is because</w:t>
      </w:r>
      <w:r w:rsidR="007A20E7">
        <w:rPr>
          <w:rStyle w:val="at91"/>
          <w:i w:val="0"/>
        </w:rPr>
        <w:t>,</w:t>
      </w:r>
      <w:r w:rsidR="00F84F75">
        <w:rPr>
          <w:rStyle w:val="at91"/>
          <w:i w:val="0"/>
        </w:rPr>
        <w:t xml:space="preserve"> </w:t>
      </w:r>
      <w:r w:rsidR="001D4B17">
        <w:rPr>
          <w:rStyle w:val="at91"/>
          <w:i w:val="0"/>
        </w:rPr>
        <w:t>whil</w:t>
      </w:r>
      <w:r w:rsidR="00F16714">
        <w:rPr>
          <w:rStyle w:val="at91"/>
          <w:i w:val="0"/>
        </w:rPr>
        <w:t>st Chinese airlines can connect</w:t>
      </w:r>
      <w:r w:rsidR="00012C46">
        <w:rPr>
          <w:rStyle w:val="at91"/>
          <w:i w:val="0"/>
        </w:rPr>
        <w:t xml:space="preserve"> any point in China</w:t>
      </w:r>
      <w:r w:rsidR="001D4B17">
        <w:rPr>
          <w:rStyle w:val="at91"/>
          <w:i w:val="0"/>
        </w:rPr>
        <w:t xml:space="preserve"> to any point i</w:t>
      </w:r>
      <w:r w:rsidR="00F16714">
        <w:rPr>
          <w:rStyle w:val="at91"/>
          <w:i w:val="0"/>
        </w:rPr>
        <w:t>n ASEAN, ASEAN airlines can connect</w:t>
      </w:r>
      <w:r w:rsidR="001D4B17">
        <w:rPr>
          <w:rStyle w:val="at91"/>
          <w:i w:val="0"/>
        </w:rPr>
        <w:t xml:space="preserve"> </w:t>
      </w:r>
      <w:r w:rsidR="00012C46">
        <w:rPr>
          <w:rStyle w:val="at91"/>
          <w:i w:val="0"/>
        </w:rPr>
        <w:t>any point in their home country</w:t>
      </w:r>
      <w:r w:rsidR="00602326">
        <w:rPr>
          <w:rStyle w:val="at91"/>
          <w:i w:val="0"/>
        </w:rPr>
        <w:t xml:space="preserve"> </w:t>
      </w:r>
      <w:r w:rsidR="001D4B17">
        <w:rPr>
          <w:rStyle w:val="at91"/>
          <w:i w:val="0"/>
        </w:rPr>
        <w:t xml:space="preserve">to </w:t>
      </w:r>
      <w:r w:rsidR="007A20E7">
        <w:rPr>
          <w:rStyle w:val="at91"/>
          <w:i w:val="0"/>
        </w:rPr>
        <w:t>any point in China</w:t>
      </w:r>
      <w:r w:rsidR="001D4B17">
        <w:rPr>
          <w:rStyle w:val="at91"/>
          <w:i w:val="0"/>
        </w:rPr>
        <w:t>.</w:t>
      </w:r>
      <w:r w:rsidR="00B821D6" w:rsidRPr="00B821D6">
        <w:rPr>
          <w:vertAlign w:val="superscript"/>
        </w:rPr>
        <w:t xml:space="preserve"> </w:t>
      </w:r>
      <w:r w:rsidR="00B821D6" w:rsidRPr="00405C41">
        <w:rPr>
          <w:vertAlign w:val="superscript"/>
        </w:rPr>
        <w:footnoteReference w:id="71"/>
      </w:r>
      <w:r w:rsidR="00C15ECB">
        <w:rPr>
          <w:vertAlign w:val="superscript"/>
        </w:rPr>
        <w:t xml:space="preserve"> </w:t>
      </w:r>
    </w:p>
    <w:p w:rsidR="0033401E" w:rsidRDefault="00C15ECB" w:rsidP="000E7C0E">
      <w:pPr>
        <w:rPr>
          <w:vertAlign w:val="superscript"/>
        </w:rPr>
      </w:pPr>
      <w:r>
        <w:t xml:space="preserve">The fact that freedom of establishment in ASEAN has been </w:t>
      </w:r>
      <w:r w:rsidR="00A760C4">
        <w:t>subject to the condition</w:t>
      </w:r>
      <w:r>
        <w:t xml:space="preserve"> </w:t>
      </w:r>
      <w:r w:rsidR="00A760C4">
        <w:t>that</w:t>
      </w:r>
      <w:r>
        <w:t xml:space="preserve"> Member States</w:t>
      </w:r>
      <w:r w:rsidR="00A760C4">
        <w:t xml:space="preserve"> accept</w:t>
      </w:r>
      <w:r>
        <w:t xml:space="preserve"> designations of Community carriers </w:t>
      </w:r>
      <w:r w:rsidR="005E64F7">
        <w:t>has given rise to</w:t>
      </w:r>
      <w:r w:rsidR="003A3EFB">
        <w:t xml:space="preserve"> legal uncertainty</w:t>
      </w:r>
      <w:r w:rsidR="00C75D14">
        <w:t>. As a result,</w:t>
      </w:r>
      <w:r w:rsidR="005E64F7">
        <w:t xml:space="preserve"> there have not been</w:t>
      </w:r>
      <w:r w:rsidR="006C7C22">
        <w:t xml:space="preserve"> </w:t>
      </w:r>
      <w:r w:rsidR="00C75D14">
        <w:t>an</w:t>
      </w:r>
      <w:r w:rsidR="004E2094">
        <w:t>y</w:t>
      </w:r>
      <w:r w:rsidR="008811B2">
        <w:t xml:space="preserve"> ASEAN Community carrier</w:t>
      </w:r>
      <w:r w:rsidR="004E2094">
        <w:t>s</w:t>
      </w:r>
      <w:r w:rsidR="005E64F7">
        <w:t xml:space="preserve"> as yet</w:t>
      </w:r>
      <w:r w:rsidR="004E2094">
        <w:t>,</w:t>
      </w:r>
      <w:r w:rsidR="00C75D14">
        <w:t xml:space="preserve"> within the meaning of the law. Instead, what the ASEAN market has experienced is the emergence</w:t>
      </w:r>
      <w:r w:rsidR="0096541D">
        <w:t xml:space="preserve"> of overseas Low Cost Carrier (LCC) subsidiaries, a model pioneered by</w:t>
      </w:r>
      <w:r w:rsidR="0096541D" w:rsidRPr="0096541D">
        <w:t xml:space="preserve"> </w:t>
      </w:r>
      <w:proofErr w:type="spellStart"/>
      <w:r w:rsidR="0096541D" w:rsidRPr="00405C41">
        <w:t>AirAsia</w:t>
      </w:r>
      <w:proofErr w:type="spellEnd"/>
      <w:r w:rsidR="0096541D" w:rsidRPr="00405C41">
        <w:t xml:space="preserve"> Group</w:t>
      </w:r>
      <w:r w:rsidR="0096541D">
        <w:t xml:space="preserve">. In </w:t>
      </w:r>
      <w:r w:rsidR="007C29A0">
        <w:t>an effort to get around the</w:t>
      </w:r>
      <w:r w:rsidR="0096541D">
        <w:t xml:space="preserve"> regulat</w:t>
      </w:r>
      <w:r w:rsidR="0033401E">
        <w:t>ory restrictions, ASEAN LCCs have made</w:t>
      </w:r>
      <w:r w:rsidR="00A375C5">
        <w:t xml:space="preserve"> the most of ASEAN</w:t>
      </w:r>
      <w:r w:rsidR="0033401E">
        <w:t xml:space="preserve"> Member States’ relaxed approach towards the “effective control” requirement. Specifically, they have</w:t>
      </w:r>
      <w:r w:rsidR="0096541D" w:rsidRPr="00405C41">
        <w:t xml:space="preserve"> set up overseas joint ventur</w:t>
      </w:r>
      <w:r w:rsidR="0033401E">
        <w:t xml:space="preserve">es in other ASEAN countries, </w:t>
      </w:r>
      <w:r w:rsidR="00A375C5">
        <w:t>which, although they</w:t>
      </w:r>
      <w:r w:rsidR="007C29A0">
        <w:t xml:space="preserve"> remain majority-</w:t>
      </w:r>
      <w:r w:rsidR="0033401E">
        <w:t xml:space="preserve">owned by </w:t>
      </w:r>
      <w:r w:rsidR="00A375C5">
        <w:t>local interests</w:t>
      </w:r>
      <w:r w:rsidR="007C29A0">
        <w:t>,</w:t>
      </w:r>
      <w:r w:rsidR="0033401E">
        <w:t xml:space="preserve"> are effectively controlled by the </w:t>
      </w:r>
      <w:r w:rsidR="00034549">
        <w:t xml:space="preserve">foreign </w:t>
      </w:r>
      <w:r w:rsidR="0033401E">
        <w:t>mother company.</w:t>
      </w:r>
      <w:r w:rsidR="00034549" w:rsidRPr="00034549">
        <w:rPr>
          <w:vertAlign w:val="superscript"/>
        </w:rPr>
        <w:t xml:space="preserve"> </w:t>
      </w:r>
      <w:r w:rsidR="00034549" w:rsidRPr="00405C41">
        <w:rPr>
          <w:vertAlign w:val="superscript"/>
        </w:rPr>
        <w:footnoteReference w:id="72"/>
      </w:r>
      <w:r w:rsidR="00D9501B">
        <w:t xml:space="preserve"> </w:t>
      </w:r>
      <w:r w:rsidR="00D9501B" w:rsidRPr="008F7E3B">
        <w:rPr>
          <w:i/>
        </w:rPr>
        <w:t>De facto</w:t>
      </w:r>
      <w:r w:rsidR="00D9501B">
        <w:t xml:space="preserve"> </w:t>
      </w:r>
      <w:r w:rsidR="00034549">
        <w:t>liberalisatio</w:t>
      </w:r>
      <w:r w:rsidR="00D9501B">
        <w:t>n achieved</w:t>
      </w:r>
      <w:r w:rsidR="008F7E3B">
        <w:t xml:space="preserve"> in ASEAN in this circuitous manner </w:t>
      </w:r>
      <w:r w:rsidR="00AB0112">
        <w:t>has manifested itself also in China, where</w:t>
      </w:r>
      <w:r w:rsidR="004E2094">
        <w:t xml:space="preserve"> </w:t>
      </w:r>
      <w:r w:rsidR="00AB0112">
        <w:t>foreign LLCs have been tolerated to the extent that they do not compete with Chinese network carriers.</w:t>
      </w:r>
      <w:r w:rsidR="00AB0112" w:rsidRPr="00405C41">
        <w:rPr>
          <w:vertAlign w:val="superscript"/>
        </w:rPr>
        <w:footnoteReference w:id="73"/>
      </w:r>
    </w:p>
    <w:p w:rsidR="00775508" w:rsidRDefault="00185B57" w:rsidP="000E7C0E">
      <w:r>
        <w:t xml:space="preserve">The </w:t>
      </w:r>
      <w:r w:rsidR="00FD5C25">
        <w:t>example</w:t>
      </w:r>
      <w:r w:rsidR="007C29A0">
        <w:t>s</w:t>
      </w:r>
      <w:r>
        <w:t xml:space="preserve"> of the US-EU Air Trans</w:t>
      </w:r>
      <w:r w:rsidR="00CA4C2F">
        <w:t xml:space="preserve">port Agreement and the ASEAN-China Air Transport Agreement illustrate the </w:t>
      </w:r>
      <w:r>
        <w:t>potential of</w:t>
      </w:r>
      <w:r w:rsidR="009B1D67">
        <w:t xml:space="preserve"> inter-regional agreements to bring about</w:t>
      </w:r>
      <w:r w:rsidR="00CA4C2F">
        <w:t xml:space="preserve"> regulatory convergence</w:t>
      </w:r>
      <w:r w:rsidR="005F29C3">
        <w:t xml:space="preserve"> and pave the way for liberalisation of international civil aviation.</w:t>
      </w:r>
      <w:r w:rsidR="009B1D67">
        <w:t xml:space="preserve"> The main obstacl</w:t>
      </w:r>
      <w:r w:rsidR="00D806A6">
        <w:t>e to</w:t>
      </w:r>
      <w:r w:rsidR="0058567A">
        <w:t xml:space="preserve"> liberalisation is </w:t>
      </w:r>
      <w:r w:rsidR="00CB213A">
        <w:t xml:space="preserve">the </w:t>
      </w:r>
      <w:r w:rsidR="00D806A6">
        <w:t>States</w:t>
      </w:r>
      <w:r w:rsidR="00CB213A">
        <w:t>’</w:t>
      </w:r>
      <w:r w:rsidR="00D806A6">
        <w:t xml:space="preserve"> conflicting </w:t>
      </w:r>
      <w:proofErr w:type="spellStart"/>
      <w:r w:rsidR="00D806A6">
        <w:t>aeropolitical</w:t>
      </w:r>
      <w:proofErr w:type="spellEnd"/>
      <w:r w:rsidR="00D806A6">
        <w:t xml:space="preserve"> interests</w:t>
      </w:r>
      <w:r w:rsidR="004E0072">
        <w:t xml:space="preserve">, fuelled also by the variance in regulatory approaches on issues such as safety, security, </w:t>
      </w:r>
      <w:r w:rsidR="003556F8">
        <w:t>competition, employment and the environment.</w:t>
      </w:r>
      <w:r w:rsidR="00316E7C">
        <w:t xml:space="preserve"> If consensus within ICAO has </w:t>
      </w:r>
      <w:r w:rsidR="007C29A0">
        <w:t>traditionally been</w:t>
      </w:r>
      <w:r w:rsidR="00316E7C">
        <w:t xml:space="preserve"> challengin</w:t>
      </w:r>
      <w:r w:rsidR="007C29A0">
        <w:t>g, this is because of the size</w:t>
      </w:r>
      <w:r w:rsidR="00316E7C">
        <w:t xml:space="preserve"> of </w:t>
      </w:r>
      <w:r w:rsidR="006A3469">
        <w:t xml:space="preserve">its </w:t>
      </w:r>
      <w:r w:rsidR="00316E7C">
        <w:t>membership</w:t>
      </w:r>
      <w:r w:rsidR="00F304A6">
        <w:t xml:space="preserve">. Regional integration creates Unions </w:t>
      </w:r>
      <w:r w:rsidR="006A3469">
        <w:t xml:space="preserve">of States </w:t>
      </w:r>
      <w:r w:rsidR="0058567A">
        <w:t>with</w:t>
      </w:r>
      <w:r w:rsidR="00F42791">
        <w:t xml:space="preserve"> single</w:t>
      </w:r>
      <w:r w:rsidR="00BB6104">
        <w:t xml:space="preserve"> representati</w:t>
      </w:r>
      <w:r w:rsidR="00A8025B">
        <w:t>on. Cooperation among such Unions, or among such Unions and countries with</w:t>
      </w:r>
      <w:r w:rsidR="007C29A0">
        <w:t xml:space="preserve"> a large air transport market, results in</w:t>
      </w:r>
      <w:r w:rsidR="006F7BDB">
        <w:t xml:space="preserve"> </w:t>
      </w:r>
      <w:r w:rsidR="00DE69B6">
        <w:t xml:space="preserve">consolidated </w:t>
      </w:r>
      <w:r w:rsidR="006F7BDB">
        <w:t xml:space="preserve">airspaces </w:t>
      </w:r>
      <w:r w:rsidR="006F7BDB">
        <w:lastRenderedPageBreak/>
        <w:t>defined by common rules</w:t>
      </w:r>
      <w:r w:rsidR="00A8025B">
        <w:t xml:space="preserve">. The combined effect of regional integration and inter-regional agreements is a dramatic decrease in the variance of voices </w:t>
      </w:r>
      <w:r w:rsidR="000A507F">
        <w:t xml:space="preserve">expressed </w:t>
      </w:r>
      <w:r w:rsidR="0005582F">
        <w:t>within ICAO</w:t>
      </w:r>
      <w:r w:rsidR="0058567A">
        <w:t xml:space="preserve"> and an equally dramatic increase in the chances of reaching consensus on air transport liberalisation. </w:t>
      </w:r>
    </w:p>
    <w:p w:rsidR="00F42791" w:rsidRDefault="00F42791" w:rsidP="000E7C0E">
      <w:r>
        <w:t>It is not inconceivable that the establishment of Unions with legal personalit</w:t>
      </w:r>
      <w:r w:rsidR="008F6C69">
        <w:t>y</w:t>
      </w:r>
      <w:r>
        <w:t xml:space="preserve"> will gradually </w:t>
      </w:r>
      <w:r w:rsidR="003A2A3F">
        <w:t>decrease</w:t>
      </w:r>
      <w:r>
        <w:t xml:space="preserve"> </w:t>
      </w:r>
      <w:r w:rsidR="000767C0">
        <w:t xml:space="preserve">the volume of </w:t>
      </w:r>
      <w:r>
        <w:t xml:space="preserve">ICAO membership. Unions with legal personality </w:t>
      </w:r>
      <w:r w:rsidR="003A2A3F">
        <w:t xml:space="preserve">have the ability to negotiate international agreements in accordance with their external commitments, become a member of international organisations and join international conventions. </w:t>
      </w:r>
      <w:r w:rsidR="00EF07EB">
        <w:t>In 2002, t</w:t>
      </w:r>
      <w:r w:rsidR="003A2A3F">
        <w:t>he European Commission</w:t>
      </w:r>
      <w:r w:rsidR="00EF07EB">
        <w:t xml:space="preserve"> </w:t>
      </w:r>
      <w:r w:rsidR="003A2A3F">
        <w:t xml:space="preserve">proposed to the EU Council of Ministers that it formally start negotiations on </w:t>
      </w:r>
      <w:r w:rsidR="00B56F61">
        <w:t>Community</w:t>
      </w:r>
      <w:r w:rsidR="003A2A3F">
        <w:t xml:space="preserve"> membership in ICAO with a view to establishing a single EU representation.</w:t>
      </w:r>
      <w:r w:rsidR="00B56F61">
        <w:rPr>
          <w:rStyle w:val="FootnoteReference"/>
        </w:rPr>
        <w:footnoteReference w:id="74"/>
      </w:r>
      <w:r w:rsidR="00B56F61">
        <w:t xml:space="preserve"> Since then, the European Community has merged with the European Union, leaving only the European Union, which enjoys legal personality. </w:t>
      </w:r>
      <w:r w:rsidR="00687E19">
        <w:t xml:space="preserve">Nevertheless, </w:t>
      </w:r>
      <w:r w:rsidR="008F6C69">
        <w:t>Article 92 of the Chicago Convention reserves adherence to “States”.</w:t>
      </w:r>
      <w:r w:rsidR="008F6C69">
        <w:rPr>
          <w:rStyle w:val="FootnoteReference"/>
        </w:rPr>
        <w:footnoteReference w:id="75"/>
      </w:r>
      <w:r w:rsidR="008F6C69">
        <w:t xml:space="preserve"> Therefore, for the European Union to become a full member of ICAO, an amendment of the Convention is necessary.</w:t>
      </w:r>
      <w:r w:rsidR="00524F55">
        <w:rPr>
          <w:rStyle w:val="FootnoteReference"/>
        </w:rPr>
        <w:footnoteReference w:id="76"/>
      </w:r>
      <w:r w:rsidR="00CC6F1E">
        <w:t xml:space="preserve"> </w:t>
      </w:r>
      <w:r w:rsidR="00E03145">
        <w:t xml:space="preserve">However futuristic this scenario might appear, globalisation suggests that regional integration is not a trend, but a direction. </w:t>
      </w:r>
      <w:r w:rsidR="000F6526">
        <w:t>Envisioning Unions</w:t>
      </w:r>
      <w:r w:rsidR="00DD0A57">
        <w:t xml:space="preserve"> of States with single representation within ICAO implies flexibility with regard to decision-making. </w:t>
      </w:r>
      <w:r w:rsidR="00BF5199">
        <w:t>If the last nail in the coffin of</w:t>
      </w:r>
      <w:r w:rsidR="007C29A0">
        <w:t xml:space="preserve"> bilateralism has to be driven in by means of</w:t>
      </w:r>
      <w:r w:rsidR="00BF5199">
        <w:t xml:space="preserve"> amendment</w:t>
      </w:r>
      <w:r w:rsidR="000E4C6E">
        <w:t xml:space="preserve"> of the Chic</w:t>
      </w:r>
      <w:r w:rsidR="00BF5199">
        <w:t>ago Convention, t</w:t>
      </w:r>
      <w:r w:rsidR="000E4C6E">
        <w:t xml:space="preserve">he interplay between regional integration, inter-regional relations and liberalisation </w:t>
      </w:r>
      <w:r w:rsidR="007D680E">
        <w:t>appears to</w:t>
      </w:r>
      <w:r w:rsidR="000E4C6E">
        <w:t xml:space="preserve"> catalyse</w:t>
      </w:r>
      <w:r w:rsidR="0024553A">
        <w:t xml:space="preserve"> this</w:t>
      </w:r>
      <w:r w:rsidR="00BF5199">
        <w:t xml:space="preserve"> outcome</w:t>
      </w:r>
      <w:r w:rsidR="007D680E">
        <w:t>.</w:t>
      </w:r>
    </w:p>
    <w:p w:rsidR="007B04D9" w:rsidRDefault="007B04D9" w:rsidP="000E7C0E">
      <w:pPr>
        <w:rPr>
          <w:b/>
        </w:rPr>
      </w:pPr>
      <w:r w:rsidRPr="007B04D9">
        <w:rPr>
          <w:b/>
        </w:rPr>
        <w:t>4. Conclusion</w:t>
      </w:r>
    </w:p>
    <w:p w:rsidR="00C22D3C" w:rsidRDefault="00C22D3C" w:rsidP="000E7C0E">
      <w:r>
        <w:t xml:space="preserve">This paper approached the issue of liberalisation of international civil aviation from a legal perspective, laying out a number of </w:t>
      </w:r>
      <w:r w:rsidR="00047687">
        <w:t xml:space="preserve">legal </w:t>
      </w:r>
      <w:r>
        <w:t xml:space="preserve">options available to States to implement liberalisation. </w:t>
      </w:r>
      <w:r w:rsidR="00B37D0D">
        <w:t>Starting from the pre</w:t>
      </w:r>
      <w:r w:rsidR="007C29A0">
        <w:t>mise that liberalisation will</w:t>
      </w:r>
      <w:r w:rsidR="00B37D0D">
        <w:t xml:space="preserve"> eventually</w:t>
      </w:r>
      <w:r w:rsidR="007C29A0">
        <w:t xml:space="preserve"> be</w:t>
      </w:r>
      <w:r w:rsidR="00B37D0D">
        <w:t xml:space="preserve"> decided at political level, the paper aspired to </w:t>
      </w:r>
      <w:r w:rsidR="00E320EF">
        <w:t xml:space="preserve">identify the optimal </w:t>
      </w:r>
      <w:r w:rsidR="003538C9">
        <w:t xml:space="preserve">legal </w:t>
      </w:r>
      <w:r w:rsidR="00E320EF">
        <w:t>path to liberalisation</w:t>
      </w:r>
      <w:r w:rsidR="003538C9">
        <w:t xml:space="preserve">. Examination of the strengths and weaknesses of the most prominent </w:t>
      </w:r>
      <w:r w:rsidR="00047687">
        <w:t xml:space="preserve">legal </w:t>
      </w:r>
      <w:r w:rsidR="000F6526">
        <w:t>options in</w:t>
      </w:r>
      <w:r w:rsidR="00903636">
        <w:t xml:space="preserve"> hand suggests</w:t>
      </w:r>
      <w:r w:rsidR="003538C9">
        <w:t xml:space="preserve"> </w:t>
      </w:r>
      <w:r w:rsidR="00E320EF">
        <w:t xml:space="preserve">that there is no single way to </w:t>
      </w:r>
      <w:r w:rsidR="003538C9">
        <w:t xml:space="preserve">achieve liberalisation nor </w:t>
      </w:r>
      <w:r w:rsidR="00903636">
        <w:t>is there</w:t>
      </w:r>
      <w:r w:rsidR="003538C9">
        <w:t xml:space="preserve"> a shortcut. Instead, </w:t>
      </w:r>
      <w:bookmarkStart w:id="0" w:name="_GoBack"/>
      <w:bookmarkEnd w:id="0"/>
      <w:r w:rsidR="003538C9">
        <w:t>it appears that what catalyses liberalisation is the combined</w:t>
      </w:r>
      <w:r w:rsidR="00C64CA7">
        <w:t xml:space="preserve"> effect of</w:t>
      </w:r>
      <w:r w:rsidR="000F6526">
        <w:t xml:space="preserve"> the interplay between the various </w:t>
      </w:r>
      <w:r w:rsidR="001426F0">
        <w:t xml:space="preserve">legal </w:t>
      </w:r>
      <w:r w:rsidR="000F6526">
        <w:t xml:space="preserve">options. </w:t>
      </w:r>
      <w:r w:rsidR="001426F0">
        <w:t>Therefore,</w:t>
      </w:r>
      <w:r w:rsidR="002455E9">
        <w:t xml:space="preserve"> arrival at the final destination, that is to say, amending the Chicago Convention, presupposes </w:t>
      </w:r>
      <w:r w:rsidR="00F0653F">
        <w:t>a number of intermediary stops</w:t>
      </w:r>
      <w:r w:rsidR="00FC5846">
        <w:t xml:space="preserve">, such as an international agreement to liberalise market access </w:t>
      </w:r>
      <w:r w:rsidR="001426F0">
        <w:t xml:space="preserve">– an idea currently </w:t>
      </w:r>
      <w:r w:rsidR="00FC5846">
        <w:t xml:space="preserve">discussed within ICAO. </w:t>
      </w:r>
    </w:p>
    <w:p w:rsidR="009A41F1" w:rsidRDefault="00AC3D77" w:rsidP="000E7C0E">
      <w:r>
        <w:t xml:space="preserve">However accommodating the law might be for the purposes of liberalisation of international civil aviation, </w:t>
      </w:r>
      <w:r w:rsidR="00592D23">
        <w:t xml:space="preserve">change will come as an outcome of the new conditions brought about by globalisation. </w:t>
      </w:r>
      <w:r w:rsidR="00886C0A">
        <w:t xml:space="preserve">Regional integration moves the centre of gravity </w:t>
      </w:r>
      <w:r w:rsidR="002F4EB1">
        <w:t xml:space="preserve">away </w:t>
      </w:r>
      <w:r w:rsidR="00886C0A">
        <w:t>from state sovereignty to</w:t>
      </w:r>
      <w:r w:rsidR="002F4EB1">
        <w:t>wards</w:t>
      </w:r>
      <w:r w:rsidR="00886C0A">
        <w:t xml:space="preserve"> </w:t>
      </w:r>
      <w:r w:rsidR="002F4EB1">
        <w:t>the principle of</w:t>
      </w:r>
      <w:r w:rsidR="00886C0A">
        <w:t xml:space="preserve"> “community of interest”.</w:t>
      </w:r>
      <w:r w:rsidR="007529A0">
        <w:t xml:space="preserve"> This entails</w:t>
      </w:r>
      <w:r w:rsidR="00B76B64">
        <w:t xml:space="preserve"> the</w:t>
      </w:r>
      <w:r w:rsidR="007529A0">
        <w:t xml:space="preserve"> need to re-consider the criteria of airline designatio</w:t>
      </w:r>
      <w:r w:rsidR="00B76B64">
        <w:t xml:space="preserve">n, as well as the airline ownership and control regime. </w:t>
      </w:r>
      <w:r w:rsidR="007529A0">
        <w:t xml:space="preserve">Globalisation of competition, for its part, creates a </w:t>
      </w:r>
      <w:r w:rsidR="007529A0">
        <w:lastRenderedPageBreak/>
        <w:t xml:space="preserve">need for </w:t>
      </w:r>
      <w:r w:rsidR="001426F0">
        <w:t xml:space="preserve">market </w:t>
      </w:r>
      <w:r w:rsidR="00B76B64">
        <w:t>consolidation and r</w:t>
      </w:r>
      <w:r w:rsidR="00EE6CFF">
        <w:t>ationalisation, an outcome that presupposes</w:t>
      </w:r>
      <w:r w:rsidR="007529A0">
        <w:t xml:space="preserve"> acc</w:t>
      </w:r>
      <w:r w:rsidR="001006CD">
        <w:t>ess to foreign capital markets</w:t>
      </w:r>
      <w:r w:rsidR="001426F0">
        <w:t>, currently obstructed by</w:t>
      </w:r>
      <w:r w:rsidR="009968DC">
        <w:t xml:space="preserve"> nationality restrictions.</w:t>
      </w:r>
      <w:r w:rsidR="00C75E7D">
        <w:t xml:space="preserve"> At the same time, globalisation creates security </w:t>
      </w:r>
      <w:proofErr w:type="gramStart"/>
      <w:r w:rsidR="00C75E7D">
        <w:t>concerns,</w:t>
      </w:r>
      <w:proofErr w:type="gramEnd"/>
      <w:r w:rsidR="00C75E7D">
        <w:t xml:space="preserve"> </w:t>
      </w:r>
      <w:r w:rsidR="001426F0">
        <w:t xml:space="preserve">an issue typically </w:t>
      </w:r>
      <w:r w:rsidR="00420E85">
        <w:t xml:space="preserve">linked with </w:t>
      </w:r>
      <w:r w:rsidR="001426F0">
        <w:t xml:space="preserve">State sovereignty, yet increasingly addressed at regional </w:t>
      </w:r>
      <w:r w:rsidR="009A41F1">
        <w:t>level via</w:t>
      </w:r>
      <w:r w:rsidR="001426F0">
        <w:t xml:space="preserve"> the establishment of common security policies.</w:t>
      </w:r>
      <w:r w:rsidR="00DC0CBA">
        <w:t xml:space="preserve"> It seems that f</w:t>
      </w:r>
      <w:r w:rsidR="009A41F1">
        <w:t xml:space="preserve">or liberalisation of international civil aviation to occur, economics and politics must </w:t>
      </w:r>
      <w:proofErr w:type="gramStart"/>
      <w:r w:rsidR="009A41F1">
        <w:t>merge,</w:t>
      </w:r>
      <w:proofErr w:type="gramEnd"/>
      <w:r w:rsidR="009A41F1">
        <w:t xml:space="preserve"> an outcome a long way down the road, but certainly not out of sight.</w:t>
      </w:r>
    </w:p>
    <w:p w:rsidR="009A41F1" w:rsidRDefault="009A41F1" w:rsidP="000E7C0E"/>
    <w:p w:rsidR="00BF5199" w:rsidRPr="00C22D3C" w:rsidRDefault="00BF5199" w:rsidP="000E7C0E"/>
    <w:p w:rsidR="007B04D9" w:rsidRPr="007B04D9" w:rsidRDefault="007B04D9" w:rsidP="000E7C0E"/>
    <w:p w:rsidR="006F7BDB" w:rsidRPr="00775508" w:rsidRDefault="006F7BDB" w:rsidP="000E7C0E"/>
    <w:p w:rsidR="0096541D" w:rsidRPr="00A773A7" w:rsidRDefault="0096541D" w:rsidP="000E7C0E">
      <w:pPr>
        <w:rPr>
          <w:i/>
        </w:rPr>
      </w:pPr>
    </w:p>
    <w:p w:rsidR="006B2EA7" w:rsidRPr="00A773A7" w:rsidRDefault="006B2EA7" w:rsidP="000E7C0E"/>
    <w:sectPr w:rsidR="006B2EA7" w:rsidRPr="00A773A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C2" w:rsidRDefault="004167C2" w:rsidP="00052124">
      <w:pPr>
        <w:spacing w:after="0" w:line="240" w:lineRule="auto"/>
      </w:pPr>
      <w:r>
        <w:separator/>
      </w:r>
    </w:p>
  </w:endnote>
  <w:endnote w:type="continuationSeparator" w:id="0">
    <w:p w:rsidR="004167C2" w:rsidRDefault="004167C2" w:rsidP="00052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0511"/>
      <w:docPartObj>
        <w:docPartGallery w:val="Page Numbers (Bottom of Page)"/>
        <w:docPartUnique/>
      </w:docPartObj>
    </w:sdtPr>
    <w:sdtEndPr>
      <w:rPr>
        <w:noProof/>
      </w:rPr>
    </w:sdtEndPr>
    <w:sdtContent>
      <w:p w:rsidR="00164BF5" w:rsidRDefault="00164BF5">
        <w:pPr>
          <w:pStyle w:val="Footer"/>
          <w:jc w:val="right"/>
        </w:pPr>
        <w:r>
          <w:fldChar w:fldCharType="begin"/>
        </w:r>
        <w:r>
          <w:instrText xml:space="preserve"> PAGE   \* MERGEFORMAT </w:instrText>
        </w:r>
        <w:r>
          <w:fldChar w:fldCharType="separate"/>
        </w:r>
        <w:r w:rsidR="007C29A0">
          <w:rPr>
            <w:noProof/>
          </w:rPr>
          <w:t>17</w:t>
        </w:r>
        <w:r>
          <w:rPr>
            <w:noProof/>
          </w:rPr>
          <w:fldChar w:fldCharType="end"/>
        </w:r>
      </w:p>
    </w:sdtContent>
  </w:sdt>
  <w:p w:rsidR="00164BF5" w:rsidRDefault="00164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C2" w:rsidRDefault="004167C2" w:rsidP="00052124">
      <w:pPr>
        <w:spacing w:after="0" w:line="240" w:lineRule="auto"/>
      </w:pPr>
      <w:r>
        <w:separator/>
      </w:r>
    </w:p>
  </w:footnote>
  <w:footnote w:type="continuationSeparator" w:id="0">
    <w:p w:rsidR="004167C2" w:rsidRDefault="004167C2" w:rsidP="00052124">
      <w:pPr>
        <w:spacing w:after="0" w:line="240" w:lineRule="auto"/>
      </w:pPr>
      <w:r>
        <w:continuationSeparator/>
      </w:r>
    </w:p>
  </w:footnote>
  <w:footnote w:id="1">
    <w:p w:rsidR="001E05E7" w:rsidRPr="00392608" w:rsidRDefault="001E05E7" w:rsidP="001E05E7">
      <w:pPr>
        <w:pStyle w:val="FootnoteText"/>
        <w:rPr>
          <w:rFonts w:cs="Arial"/>
          <w:iCs/>
          <w:lang w:val="en-US"/>
        </w:rPr>
      </w:pPr>
      <w:r w:rsidRPr="00392608">
        <w:rPr>
          <w:rStyle w:val="FootnoteReference"/>
        </w:rPr>
        <w:sym w:font="Wingdings" w:char="F051"/>
      </w:r>
      <w:r w:rsidRPr="00392608">
        <w:rPr>
          <w:lang w:val="en-US"/>
        </w:rPr>
        <w:t xml:space="preserve"> Joint Transport Research Centre, International Transport Forum, </w:t>
      </w:r>
      <w:proofErr w:type="spellStart"/>
      <w:r w:rsidRPr="00392608">
        <w:rPr>
          <w:lang w:val="en-US"/>
        </w:rPr>
        <w:t>Organisation</w:t>
      </w:r>
      <w:proofErr w:type="spellEnd"/>
      <w:r w:rsidRPr="00392608">
        <w:rPr>
          <w:lang w:val="en-US"/>
        </w:rPr>
        <w:t xml:space="preserve"> for Economic Cooperation and Development. </w:t>
      </w:r>
      <w:r w:rsidRPr="00392608">
        <w:rPr>
          <w:rFonts w:cs="Arial"/>
          <w:iCs/>
          <w:lang w:val="en-US"/>
        </w:rPr>
        <w:t>The author has written this paper in her personal capacity. Therefore, the views her</w:t>
      </w:r>
      <w:r w:rsidR="00F00EE2" w:rsidRPr="00392608">
        <w:rPr>
          <w:rFonts w:cs="Arial"/>
          <w:iCs/>
          <w:lang w:val="en-US"/>
        </w:rPr>
        <w:t xml:space="preserve">ein should not be attributed to the </w:t>
      </w:r>
      <w:r w:rsidR="00D4557F">
        <w:rPr>
          <w:rFonts w:cs="Arial"/>
          <w:iCs/>
          <w:lang w:val="en-US"/>
        </w:rPr>
        <w:t>ITF/</w:t>
      </w:r>
      <w:r w:rsidR="00F00EE2" w:rsidRPr="00392608">
        <w:rPr>
          <w:rFonts w:cs="Arial"/>
          <w:iCs/>
          <w:lang w:val="en-US"/>
        </w:rPr>
        <w:t xml:space="preserve">OECD. </w:t>
      </w:r>
    </w:p>
  </w:footnote>
  <w:footnote w:id="2">
    <w:p w:rsidR="00164BF5" w:rsidRDefault="00164BF5" w:rsidP="004E0D84">
      <w:pPr>
        <w:pStyle w:val="FootnoteText"/>
      </w:pPr>
      <w:r>
        <w:rPr>
          <w:rStyle w:val="FootnoteReference"/>
        </w:rPr>
        <w:footnoteRef/>
      </w:r>
      <w:r>
        <w:t xml:space="preserve"> Convention on International Civil Aviation, Doc 7300/9, 9</w:t>
      </w:r>
      <w:r w:rsidRPr="005B0C15">
        <w:rPr>
          <w:vertAlign w:val="superscript"/>
        </w:rPr>
        <w:t>th</w:t>
      </w:r>
      <w:r>
        <w:t xml:space="preserve"> edition, 2006, available at: &lt;</w:t>
      </w:r>
      <w:hyperlink r:id="rId1" w:history="1">
        <w:r w:rsidRPr="00FC40EE">
          <w:rPr>
            <w:rStyle w:val="Hyperlink"/>
          </w:rPr>
          <w:t>http://www.icao.int/publications/pages/doc7300.aspx</w:t>
        </w:r>
      </w:hyperlink>
      <w:r>
        <w:t>&gt;.</w:t>
      </w:r>
    </w:p>
  </w:footnote>
  <w:footnote w:id="3">
    <w:p w:rsidR="00164BF5" w:rsidRDefault="00164BF5" w:rsidP="00DE2444">
      <w:pPr>
        <w:pStyle w:val="FootnoteText"/>
      </w:pPr>
      <w:r>
        <w:rPr>
          <w:rStyle w:val="FootnoteReference"/>
        </w:rPr>
        <w:footnoteRef/>
      </w:r>
      <w:r>
        <w:t xml:space="preserve"> See Paul Stephen Dempsey (2008): “The Evolution of Air Transport Agreements”, 33 Annals Air &amp; Space Law, 127.</w:t>
      </w:r>
    </w:p>
  </w:footnote>
  <w:footnote w:id="4">
    <w:p w:rsidR="00164BF5" w:rsidRDefault="00164BF5" w:rsidP="00F314B8">
      <w:pPr>
        <w:pStyle w:val="FootnoteText"/>
      </w:pPr>
      <w:r>
        <w:rPr>
          <w:rStyle w:val="FootnoteReference"/>
        </w:rPr>
        <w:footnoteRef/>
      </w:r>
      <w:r>
        <w:t xml:space="preserve"> See the Preamble to the Convention, in conjunction with Article 44(d). </w:t>
      </w:r>
      <w:r w:rsidRPr="004E0D84">
        <w:rPr>
          <w:i/>
        </w:rPr>
        <w:t>Supra</w:t>
      </w:r>
      <w:r>
        <w:t xml:space="preserve"> note 1.</w:t>
      </w:r>
    </w:p>
  </w:footnote>
  <w:footnote w:id="5">
    <w:p w:rsidR="00164BF5" w:rsidRDefault="00164BF5" w:rsidP="00152127">
      <w:pPr>
        <w:pStyle w:val="FootnoteText"/>
      </w:pPr>
      <w:r>
        <w:rPr>
          <w:rStyle w:val="FootnoteReference"/>
        </w:rPr>
        <w:footnoteRef/>
      </w:r>
      <w:r>
        <w:t xml:space="preserve"> See Doc 10022, Assembly Resolutions in Force (as of 4 October 2013), Appendix A, </w:t>
      </w:r>
      <w:proofErr w:type="gramStart"/>
      <w:r>
        <w:t>Section</w:t>
      </w:r>
      <w:proofErr w:type="gramEnd"/>
      <w:r>
        <w:t xml:space="preserve"> I, para. </w:t>
      </w:r>
      <w:proofErr w:type="gramStart"/>
      <w:r>
        <w:t>13 and para.</w:t>
      </w:r>
      <w:proofErr w:type="gramEnd"/>
      <w:r>
        <w:t xml:space="preserve"> 14, available at: &lt;</w:t>
      </w:r>
      <w:hyperlink r:id="rId2" w:history="1">
        <w:r w:rsidRPr="00904AE0">
          <w:rPr>
            <w:rStyle w:val="Hyperlink"/>
          </w:rPr>
          <w:t>http://www.icao.int/Meetings/a38/Pages/resolutions.aspx</w:t>
        </w:r>
      </w:hyperlink>
      <w:r>
        <w:t>&gt;.</w:t>
      </w:r>
    </w:p>
  </w:footnote>
  <w:footnote w:id="6">
    <w:p w:rsidR="00164BF5" w:rsidRDefault="00164BF5">
      <w:pPr>
        <w:pStyle w:val="FootnoteText"/>
      </w:pPr>
      <w:r>
        <w:rPr>
          <w:rStyle w:val="FootnoteReference"/>
        </w:rPr>
        <w:footnoteRef/>
      </w:r>
      <w:r>
        <w:t xml:space="preserve"> What constitutes an economic activity is a recurrent issue in competition law. See, for instance, the case law of the European Courts in </w:t>
      </w:r>
      <w:r w:rsidRPr="00C90762">
        <w:t>Case 118/85</w:t>
      </w:r>
      <w:r>
        <w:t>,</w:t>
      </w:r>
      <w:r w:rsidRPr="00C90762">
        <w:t xml:space="preserve"> Commission v Italy</w:t>
      </w:r>
      <w:r>
        <w:t>,</w:t>
      </w:r>
      <w:r w:rsidRPr="00C90762">
        <w:t xml:space="preserve"> [1987] ECR 2599, paragraph 7; Case C-35/96</w:t>
      </w:r>
      <w:r>
        <w:t>,</w:t>
      </w:r>
      <w:r w:rsidRPr="00C90762">
        <w:t xml:space="preserve"> Commission v Italy [1998] ECR I-3851, paragraph 36</w:t>
      </w:r>
      <w:r>
        <w:t>.</w:t>
      </w:r>
    </w:p>
  </w:footnote>
  <w:footnote w:id="7">
    <w:p w:rsidR="00164BF5" w:rsidRDefault="00164BF5">
      <w:pPr>
        <w:pStyle w:val="FootnoteText"/>
      </w:pPr>
      <w:r>
        <w:rPr>
          <w:rStyle w:val="FootnoteReference"/>
        </w:rPr>
        <w:footnoteRef/>
      </w:r>
      <w:r>
        <w:t xml:space="preserve"> See, for instance, the European Court’s ruling in </w:t>
      </w:r>
      <w:r w:rsidRPr="000C75BD">
        <w:t>Case C-364/92 SAT/</w:t>
      </w:r>
      <w:proofErr w:type="spellStart"/>
      <w:r w:rsidRPr="000C75BD">
        <w:t>Eurocontro</w:t>
      </w:r>
      <w:r>
        <w:t>l</w:t>
      </w:r>
      <w:proofErr w:type="spellEnd"/>
      <w:r>
        <w:t xml:space="preserve"> [1994] ECR I-43, paragraph 27 and</w:t>
      </w:r>
      <w:r w:rsidRPr="000C75BD">
        <w:t xml:space="preserve"> Case C-113/07 P </w:t>
      </w:r>
      <w:proofErr w:type="spellStart"/>
      <w:r w:rsidRPr="000C75BD">
        <w:t>Selex</w:t>
      </w:r>
      <w:proofErr w:type="spellEnd"/>
      <w:r w:rsidRPr="000C75BD">
        <w:t xml:space="preserve"> </w:t>
      </w:r>
      <w:proofErr w:type="spellStart"/>
      <w:r w:rsidRPr="000C75BD">
        <w:t>Sistemi</w:t>
      </w:r>
      <w:proofErr w:type="spellEnd"/>
      <w:r w:rsidRPr="000C75BD">
        <w:t xml:space="preserve"> </w:t>
      </w:r>
      <w:proofErr w:type="spellStart"/>
      <w:r w:rsidRPr="000C75BD">
        <w:t>Integrati</w:t>
      </w:r>
      <w:proofErr w:type="spellEnd"/>
      <w:r w:rsidRPr="000C75BD">
        <w:t xml:space="preserve"> v Commission [2009] ECR I-2207, paragraph 71</w:t>
      </w:r>
      <w:r>
        <w:t xml:space="preserve">. See also the European </w:t>
      </w:r>
      <w:r w:rsidRPr="000C75BD">
        <w:t>Commission</w:t>
      </w:r>
      <w:r>
        <w:t>’s</w:t>
      </w:r>
      <w:r w:rsidRPr="000C75BD">
        <w:t xml:space="preserve"> Decisions in case N 309/2002 of 19 March 2003, Aviation security – compensation for costs incurred following the attacks of 11 September 2001, OJ C 148, 25.6.2003, and in case N 438/2002 of 16 October 2002, Aid in support of public authority functions in the Belgian sector, OJ C 284, 21.11.2002, </w:t>
      </w:r>
      <w:r>
        <w:t>&lt;</w:t>
      </w:r>
      <w:hyperlink r:id="rId3" w:history="1">
        <w:r w:rsidRPr="002E294B">
          <w:rPr>
            <w:rStyle w:val="Hyperlink"/>
          </w:rPr>
          <w:t>http://ec.europa.eu/competition/elojade/isef/case_details.cfm?proc_code=3_N438_2002</w:t>
        </w:r>
      </w:hyperlink>
      <w:r>
        <w:t>&gt;.</w:t>
      </w:r>
    </w:p>
  </w:footnote>
  <w:footnote w:id="8">
    <w:p w:rsidR="00164BF5" w:rsidRDefault="00164BF5" w:rsidP="00F060F1">
      <w:pPr>
        <w:pStyle w:val="FootnoteText"/>
      </w:pPr>
      <w:r>
        <w:rPr>
          <w:rStyle w:val="FootnoteReference"/>
        </w:rPr>
        <w:footnoteRef/>
      </w:r>
      <w:r>
        <w:t xml:space="preserve"> Convention Relating to the Regulation of Aerial Navigation, Oct. 13, 1919, </w:t>
      </w:r>
      <w:r w:rsidRPr="00477363">
        <w:t xml:space="preserve">11 L.N.T.S. </w:t>
      </w:r>
      <w:proofErr w:type="gramStart"/>
      <w:r w:rsidRPr="00477363">
        <w:t>173.,</w:t>
      </w:r>
      <w:proofErr w:type="gramEnd"/>
      <w:r w:rsidRPr="00477363">
        <w:t xml:space="preserve"> </w:t>
      </w:r>
      <w:r>
        <w:t>available at: &lt;</w:t>
      </w:r>
      <w:r w:rsidRPr="00E15FF5">
        <w:t xml:space="preserve"> </w:t>
      </w:r>
      <w:hyperlink r:id="rId4" w:history="1">
        <w:r w:rsidRPr="00FC40EE">
          <w:rPr>
            <w:rStyle w:val="Hyperlink"/>
          </w:rPr>
          <w:t>http://www.worldlii.org/int/other/LNTSer/1922/99.html</w:t>
        </w:r>
      </w:hyperlink>
      <w:r>
        <w:t xml:space="preserve">&gt;. </w:t>
      </w:r>
    </w:p>
  </w:footnote>
  <w:footnote w:id="9">
    <w:p w:rsidR="00164BF5" w:rsidRDefault="00164BF5" w:rsidP="000B6C08">
      <w:pPr>
        <w:pStyle w:val="FootnoteText"/>
      </w:pPr>
      <w:r>
        <w:rPr>
          <w:rStyle w:val="FootnoteReference"/>
        </w:rPr>
        <w:footnoteRef/>
      </w:r>
      <w:r>
        <w:t xml:space="preserve"> Convention on International Civil Aviation, Doc 7300/9, 9</w:t>
      </w:r>
      <w:r w:rsidRPr="005B0C15">
        <w:rPr>
          <w:vertAlign w:val="superscript"/>
        </w:rPr>
        <w:t>th</w:t>
      </w:r>
      <w:r>
        <w:t xml:space="preserve"> edition, 2006, available at: &lt;</w:t>
      </w:r>
      <w:hyperlink r:id="rId5" w:history="1">
        <w:r w:rsidRPr="00FC40EE">
          <w:rPr>
            <w:rStyle w:val="Hyperlink"/>
          </w:rPr>
          <w:t>http://www.icao.int/publications/pages/doc7300.aspx</w:t>
        </w:r>
      </w:hyperlink>
      <w:r>
        <w:t>&gt;.</w:t>
      </w:r>
    </w:p>
  </w:footnote>
  <w:footnote w:id="10">
    <w:p w:rsidR="00164BF5" w:rsidRDefault="00164BF5">
      <w:pPr>
        <w:pStyle w:val="FootnoteText"/>
      </w:pPr>
      <w:r>
        <w:rPr>
          <w:rStyle w:val="FootnoteReference"/>
        </w:rPr>
        <w:footnoteRef/>
      </w:r>
      <w:r>
        <w:t xml:space="preserve"> The genesis of the ownership and control requirement must be sought in Article I, para. 5 of the International Air Services Transit Agreement (IASTA) and Article I, para.6 of the International Air Transport Agreement, both produced at the Chicago Conference. For an account thereof, see Dempsey, </w:t>
      </w:r>
      <w:r w:rsidRPr="00DB3A0F">
        <w:rPr>
          <w:i/>
        </w:rPr>
        <w:t>supra</w:t>
      </w:r>
      <w:r>
        <w:t xml:space="preserve"> note 2.</w:t>
      </w:r>
    </w:p>
  </w:footnote>
  <w:footnote w:id="11">
    <w:p w:rsidR="00164BF5" w:rsidRDefault="00164BF5">
      <w:pPr>
        <w:pStyle w:val="FootnoteText"/>
      </w:pPr>
      <w:r>
        <w:rPr>
          <w:rStyle w:val="FootnoteReference"/>
        </w:rPr>
        <w:footnoteRef/>
      </w:r>
      <w:r>
        <w:t xml:space="preserve"> For an analysis thereof, see Pablo Mendes de Leon (2009): “Establishment of air transport undertakings – Towards a more holistic approach”, 15 Journal of Air Transport Management, pp. 96-101.</w:t>
      </w:r>
    </w:p>
  </w:footnote>
  <w:footnote w:id="12">
    <w:p w:rsidR="00164BF5" w:rsidRDefault="00164BF5" w:rsidP="004E545D">
      <w:pPr>
        <w:pStyle w:val="FootnoteText"/>
      </w:pPr>
      <w:r>
        <w:rPr>
          <w:rStyle w:val="FootnoteReference"/>
        </w:rPr>
        <w:footnoteRef/>
      </w:r>
      <w:r>
        <w:t xml:space="preserve"> </w:t>
      </w:r>
      <w:proofErr w:type="spellStart"/>
      <w:r>
        <w:t>Ruwantissa</w:t>
      </w:r>
      <w:proofErr w:type="spellEnd"/>
      <w:r>
        <w:t xml:space="preserve"> </w:t>
      </w:r>
      <w:proofErr w:type="spellStart"/>
      <w:r>
        <w:t>Abeyratne</w:t>
      </w:r>
      <w:proofErr w:type="spellEnd"/>
      <w:r>
        <w:t xml:space="preserve"> (2003): “Implications of the Yamoussoukro Decision on African Aviation”, 28(6) Air &amp; Space Law</w:t>
      </w:r>
      <w:proofErr w:type="gramStart"/>
      <w:r>
        <w:t>,280</w:t>
      </w:r>
      <w:proofErr w:type="gramEnd"/>
      <w:r>
        <w:t xml:space="preserve">. See also </w:t>
      </w:r>
      <w:proofErr w:type="spellStart"/>
      <w:r>
        <w:t>Ruwantissa</w:t>
      </w:r>
      <w:proofErr w:type="spellEnd"/>
      <w:r w:rsidRPr="001D602B">
        <w:t xml:space="preserve"> </w:t>
      </w:r>
      <w:proofErr w:type="spellStart"/>
      <w:r>
        <w:t>Abeyratne</w:t>
      </w:r>
      <w:proofErr w:type="spellEnd"/>
      <w:r>
        <w:t xml:space="preserve"> (2005/2006): “Competition in Air Transport – The Need for a Shift in Focus”, 33 Transportation Law Journal, pp. 29-110.</w:t>
      </w:r>
    </w:p>
  </w:footnote>
  <w:footnote w:id="13">
    <w:p w:rsidR="00164BF5" w:rsidRDefault="00164BF5">
      <w:pPr>
        <w:pStyle w:val="FootnoteText"/>
      </w:pPr>
      <w:r>
        <w:rPr>
          <w:rStyle w:val="FootnoteReference"/>
        </w:rPr>
        <w:footnoteRef/>
      </w:r>
      <w:r>
        <w:t xml:space="preserve"> See, for instance, </w:t>
      </w:r>
      <w:proofErr w:type="spellStart"/>
      <w:r>
        <w:t>Bimal</w:t>
      </w:r>
      <w:proofErr w:type="spellEnd"/>
      <w:r>
        <w:t xml:space="preserve"> Patel (2008): “A Flight Plan towards Financial Stability – The History and Future of Foreign Ownership Restrictions in the United States Aviation Industry”, 73 Journal of Air Law and Commerce, pp. 487-525.</w:t>
      </w:r>
    </w:p>
  </w:footnote>
  <w:footnote w:id="14">
    <w:p w:rsidR="00164BF5" w:rsidRDefault="00164BF5" w:rsidP="0001129C">
      <w:pPr>
        <w:pStyle w:val="FootnoteText"/>
      </w:pPr>
      <w:r>
        <w:rPr>
          <w:rStyle w:val="FootnoteReference"/>
        </w:rPr>
        <w:footnoteRef/>
      </w:r>
      <w:r>
        <w:t xml:space="preserve"> For an account of how air transport got into GATS in the first place, see Brian F. Havel, Beyond Open Skies – A New Regime for International Aviation, Wolters Kluwer, 2009, Chapter 6, p. 526, footnote 34.</w:t>
      </w:r>
    </w:p>
  </w:footnote>
  <w:footnote w:id="15">
    <w:p w:rsidR="00164BF5" w:rsidRDefault="00164BF5">
      <w:pPr>
        <w:pStyle w:val="FootnoteText"/>
      </w:pPr>
      <w:r>
        <w:rPr>
          <w:rStyle w:val="FootnoteReference"/>
        </w:rPr>
        <w:footnoteRef/>
      </w:r>
      <w:r>
        <w:t xml:space="preserve"> See Article II (1) of the GATS. </w:t>
      </w:r>
    </w:p>
  </w:footnote>
  <w:footnote w:id="16">
    <w:p w:rsidR="00164BF5" w:rsidRDefault="00164BF5">
      <w:pPr>
        <w:pStyle w:val="FootnoteText"/>
      </w:pPr>
      <w:r>
        <w:rPr>
          <w:rStyle w:val="FootnoteReference"/>
        </w:rPr>
        <w:footnoteRef/>
      </w:r>
      <w:r>
        <w:t xml:space="preserve"> Supra note 13, Chapter 6, Part III C.</w:t>
      </w:r>
    </w:p>
  </w:footnote>
  <w:footnote w:id="17">
    <w:p w:rsidR="00164BF5" w:rsidRDefault="00164BF5">
      <w:pPr>
        <w:pStyle w:val="FootnoteText"/>
      </w:pPr>
      <w:r>
        <w:rPr>
          <w:rStyle w:val="FootnoteReference"/>
        </w:rPr>
        <w:footnoteRef/>
      </w:r>
      <w:r>
        <w:t xml:space="preserve"> See Article II (2) of the GATS.</w:t>
      </w:r>
    </w:p>
  </w:footnote>
  <w:footnote w:id="18">
    <w:p w:rsidR="00164BF5" w:rsidRDefault="00164BF5">
      <w:pPr>
        <w:pStyle w:val="FootnoteText"/>
      </w:pPr>
      <w:r>
        <w:rPr>
          <w:rStyle w:val="FootnoteReference"/>
        </w:rPr>
        <w:footnoteRef/>
      </w:r>
      <w:r>
        <w:t xml:space="preserve"> For a demystification of the WTO/GATS as a potential forum for a multilateral air transport regime, see Brian F. Havel in Beyond Open Skies – A New Regime for International Aviation, Wolters Kluwer, 2009, Chapter 6, Part III, B and C.</w:t>
      </w:r>
    </w:p>
  </w:footnote>
  <w:footnote w:id="19">
    <w:p w:rsidR="00164BF5" w:rsidRDefault="00164BF5">
      <w:pPr>
        <w:pStyle w:val="FootnoteText"/>
      </w:pPr>
      <w:r>
        <w:rPr>
          <w:rStyle w:val="FootnoteReference"/>
        </w:rPr>
        <w:footnoteRef/>
      </w:r>
      <w:r>
        <w:t xml:space="preserve"> Ibid. Contrast Havel’s analysis with </w:t>
      </w:r>
      <w:proofErr w:type="spellStart"/>
      <w:r>
        <w:t>Ruwantissa</w:t>
      </w:r>
      <w:proofErr w:type="spellEnd"/>
      <w:r>
        <w:t xml:space="preserve"> </w:t>
      </w:r>
      <w:proofErr w:type="spellStart"/>
      <w:r>
        <w:t>Abeyratne’s</w:t>
      </w:r>
      <w:proofErr w:type="spellEnd"/>
      <w:r>
        <w:t xml:space="preserve"> analysis in “Trade in Air Transport: Have We Lost Our Way?</w:t>
      </w:r>
      <w:proofErr w:type="gramStart"/>
      <w:r>
        <w:t>”,</w:t>
      </w:r>
      <w:proofErr w:type="gramEnd"/>
      <w:r>
        <w:t xml:space="preserve"> 47(3) Journal of World Trade, 2013, 633.</w:t>
      </w:r>
    </w:p>
  </w:footnote>
  <w:footnote w:id="20">
    <w:p w:rsidR="00164BF5" w:rsidRDefault="00164BF5">
      <w:pPr>
        <w:pStyle w:val="FootnoteText"/>
      </w:pPr>
      <w:r>
        <w:rPr>
          <w:rStyle w:val="FootnoteReference"/>
        </w:rPr>
        <w:footnoteRef/>
      </w:r>
      <w:r>
        <w:t xml:space="preserve"> See Article XVII of the GATS.</w:t>
      </w:r>
    </w:p>
  </w:footnote>
  <w:footnote w:id="21">
    <w:p w:rsidR="00164BF5" w:rsidRDefault="00164BF5" w:rsidP="00DA21B8">
      <w:pPr>
        <w:pStyle w:val="FootnoteText"/>
      </w:pPr>
      <w:r>
        <w:rPr>
          <w:rStyle w:val="FootnoteReference"/>
        </w:rPr>
        <w:footnoteRef/>
      </w:r>
      <w:r>
        <w:t xml:space="preserve"> See also Article XVI of the GATS.</w:t>
      </w:r>
    </w:p>
  </w:footnote>
  <w:footnote w:id="22">
    <w:p w:rsidR="00164BF5" w:rsidRDefault="00164BF5">
      <w:pPr>
        <w:pStyle w:val="FootnoteText"/>
      </w:pPr>
      <w:r>
        <w:rPr>
          <w:rStyle w:val="FootnoteReference"/>
        </w:rPr>
        <w:footnoteRef/>
      </w:r>
      <w:r>
        <w:t xml:space="preserve"> See Pablo Mendes de Leon in </w:t>
      </w:r>
      <w:proofErr w:type="spellStart"/>
      <w:r>
        <w:t>Cabotage</w:t>
      </w:r>
      <w:proofErr w:type="spellEnd"/>
      <w:r>
        <w:t xml:space="preserve"> in Air Transport </w:t>
      </w:r>
      <w:r w:rsidRPr="00C63B67">
        <w:t xml:space="preserve">Regulation, </w:t>
      </w:r>
      <w:proofErr w:type="spellStart"/>
      <w:r w:rsidRPr="00C63B67">
        <w:rPr>
          <w:rFonts w:cs="Arial"/>
        </w:rPr>
        <w:t>Martinus</w:t>
      </w:r>
      <w:proofErr w:type="spellEnd"/>
      <w:r w:rsidRPr="00C63B67">
        <w:rPr>
          <w:rFonts w:cs="Arial"/>
        </w:rPr>
        <w:t xml:space="preserve"> </w:t>
      </w:r>
      <w:proofErr w:type="spellStart"/>
      <w:r w:rsidRPr="00C63B67">
        <w:rPr>
          <w:rFonts w:cs="Arial"/>
        </w:rPr>
        <w:t>Nijhoff</w:t>
      </w:r>
      <w:proofErr w:type="spellEnd"/>
      <w:r w:rsidRPr="00C63B67">
        <w:rPr>
          <w:rFonts w:cs="Arial"/>
        </w:rPr>
        <w:t xml:space="preserve"> Publishers, 1992</w:t>
      </w:r>
      <w:r>
        <w:rPr>
          <w:rFonts w:cs="Arial"/>
        </w:rPr>
        <w:t>, p. 101,</w:t>
      </w:r>
      <w:r w:rsidRPr="00C63B67">
        <w:t xml:space="preserve"> </w:t>
      </w:r>
      <w:r>
        <w:t>referring to the so-called Ferreira doctrine. According to this doctrine, “international air traffic” is regarded, at least in Latin American countries, as an “estate”. Such traffic belongs to the countries between which the traffic is carried on a third and fourth freedom basis, these freedoms being viewed as natural traffic rights.</w:t>
      </w:r>
    </w:p>
  </w:footnote>
  <w:footnote w:id="23">
    <w:p w:rsidR="00164BF5" w:rsidRDefault="00164BF5">
      <w:pPr>
        <w:pStyle w:val="FootnoteText"/>
      </w:pPr>
      <w:r>
        <w:rPr>
          <w:rStyle w:val="FootnoteReference"/>
        </w:rPr>
        <w:footnoteRef/>
      </w:r>
      <w:r>
        <w:t xml:space="preserve"> Ibid.</w:t>
      </w:r>
    </w:p>
  </w:footnote>
  <w:footnote w:id="24">
    <w:p w:rsidR="00164BF5" w:rsidRDefault="00164BF5">
      <w:pPr>
        <w:pStyle w:val="FootnoteText"/>
      </w:pPr>
      <w:r>
        <w:rPr>
          <w:rStyle w:val="FootnoteReference"/>
        </w:rPr>
        <w:footnoteRef/>
      </w:r>
      <w:r>
        <w:t xml:space="preserve"> See Article 82 of the Convention.</w:t>
      </w:r>
    </w:p>
  </w:footnote>
  <w:footnote w:id="25">
    <w:p w:rsidR="00164BF5" w:rsidRDefault="00164BF5" w:rsidP="007A3F65">
      <w:pPr>
        <w:pStyle w:val="FootnoteText"/>
      </w:pPr>
      <w:r>
        <w:rPr>
          <w:rStyle w:val="FootnoteReference"/>
        </w:rPr>
        <w:footnoteRef/>
      </w:r>
      <w:r>
        <w:t xml:space="preserve"> See Article 95 of the Convention.</w:t>
      </w:r>
    </w:p>
  </w:footnote>
  <w:footnote w:id="26">
    <w:p w:rsidR="00164BF5" w:rsidRDefault="00164BF5">
      <w:pPr>
        <w:pStyle w:val="FootnoteText"/>
      </w:pPr>
      <w:r>
        <w:rPr>
          <w:rStyle w:val="FootnoteReference"/>
        </w:rPr>
        <w:footnoteRef/>
      </w:r>
      <w:r>
        <w:t xml:space="preserve"> Colin </w:t>
      </w:r>
      <w:proofErr w:type="spellStart"/>
      <w:r>
        <w:t>Thaine</w:t>
      </w:r>
      <w:proofErr w:type="spellEnd"/>
      <w:r>
        <w:t>, The Way Ahead from Memo 2: The Need for More Competition A Better Deal for Europe, 10 AIR L. 90, 91 (1985).</w:t>
      </w:r>
    </w:p>
  </w:footnote>
  <w:footnote w:id="27">
    <w:p w:rsidR="00164BF5" w:rsidRDefault="00164BF5">
      <w:pPr>
        <w:pStyle w:val="FootnoteText"/>
      </w:pPr>
      <w:r>
        <w:rPr>
          <w:rStyle w:val="FootnoteReference"/>
        </w:rPr>
        <w:footnoteRef/>
      </w:r>
      <w:r>
        <w:t xml:space="preserve"> See Resolution adopted by the 38</w:t>
      </w:r>
      <w:r w:rsidRPr="004A0C8F">
        <w:rPr>
          <w:vertAlign w:val="superscript"/>
        </w:rPr>
        <w:t>th</w:t>
      </w:r>
      <w:r>
        <w:t xml:space="preserve"> Session of ICAO Assembly, Provisional Edition, November 2013, Appendix A, Section II, available at: &lt;</w:t>
      </w:r>
      <w:hyperlink r:id="rId6" w:history="1">
        <w:r w:rsidRPr="00D52D97">
          <w:rPr>
            <w:rStyle w:val="Hyperlink"/>
          </w:rPr>
          <w:t>http://www.icao.int/Meetings/a38/Pages/resolutions.aspx</w:t>
        </w:r>
      </w:hyperlink>
      <w:r>
        <w:t>&gt;.  See also Article 3B  of the Air Transport Agreement concluded between the associate members of the Association of Caribbean States (ACS), entitled “Community of Interest”: “The right of each Party to designate an airline or airlines shall include designation in accordance with the Principle of Community of Interest as established by the international Civil Aviation Organisation (ICAO)”, available at: &lt;</w:t>
      </w:r>
      <w:hyperlink r:id="rId7" w:history="1">
        <w:r w:rsidRPr="006F21E9">
          <w:rPr>
            <w:rFonts w:cs="Arial"/>
            <w:color w:val="0000CC"/>
            <w:u w:val="single"/>
          </w:rPr>
          <w:t>http://www.acs-aec.org/sites/default/files/Final_ATA_En.pdf</w:t>
        </w:r>
      </w:hyperlink>
      <w:r w:rsidRPr="006F21E9">
        <w:rPr>
          <w:rFonts w:cs="Arial"/>
          <w:color w:val="000000"/>
        </w:rPr>
        <w:t>.</w:t>
      </w:r>
      <w:r>
        <w:rPr>
          <w:rFonts w:ascii="Arial" w:hAnsi="Arial" w:cs="Arial"/>
          <w:color w:val="000000"/>
        </w:rPr>
        <w:t>&gt;.</w:t>
      </w:r>
    </w:p>
  </w:footnote>
  <w:footnote w:id="28">
    <w:p w:rsidR="00164BF5" w:rsidRDefault="00164BF5" w:rsidP="004320FE">
      <w:pPr>
        <w:pStyle w:val="FootnoteText"/>
      </w:pPr>
      <w:r>
        <w:rPr>
          <w:rStyle w:val="FootnoteReference"/>
        </w:rPr>
        <w:footnoteRef/>
      </w:r>
      <w:r>
        <w:t xml:space="preserve"> See Resolution adopted by the 38</w:t>
      </w:r>
      <w:r w:rsidRPr="004A0C8F">
        <w:rPr>
          <w:vertAlign w:val="superscript"/>
        </w:rPr>
        <w:t>th</w:t>
      </w:r>
      <w:r>
        <w:t xml:space="preserve"> Session of ICAO Assembly, Provisional Edition, November 2013, Appendix A, Section II, paragraph 5, providing that the Assembly “[</w:t>
      </w:r>
      <w:r w:rsidRPr="002A0A0A">
        <w:t>U</w:t>
      </w:r>
      <w:r>
        <w:t>]</w:t>
      </w:r>
      <w:proofErr w:type="spellStart"/>
      <w:r w:rsidRPr="002A0A0A">
        <w:t>rges</w:t>
      </w:r>
      <w:proofErr w:type="spellEnd"/>
      <w:r w:rsidRPr="002A0A0A">
        <w:t xml:space="preserve"> Member States to recognize the concept of community of interest within regional or </w:t>
      </w:r>
      <w:proofErr w:type="spellStart"/>
      <w:r w:rsidRPr="002A0A0A">
        <w:t>subregional</w:t>
      </w:r>
      <w:proofErr w:type="spellEnd"/>
      <w:r w:rsidRPr="002A0A0A">
        <w:t xml:space="preserve"> economic groupings as a valid basis for the designation by one developing State or States of an airline of another developing State or States within the same regional economic grouping where such airline is substantially owned and effectively controlled by such other developing State or S</w:t>
      </w:r>
      <w:r>
        <w:t>tates or its or their nationals”.</w:t>
      </w:r>
      <w:r w:rsidRPr="002A0A0A">
        <w:t xml:space="preserve">  </w:t>
      </w:r>
    </w:p>
  </w:footnote>
  <w:footnote w:id="29">
    <w:p w:rsidR="00164BF5" w:rsidRDefault="00164BF5">
      <w:pPr>
        <w:pStyle w:val="FootnoteText"/>
      </w:pPr>
      <w:r>
        <w:rPr>
          <w:rStyle w:val="FootnoteReference"/>
        </w:rPr>
        <w:footnoteRef/>
      </w:r>
      <w:r>
        <w:t xml:space="preserve"> See Introduction to Section II and paragraphs 3 and 5, ibid.</w:t>
      </w:r>
    </w:p>
  </w:footnote>
  <w:footnote w:id="30">
    <w:p w:rsidR="00164BF5" w:rsidRDefault="00164BF5" w:rsidP="005049E7">
      <w:pPr>
        <w:pStyle w:val="FootnoteText"/>
      </w:pPr>
      <w:r>
        <w:rPr>
          <w:rStyle w:val="FootnoteReference"/>
        </w:rPr>
        <w:footnoteRef/>
      </w:r>
      <w:r>
        <w:t xml:space="preserve"> See Introduction to Section II and paragraphs 3, 4 and 5, ibid.</w:t>
      </w:r>
    </w:p>
  </w:footnote>
  <w:footnote w:id="31">
    <w:p w:rsidR="00164BF5" w:rsidRDefault="00164BF5" w:rsidP="00BB2F18">
      <w:pPr>
        <w:pStyle w:val="FootnoteText"/>
      </w:pPr>
      <w:r>
        <w:rPr>
          <w:rStyle w:val="FootnoteReference"/>
        </w:rPr>
        <w:footnoteRef/>
      </w:r>
      <w:r>
        <w:t xml:space="preserve"> See Article 47 of the Treaty on European Union, which provides that the Union shall have legal personality.</w:t>
      </w:r>
    </w:p>
  </w:footnote>
  <w:footnote w:id="32">
    <w:p w:rsidR="00164BF5" w:rsidRDefault="00164BF5" w:rsidP="006C24B6">
      <w:pPr>
        <w:pStyle w:val="FootnoteText"/>
      </w:pPr>
      <w:r>
        <w:rPr>
          <w:rStyle w:val="FootnoteReference"/>
        </w:rPr>
        <w:footnoteRef/>
      </w:r>
      <w:r>
        <w:t xml:space="preserve"> </w:t>
      </w:r>
      <w:proofErr w:type="spellStart"/>
      <w:r>
        <w:t>Ruwantissa</w:t>
      </w:r>
      <w:proofErr w:type="spellEnd"/>
      <w:r>
        <w:t xml:space="preserve"> </w:t>
      </w:r>
      <w:proofErr w:type="spellStart"/>
      <w:r>
        <w:t>Abeyratne</w:t>
      </w:r>
      <w:proofErr w:type="spellEnd"/>
      <w:r>
        <w:t xml:space="preserve"> (2013): “Reinventing ICAO’s Role in Economic Regulation – A Compelling Need”, 13(1) Issues in Aviation Law and Policy, 9.</w:t>
      </w:r>
    </w:p>
  </w:footnote>
  <w:footnote w:id="33">
    <w:p w:rsidR="00164BF5" w:rsidRPr="0038604D" w:rsidRDefault="00164BF5" w:rsidP="00E02D2C">
      <w:pPr>
        <w:pStyle w:val="FootnoteText"/>
      </w:pPr>
      <w:r>
        <w:rPr>
          <w:rStyle w:val="FootnoteReference"/>
        </w:rPr>
        <w:footnoteRef/>
      </w:r>
      <w:r>
        <w:t xml:space="preserve"> Visit:</w:t>
      </w:r>
      <w:r w:rsidRPr="0038604D">
        <w:t xml:space="preserve"> </w:t>
      </w:r>
      <w:r>
        <w:t>&lt;</w:t>
      </w:r>
      <w:hyperlink r:id="rId8" w:history="1">
        <w:r w:rsidRPr="00BF59F9">
          <w:rPr>
            <w:rStyle w:val="Hyperlink"/>
          </w:rPr>
          <w:t>http://www.icao.int/about-icao/Pages/Strategic-Objectives.aspx</w:t>
        </w:r>
      </w:hyperlink>
      <w:r>
        <w:t>&gt;.</w:t>
      </w:r>
    </w:p>
  </w:footnote>
  <w:footnote w:id="34">
    <w:p w:rsidR="00164BF5" w:rsidRDefault="00164BF5">
      <w:pPr>
        <w:pStyle w:val="FootnoteText"/>
      </w:pPr>
      <w:r>
        <w:rPr>
          <w:rStyle w:val="FootnoteReference"/>
        </w:rPr>
        <w:footnoteRef/>
      </w:r>
      <w:r>
        <w:t xml:space="preserve"> See ICAO Working Paper No. A38-WP/56, EC/6, July 31, 2013, Recommendation 2.8/1, Implementation of ICAO Policies and Guidance B-4, available at: &lt;</w:t>
      </w:r>
      <w:r w:rsidRPr="00EA6A8D">
        <w:t xml:space="preserve"> http://www.icao.int/Meetings/a38/Pages/WP_Num.aspx</w:t>
      </w:r>
      <w:r>
        <w:t>&gt;.</w:t>
      </w:r>
    </w:p>
  </w:footnote>
  <w:footnote w:id="35">
    <w:p w:rsidR="00164BF5" w:rsidRDefault="00164BF5">
      <w:pPr>
        <w:pStyle w:val="FootnoteText"/>
      </w:pPr>
      <w:r>
        <w:rPr>
          <w:rStyle w:val="FootnoteReference"/>
        </w:rPr>
        <w:footnoteRef/>
      </w:r>
      <w:r>
        <w:t xml:space="preserve"> This suggestion has been put forward also by </w:t>
      </w:r>
      <w:proofErr w:type="spellStart"/>
      <w:r>
        <w:t>Ruwantissa</w:t>
      </w:r>
      <w:proofErr w:type="spellEnd"/>
      <w:r>
        <w:t xml:space="preserve"> </w:t>
      </w:r>
      <w:proofErr w:type="spellStart"/>
      <w:r>
        <w:t>Abeyratne</w:t>
      </w:r>
      <w:proofErr w:type="spellEnd"/>
      <w:r>
        <w:t xml:space="preserve"> in “Trade in Air Transport:</w:t>
      </w:r>
      <w:r w:rsidR="000D6BBE">
        <w:t xml:space="preserve"> Have We Lost Our Way?</w:t>
      </w:r>
      <w:proofErr w:type="gramStart"/>
      <w:r w:rsidR="000D6BBE">
        <w:t>”,</w:t>
      </w:r>
      <w:proofErr w:type="gramEnd"/>
      <w:r w:rsidR="000D6BBE">
        <w:t xml:space="preserve"> </w:t>
      </w:r>
      <w:r w:rsidR="000D6BBE" w:rsidRPr="000D6BBE">
        <w:rPr>
          <w:i/>
        </w:rPr>
        <w:t>supra</w:t>
      </w:r>
      <w:r w:rsidR="000D6BBE">
        <w:t xml:space="preserve"> note 18</w:t>
      </w:r>
      <w:r>
        <w:t>.</w:t>
      </w:r>
    </w:p>
  </w:footnote>
  <w:footnote w:id="36">
    <w:p w:rsidR="00164BF5" w:rsidRDefault="00164BF5" w:rsidP="00F314B8">
      <w:pPr>
        <w:pStyle w:val="FootnoteText"/>
      </w:pPr>
      <w:r w:rsidRPr="00F314B8">
        <w:rPr>
          <w:rStyle w:val="FootnoteReference"/>
        </w:rPr>
        <w:footnoteRef/>
      </w:r>
      <w:r w:rsidRPr="00F314B8">
        <w:t xml:space="preserve"> </w:t>
      </w:r>
      <w:proofErr w:type="spellStart"/>
      <w:r w:rsidR="00A470C5">
        <w:rPr>
          <w:rStyle w:val="hps"/>
          <w:lang w:val="en"/>
        </w:rPr>
        <w:t>Abeyratne</w:t>
      </w:r>
      <w:proofErr w:type="spellEnd"/>
      <w:r w:rsidR="00A470C5">
        <w:rPr>
          <w:rStyle w:val="hps"/>
          <w:lang w:val="en"/>
        </w:rPr>
        <w:t xml:space="preserve"> has suggested </w:t>
      </w:r>
      <w:r w:rsidRPr="00F314B8">
        <w:rPr>
          <w:rStyle w:val="hps"/>
          <w:lang w:val="en"/>
        </w:rPr>
        <w:t>amend</w:t>
      </w:r>
      <w:r w:rsidR="00A470C5">
        <w:rPr>
          <w:rStyle w:val="hps"/>
          <w:lang w:val="en"/>
        </w:rPr>
        <w:t>ing</w:t>
      </w:r>
      <w:r w:rsidRPr="00F314B8">
        <w:rPr>
          <w:rStyle w:val="hps"/>
          <w:lang w:val="en"/>
        </w:rPr>
        <w:t xml:space="preserve"> </w:t>
      </w:r>
      <w:r w:rsidRPr="00F314B8">
        <w:t>Article 6, f</w:t>
      </w:r>
      <w:r>
        <w:t>rom its negative position to a p</w:t>
      </w:r>
      <w:r w:rsidRPr="00F314B8">
        <w:t>ositive one, where the provision could permit airlines of States to freely operate air services into the territories of each other, subject to the requirement that States whose airlines are seeking to operate services should convince the State which agrees for such operation that such services would benefit all concerned, including the consumer, while at the same time giving the latter the right to refuse if there is no convincing for such operations.</w:t>
      </w:r>
      <w:r>
        <w:t xml:space="preserve"> See “Trade in Air Transport: Have We Lost Our Way?</w:t>
      </w:r>
      <w:proofErr w:type="gramStart"/>
      <w:r>
        <w:t>”,</w:t>
      </w:r>
      <w:proofErr w:type="gramEnd"/>
      <w:r>
        <w:t xml:space="preserve"> </w:t>
      </w:r>
      <w:r w:rsidRPr="00F314B8">
        <w:rPr>
          <w:i/>
        </w:rPr>
        <w:t>supra</w:t>
      </w:r>
      <w:r>
        <w:t xml:space="preserve"> note 18, and “Reinventing ICAO’s Role in Economic Regulation – A Compelling Need”, </w:t>
      </w:r>
      <w:r w:rsidRPr="00F314B8">
        <w:rPr>
          <w:i/>
        </w:rPr>
        <w:t>supra</w:t>
      </w:r>
      <w:r>
        <w:t xml:space="preserve"> note 31.</w:t>
      </w:r>
    </w:p>
    <w:p w:rsidR="00164BF5" w:rsidRDefault="00164BF5" w:rsidP="00F314B8">
      <w:pPr>
        <w:pStyle w:val="FootnoteText"/>
      </w:pPr>
    </w:p>
    <w:p w:rsidR="00164BF5" w:rsidRPr="00F314B8" w:rsidRDefault="00164BF5" w:rsidP="00F314B8">
      <w:pPr>
        <w:spacing w:after="0" w:line="240" w:lineRule="auto"/>
        <w:rPr>
          <w:sz w:val="20"/>
          <w:szCs w:val="20"/>
        </w:rPr>
      </w:pPr>
    </w:p>
    <w:p w:rsidR="00164BF5" w:rsidRPr="00F314B8" w:rsidRDefault="00164BF5">
      <w:pPr>
        <w:pStyle w:val="FootnoteText"/>
      </w:pPr>
    </w:p>
  </w:footnote>
  <w:footnote w:id="37">
    <w:p w:rsidR="00164BF5" w:rsidRDefault="00164BF5" w:rsidP="004F028D">
      <w:pPr>
        <w:pStyle w:val="FootnoteText"/>
      </w:pPr>
      <w:r>
        <w:rPr>
          <w:rStyle w:val="FootnoteReference"/>
        </w:rPr>
        <w:footnoteRef/>
      </w:r>
      <w:r>
        <w:t xml:space="preserve"> On this point, see </w:t>
      </w:r>
      <w:proofErr w:type="spellStart"/>
      <w:r>
        <w:t>Ruwantissa</w:t>
      </w:r>
      <w:proofErr w:type="spellEnd"/>
      <w:r>
        <w:t xml:space="preserve"> </w:t>
      </w:r>
      <w:proofErr w:type="spellStart"/>
      <w:r>
        <w:t>Abeyratne</w:t>
      </w:r>
      <w:proofErr w:type="spellEnd"/>
      <w:r>
        <w:t xml:space="preserve"> (2009): “The Role of the International Civil Aviation Organisation (ICAO) in the Twenty First Century”, 34 Annals of Air and Space Law, 529. See also, </w:t>
      </w:r>
      <w:proofErr w:type="spellStart"/>
      <w:r>
        <w:t>Ruwantissa</w:t>
      </w:r>
      <w:proofErr w:type="spellEnd"/>
      <w:r>
        <w:t xml:space="preserve"> </w:t>
      </w:r>
      <w:proofErr w:type="spellStart"/>
      <w:r>
        <w:t>Abeyratne</w:t>
      </w:r>
      <w:proofErr w:type="spellEnd"/>
      <w:r>
        <w:t xml:space="preserve">, </w:t>
      </w:r>
      <w:r w:rsidRPr="002851FC">
        <w:rPr>
          <w:i/>
        </w:rPr>
        <w:t xml:space="preserve">supra </w:t>
      </w:r>
      <w:r>
        <w:t>note 31.</w:t>
      </w:r>
    </w:p>
  </w:footnote>
  <w:footnote w:id="38">
    <w:p w:rsidR="00164BF5" w:rsidRDefault="00164BF5">
      <w:pPr>
        <w:pStyle w:val="FootnoteText"/>
      </w:pPr>
      <w:r>
        <w:rPr>
          <w:rStyle w:val="FootnoteReference"/>
        </w:rPr>
        <w:footnoteRef/>
      </w:r>
      <w:r>
        <w:t xml:space="preserve"> See </w:t>
      </w:r>
      <w:proofErr w:type="spellStart"/>
      <w:r>
        <w:t>Abeyratne</w:t>
      </w:r>
      <w:proofErr w:type="spellEnd"/>
      <w:r>
        <w:t xml:space="preserve">, </w:t>
      </w:r>
      <w:r w:rsidRPr="00E655F7">
        <w:rPr>
          <w:i/>
        </w:rPr>
        <w:t>supra</w:t>
      </w:r>
      <w:r>
        <w:t xml:space="preserve"> note 31.</w:t>
      </w:r>
    </w:p>
  </w:footnote>
  <w:footnote w:id="39">
    <w:p w:rsidR="00164BF5" w:rsidRDefault="00164BF5">
      <w:pPr>
        <w:pStyle w:val="FootnoteText"/>
      </w:pPr>
      <w:r>
        <w:rPr>
          <w:rStyle w:val="FootnoteReference"/>
        </w:rPr>
        <w:footnoteRef/>
      </w:r>
      <w:r>
        <w:t xml:space="preserve"> See 4(1) (a) of the US-South Korea Air Transport Agreement of June 9, 1998, available at: &lt;</w:t>
      </w:r>
      <w:hyperlink r:id="rId9" w:history="1">
        <w:r w:rsidRPr="00D52D97">
          <w:rPr>
            <w:rStyle w:val="Hyperlink"/>
          </w:rPr>
          <w:t>http://www.state.gov/e/eb/rls/othr/ata/k/ks/index.htm</w:t>
        </w:r>
      </w:hyperlink>
      <w:r>
        <w:t xml:space="preserve">&gt;. </w:t>
      </w:r>
    </w:p>
  </w:footnote>
  <w:footnote w:id="40">
    <w:p w:rsidR="00164BF5" w:rsidRDefault="00164BF5" w:rsidP="00D05AB2">
      <w:pPr>
        <w:pStyle w:val="FootnoteText"/>
      </w:pPr>
      <w:r>
        <w:rPr>
          <w:rStyle w:val="FootnoteReference"/>
        </w:rPr>
        <w:footnoteRef/>
      </w:r>
      <w:r>
        <w:t xml:space="preserve"> See Agenda for Freedom, FAQs, available at: &lt;</w:t>
      </w:r>
      <w:hyperlink r:id="rId10" w:history="1">
        <w:r w:rsidRPr="00904AE0">
          <w:rPr>
            <w:rStyle w:val="Hyperlink"/>
          </w:rPr>
          <w:t>http://www.iata.org/policy/liberalization/agenda-freedom/pages/index.aspx</w:t>
        </w:r>
      </w:hyperlink>
      <w:r>
        <w:t>&gt;.</w:t>
      </w:r>
    </w:p>
  </w:footnote>
  <w:footnote w:id="41">
    <w:p w:rsidR="00164BF5" w:rsidRDefault="00164BF5" w:rsidP="00463F0A">
      <w:pPr>
        <w:pStyle w:val="FootnoteText"/>
      </w:pPr>
      <w:r>
        <w:rPr>
          <w:rStyle w:val="FootnoteReference"/>
        </w:rPr>
        <w:footnoteRef/>
      </w:r>
      <w:r>
        <w:t xml:space="preserve"> Statement available at: &lt;</w:t>
      </w:r>
      <w:hyperlink r:id="rId11" w:history="1">
        <w:r w:rsidRPr="00904AE0">
          <w:rPr>
            <w:rStyle w:val="Hyperlink"/>
          </w:rPr>
          <w:t>http://www.iata.org/policy/liberalization/agenda-freedom/pages/index.aspx</w:t>
        </w:r>
      </w:hyperlink>
      <w:r>
        <w:t>&gt;.</w:t>
      </w:r>
    </w:p>
  </w:footnote>
  <w:footnote w:id="42">
    <w:p w:rsidR="00164BF5" w:rsidRDefault="00164BF5" w:rsidP="00004E21">
      <w:pPr>
        <w:pStyle w:val="FootnoteText"/>
      </w:pPr>
      <w:r>
        <w:rPr>
          <w:rStyle w:val="FootnoteReference"/>
        </w:rPr>
        <w:footnoteRef/>
      </w:r>
      <w:r>
        <w:t xml:space="preserve"> See section 1 of the Statement of Policy Principles on Freedom to access capital markets, available at: &lt;</w:t>
      </w:r>
      <w:r w:rsidRPr="00A13B80">
        <w:t xml:space="preserve"> http://www.iata.org/policy/liberalization/agenda-freedom/pages/index.aspx</w:t>
      </w:r>
      <w:r>
        <w:t>&gt;.</w:t>
      </w:r>
    </w:p>
  </w:footnote>
  <w:footnote w:id="43">
    <w:p w:rsidR="00164BF5" w:rsidRDefault="00164BF5">
      <w:pPr>
        <w:pStyle w:val="FootnoteText"/>
      </w:pPr>
      <w:r>
        <w:rPr>
          <w:rStyle w:val="FootnoteReference"/>
        </w:rPr>
        <w:footnoteRef/>
      </w:r>
      <w:r>
        <w:t xml:space="preserve"> See Section 5 of the Statement on Legal Effect. Ibid.</w:t>
      </w:r>
    </w:p>
  </w:footnote>
  <w:footnote w:id="44">
    <w:p w:rsidR="00164BF5" w:rsidRDefault="00164BF5" w:rsidP="00CC6D79">
      <w:pPr>
        <w:pStyle w:val="FootnoteText"/>
      </w:pPr>
      <w:r>
        <w:rPr>
          <w:rStyle w:val="FootnoteReference"/>
        </w:rPr>
        <w:footnoteRef/>
      </w:r>
      <w:r>
        <w:t xml:space="preserve"> On this point, see Brian Havel and Gabriel Sanchez (2010-2011): “The Emerging Lex </w:t>
      </w:r>
      <w:proofErr w:type="spellStart"/>
      <w:r>
        <w:t>Aviatica</w:t>
      </w:r>
      <w:proofErr w:type="spellEnd"/>
      <w:r>
        <w:t>”, 42 Georgetown Journal of International Law, 639.</w:t>
      </w:r>
    </w:p>
  </w:footnote>
  <w:footnote w:id="45">
    <w:p w:rsidR="00164BF5" w:rsidRDefault="00164BF5">
      <w:pPr>
        <w:pStyle w:val="FootnoteText"/>
      </w:pPr>
      <w:r>
        <w:rPr>
          <w:rStyle w:val="FootnoteReference"/>
        </w:rPr>
        <w:footnoteRef/>
      </w:r>
      <w:r>
        <w:t xml:space="preserve"> See Section 1(c) of the Statement. </w:t>
      </w:r>
      <w:r w:rsidRPr="00572DC7">
        <w:rPr>
          <w:i/>
        </w:rPr>
        <w:t>Supra</w:t>
      </w:r>
      <w:r>
        <w:t xml:space="preserve"> note 40.</w:t>
      </w:r>
    </w:p>
  </w:footnote>
  <w:footnote w:id="46">
    <w:p w:rsidR="00164BF5" w:rsidRDefault="00164BF5">
      <w:pPr>
        <w:pStyle w:val="FootnoteText"/>
      </w:pPr>
      <w:r>
        <w:rPr>
          <w:rStyle w:val="FootnoteReference"/>
        </w:rPr>
        <w:footnoteRef/>
      </w:r>
      <w:r>
        <w:t xml:space="preserve"> See Working Paper </w:t>
      </w:r>
      <w:proofErr w:type="gramStart"/>
      <w:r>
        <w:t>A</w:t>
      </w:r>
      <w:proofErr w:type="gramEnd"/>
      <w:r>
        <w:t xml:space="preserve"> 37-WP/190, EC/12, 13.09.2010, Agenda Item 49: Liberalisation of international air transport services, Facilitating Airline Access to International Capital Markets, available at: &lt;</w:t>
      </w:r>
      <w:r w:rsidRPr="00245637">
        <w:t xml:space="preserve"> </w:t>
      </w:r>
      <w:hyperlink r:id="rId12" w:history="1">
        <w:r w:rsidRPr="002769D6">
          <w:rPr>
            <w:rStyle w:val="Hyperlink"/>
          </w:rPr>
          <w:t>http://www.icao.int/Meetings/AMC/Assembly37/Working%20Papers%20by%20Number/wp190_en.pdf</w:t>
        </w:r>
      </w:hyperlink>
      <w:r>
        <w:t xml:space="preserve">&gt;. </w:t>
      </w:r>
    </w:p>
  </w:footnote>
  <w:footnote w:id="47">
    <w:p w:rsidR="00164BF5" w:rsidRDefault="00164BF5" w:rsidP="00362F8E">
      <w:pPr>
        <w:pStyle w:val="FootnoteText"/>
      </w:pPr>
      <w:r>
        <w:rPr>
          <w:rStyle w:val="FootnoteReference"/>
        </w:rPr>
        <w:footnoteRef/>
      </w:r>
      <w:r>
        <w:t xml:space="preserve"> See Doc 10022, Assembly Resolutions in Force (as of 4 October 2013), Appendix A, </w:t>
      </w:r>
      <w:proofErr w:type="gramStart"/>
      <w:r>
        <w:t>Section</w:t>
      </w:r>
      <w:proofErr w:type="gramEnd"/>
      <w:r>
        <w:t xml:space="preserve"> I, para. </w:t>
      </w:r>
      <w:proofErr w:type="gramStart"/>
      <w:r>
        <w:t>13 and para.</w:t>
      </w:r>
      <w:proofErr w:type="gramEnd"/>
      <w:r>
        <w:t xml:space="preserve"> 14, available at: &lt;</w:t>
      </w:r>
      <w:hyperlink r:id="rId13" w:history="1">
        <w:r w:rsidRPr="00904AE0">
          <w:rPr>
            <w:rStyle w:val="Hyperlink"/>
          </w:rPr>
          <w:t>http://www.icao.int/Meetings/a38/Pages/resolutions.aspx</w:t>
        </w:r>
      </w:hyperlink>
      <w:r>
        <w:t>&gt;.</w:t>
      </w:r>
    </w:p>
  </w:footnote>
  <w:footnote w:id="48">
    <w:p w:rsidR="00164BF5" w:rsidRDefault="00164BF5">
      <w:pPr>
        <w:pStyle w:val="FootnoteText"/>
      </w:pPr>
      <w:r>
        <w:rPr>
          <w:rStyle w:val="FootnoteReference"/>
        </w:rPr>
        <w:footnoteRef/>
      </w:r>
      <w:r>
        <w:t xml:space="preserve"> </w:t>
      </w:r>
      <w:proofErr w:type="gramStart"/>
      <w:r>
        <w:t>Article 4(1) of the draft Convention.</w:t>
      </w:r>
      <w:proofErr w:type="gramEnd"/>
      <w:r>
        <w:t xml:space="preserve"> </w:t>
      </w:r>
    </w:p>
  </w:footnote>
  <w:footnote w:id="49">
    <w:p w:rsidR="00164BF5" w:rsidRDefault="00164BF5">
      <w:pPr>
        <w:pStyle w:val="FootnoteText"/>
      </w:pPr>
      <w:r>
        <w:rPr>
          <w:rStyle w:val="FootnoteReference"/>
        </w:rPr>
        <w:footnoteRef/>
      </w:r>
      <w:r>
        <w:t xml:space="preserve"> </w:t>
      </w:r>
      <w:proofErr w:type="gramStart"/>
      <w:r>
        <w:t>Article 2(1) of the draft Convention.</w:t>
      </w:r>
      <w:proofErr w:type="gramEnd"/>
    </w:p>
  </w:footnote>
  <w:footnote w:id="50">
    <w:p w:rsidR="00164BF5" w:rsidRDefault="00164BF5">
      <w:pPr>
        <w:pStyle w:val="FootnoteText"/>
      </w:pPr>
      <w:r>
        <w:rPr>
          <w:rStyle w:val="FootnoteReference"/>
        </w:rPr>
        <w:footnoteRef/>
      </w:r>
      <w:r>
        <w:t xml:space="preserve"> </w:t>
      </w:r>
      <w:proofErr w:type="gramStart"/>
      <w:r>
        <w:t>Article 2(2) of the draft Convention.</w:t>
      </w:r>
      <w:proofErr w:type="gramEnd"/>
    </w:p>
  </w:footnote>
  <w:footnote w:id="51">
    <w:p w:rsidR="00164BF5" w:rsidRDefault="00164BF5">
      <w:pPr>
        <w:pStyle w:val="FootnoteText"/>
      </w:pPr>
      <w:r>
        <w:rPr>
          <w:rStyle w:val="FootnoteReference"/>
        </w:rPr>
        <w:footnoteRef/>
      </w:r>
      <w:r>
        <w:t xml:space="preserve"> </w:t>
      </w:r>
      <w:proofErr w:type="gramStart"/>
      <w:r>
        <w:t>Article 3 of the draft Convention.</w:t>
      </w:r>
      <w:proofErr w:type="gramEnd"/>
    </w:p>
  </w:footnote>
  <w:footnote w:id="52">
    <w:p w:rsidR="00164BF5" w:rsidRDefault="00164BF5">
      <w:pPr>
        <w:pStyle w:val="FootnoteText"/>
      </w:pPr>
      <w:r>
        <w:rPr>
          <w:rStyle w:val="FootnoteReference"/>
        </w:rPr>
        <w:footnoteRef/>
      </w:r>
      <w:r>
        <w:t xml:space="preserve"> </w:t>
      </w:r>
      <w:proofErr w:type="gramStart"/>
      <w:r>
        <w:t>Article 4(3) of the draft Convention.</w:t>
      </w:r>
      <w:proofErr w:type="gramEnd"/>
    </w:p>
  </w:footnote>
  <w:footnote w:id="53">
    <w:p w:rsidR="00164BF5" w:rsidRDefault="00164BF5">
      <w:pPr>
        <w:pStyle w:val="FootnoteText"/>
      </w:pPr>
      <w:r>
        <w:rPr>
          <w:rStyle w:val="FootnoteReference"/>
        </w:rPr>
        <w:footnoteRef/>
      </w:r>
      <w:r>
        <w:t xml:space="preserve"> Vienna Convention on the Law of Treaties, 23 May 1969, 1155 U.N.T.S. 331, available at: &lt;</w:t>
      </w:r>
      <w:r w:rsidRPr="00011CC0">
        <w:t xml:space="preserve"> https://treaties.un.org/doc/Publication/UNTS/Volume%201155/volume-1155-I-18232-English.pdf</w:t>
      </w:r>
      <w:r>
        <w:t>&gt;.</w:t>
      </w:r>
    </w:p>
  </w:footnote>
  <w:footnote w:id="54">
    <w:p w:rsidR="00164BF5" w:rsidRDefault="00164BF5">
      <w:pPr>
        <w:pStyle w:val="FootnoteText"/>
      </w:pPr>
      <w:r>
        <w:rPr>
          <w:rStyle w:val="FootnoteReference"/>
        </w:rPr>
        <w:footnoteRef/>
      </w:r>
      <w:r>
        <w:t xml:space="preserve"> </w:t>
      </w:r>
      <w:proofErr w:type="gramStart"/>
      <w:r>
        <w:t>Article 5 of the draft Convention.</w:t>
      </w:r>
      <w:proofErr w:type="gramEnd"/>
    </w:p>
  </w:footnote>
  <w:footnote w:id="55">
    <w:p w:rsidR="00164BF5" w:rsidRDefault="00164BF5" w:rsidP="00B22BAF">
      <w:pPr>
        <w:pStyle w:val="FootnoteText"/>
      </w:pPr>
      <w:r>
        <w:rPr>
          <w:rStyle w:val="FootnoteReference"/>
        </w:rPr>
        <w:footnoteRef/>
      </w:r>
      <w:r>
        <w:t xml:space="preserve"> US-EU Air Transport Agreement (May 25, 2007, OJ L 134/4, 2007), as amended by Protocol of March 25, 2010 (OJ L 223/</w:t>
      </w:r>
      <w:r w:rsidRPr="00C4194A">
        <w:t>3</w:t>
      </w:r>
      <w:r>
        <w:t>, 2010).</w:t>
      </w:r>
    </w:p>
  </w:footnote>
  <w:footnote w:id="56">
    <w:p w:rsidR="00164BF5" w:rsidRDefault="00164BF5" w:rsidP="005E0F12">
      <w:pPr>
        <w:pStyle w:val="FootnoteText"/>
      </w:pPr>
      <w:r>
        <w:rPr>
          <w:rStyle w:val="FootnoteReference"/>
        </w:rPr>
        <w:footnoteRef/>
      </w:r>
      <w:r>
        <w:t xml:space="preserve"> See European Commission Press Release IP/10/371, 25.03.2010. </w:t>
      </w:r>
    </w:p>
  </w:footnote>
  <w:footnote w:id="57">
    <w:p w:rsidR="00164BF5" w:rsidRDefault="00164BF5">
      <w:pPr>
        <w:pStyle w:val="FootnoteText"/>
      </w:pPr>
      <w:r>
        <w:rPr>
          <w:rStyle w:val="FootnoteReference"/>
        </w:rPr>
        <w:footnoteRef/>
      </w:r>
      <w:r>
        <w:t xml:space="preserve"> Article 49 TFEU.</w:t>
      </w:r>
    </w:p>
  </w:footnote>
  <w:footnote w:id="58">
    <w:p w:rsidR="004E08F8" w:rsidRDefault="004E08F8">
      <w:pPr>
        <w:pStyle w:val="FootnoteText"/>
      </w:pPr>
      <w:r>
        <w:rPr>
          <w:rStyle w:val="FootnoteReference"/>
        </w:rPr>
        <w:footnoteRef/>
      </w:r>
      <w:r>
        <w:t xml:space="preserve"> See Article 4 (b) of the 2007 US-EU Air Transport Agreement, </w:t>
      </w:r>
      <w:r w:rsidRPr="004E08F8">
        <w:rPr>
          <w:i/>
        </w:rPr>
        <w:t>supra</w:t>
      </w:r>
      <w:r>
        <w:t xml:space="preserve"> note 54.</w:t>
      </w:r>
    </w:p>
  </w:footnote>
  <w:footnote w:id="59">
    <w:p w:rsidR="00B95DDF" w:rsidRDefault="00B95DDF" w:rsidP="00B95DDF">
      <w:pPr>
        <w:pStyle w:val="FootnoteText"/>
      </w:pPr>
      <w:r>
        <w:rPr>
          <w:rStyle w:val="FootnoteReference"/>
        </w:rPr>
        <w:footnoteRef/>
      </w:r>
      <w:r>
        <w:t xml:space="preserve"> See Article 5(5) of the 2010 Amending Protocol, ibid.</w:t>
      </w:r>
    </w:p>
  </w:footnote>
  <w:footnote w:id="60">
    <w:p w:rsidR="00B95DDF" w:rsidRPr="00B54CF4" w:rsidRDefault="00B95DDF" w:rsidP="00B95DDF">
      <w:pPr>
        <w:pStyle w:val="FootnoteText"/>
        <w:rPr>
          <w:lang w:val="en"/>
        </w:rPr>
      </w:pPr>
      <w:r>
        <w:rPr>
          <w:rStyle w:val="FootnoteReference"/>
        </w:rPr>
        <w:footnoteRef/>
      </w:r>
      <w:r>
        <w:t xml:space="preserve"> </w:t>
      </w:r>
      <w:r w:rsidRPr="00B54CF4">
        <w:t xml:space="preserve">See Ancillary Agreement Between </w:t>
      </w:r>
      <w:r w:rsidRPr="00B54CF4">
        <w:rPr>
          <w:lang w:val="en"/>
        </w:rPr>
        <w:t>the European Union and its Member States, of the first part, Iceland, of the second part, and the Kingdom of Norway, of the third part, on the application of the Air Transport Agreement between the United States of America, of the first part, the European Union and its Member States, of the second part, Iceland, of the third part, and the Kingdom of Norway, of the fourth part</w:t>
      </w:r>
      <w:r>
        <w:rPr>
          <w:lang w:val="en"/>
        </w:rPr>
        <w:t>, OJ L 283/16, 29.10.2011.</w:t>
      </w:r>
    </w:p>
  </w:footnote>
  <w:footnote w:id="61">
    <w:p w:rsidR="00BE01F1" w:rsidRPr="00BE01F1" w:rsidRDefault="00BE01F1" w:rsidP="00A33728">
      <w:pPr>
        <w:spacing w:after="0" w:line="240" w:lineRule="auto"/>
        <w:rPr>
          <w:sz w:val="20"/>
          <w:szCs w:val="20"/>
        </w:rPr>
      </w:pPr>
      <w:r w:rsidRPr="00BE01F1">
        <w:rPr>
          <w:rStyle w:val="FootnoteReference"/>
          <w:sz w:val="20"/>
          <w:szCs w:val="20"/>
        </w:rPr>
        <w:footnoteRef/>
      </w:r>
      <w:r w:rsidRPr="00BE01F1">
        <w:rPr>
          <w:sz w:val="20"/>
          <w:szCs w:val="20"/>
        </w:rPr>
        <w:t xml:space="preserve"> This undertaking is subject to an (anti-)free-rider proviso, which is that the third country in question has established a record of cooperation in air services relations with both Parties.</w:t>
      </w:r>
      <w:r w:rsidRPr="00BE01F1">
        <w:rPr>
          <w:sz w:val="20"/>
          <w:szCs w:val="20"/>
          <w:vertAlign w:val="superscript"/>
        </w:rPr>
        <w:t xml:space="preserve"> </w:t>
      </w:r>
      <w:r w:rsidRPr="00BE01F1">
        <w:rPr>
          <w:sz w:val="20"/>
          <w:szCs w:val="20"/>
        </w:rPr>
        <w:t xml:space="preserve">See Annex 6, paragraphs 1, 2 and 3 of the 2010 </w:t>
      </w:r>
      <w:r w:rsidR="00931D47">
        <w:rPr>
          <w:sz w:val="20"/>
          <w:szCs w:val="20"/>
        </w:rPr>
        <w:t>Amending Protocol</w:t>
      </w:r>
      <w:r w:rsidRPr="00BE01F1">
        <w:rPr>
          <w:sz w:val="20"/>
          <w:szCs w:val="20"/>
        </w:rPr>
        <w:t xml:space="preserve">, </w:t>
      </w:r>
      <w:r w:rsidRPr="00BE01F1">
        <w:rPr>
          <w:i/>
          <w:sz w:val="20"/>
          <w:szCs w:val="20"/>
        </w:rPr>
        <w:t>supra</w:t>
      </w:r>
      <w:r w:rsidRPr="00BE01F1">
        <w:rPr>
          <w:sz w:val="20"/>
          <w:szCs w:val="20"/>
        </w:rPr>
        <w:t xml:space="preserve"> note 54.</w:t>
      </w:r>
    </w:p>
  </w:footnote>
  <w:footnote w:id="62">
    <w:p w:rsidR="00931D47" w:rsidRDefault="00931D47" w:rsidP="00A33728">
      <w:pPr>
        <w:pStyle w:val="FootnoteText"/>
      </w:pPr>
      <w:r>
        <w:rPr>
          <w:rStyle w:val="FootnoteReference"/>
        </w:rPr>
        <w:footnoteRef/>
      </w:r>
      <w:r>
        <w:t xml:space="preserve"> See Annex 6, para. </w:t>
      </w:r>
      <w:proofErr w:type="gramStart"/>
      <w:r>
        <w:t>2 of the 2010 Amending Protocol, ibid.</w:t>
      </w:r>
      <w:proofErr w:type="gramEnd"/>
    </w:p>
  </w:footnote>
  <w:footnote w:id="63">
    <w:p w:rsidR="00995647" w:rsidRDefault="00995647">
      <w:pPr>
        <w:pStyle w:val="FootnoteText"/>
      </w:pPr>
      <w:r>
        <w:rPr>
          <w:rStyle w:val="FootnoteReference"/>
        </w:rPr>
        <w:footnoteRef/>
      </w:r>
      <w:r>
        <w:t xml:space="preserve"> See Commission Communication: The EU’s External Aviation Policy – Addressing Future challenges, </w:t>
      </w:r>
      <w:proofErr w:type="gramStart"/>
      <w:r>
        <w:t>COM(</w:t>
      </w:r>
      <w:proofErr w:type="gramEnd"/>
      <w:r>
        <w:t>2012) 556 final, 27.09.2012.</w:t>
      </w:r>
    </w:p>
  </w:footnote>
  <w:footnote w:id="64">
    <w:p w:rsidR="000B69CD" w:rsidRDefault="000B69CD" w:rsidP="000B69CD">
      <w:pPr>
        <w:pStyle w:val="FootnoteText"/>
      </w:pPr>
      <w:r>
        <w:rPr>
          <w:rStyle w:val="FootnoteReference"/>
        </w:rPr>
        <w:footnoteRef/>
      </w:r>
      <w:r>
        <w:t xml:space="preserve"> ASEAN Agreement on Multilateral Air Services (MAAS), adopted on May, 20, 2009 and ASEAN Multilateral Agreement on the Full Liberalisation of Passenger Air Services (MAFLPAS), adopted on November, 12, 2010, available at: &lt;</w:t>
      </w:r>
      <w:r w:rsidRPr="00AF2C0F">
        <w:t xml:space="preserve"> http://www.asean.org/communities/asean-economic-community/category/agreements-on-transportation-and-communication</w:t>
      </w:r>
      <w:r>
        <w:t>&gt;.</w:t>
      </w:r>
    </w:p>
  </w:footnote>
  <w:footnote w:id="65">
    <w:p w:rsidR="00D6013A" w:rsidRDefault="00D6013A">
      <w:pPr>
        <w:pStyle w:val="FootnoteText"/>
      </w:pPr>
      <w:r>
        <w:rPr>
          <w:rStyle w:val="FootnoteReference"/>
        </w:rPr>
        <w:footnoteRef/>
      </w:r>
      <w:r>
        <w:t xml:space="preserve"> </w:t>
      </w:r>
      <w:r w:rsidR="003D5E62">
        <w:t xml:space="preserve">For an analysis of the ASEAN SAM, see Alan </w:t>
      </w:r>
      <w:proofErr w:type="spellStart"/>
      <w:r w:rsidR="003D5E62">
        <w:t>Khee-Jin</w:t>
      </w:r>
      <w:proofErr w:type="spellEnd"/>
      <w:r w:rsidR="003D5E62">
        <w:t xml:space="preserve"> Tan (2010): “The ASEAN Multilateral Agreement on Air Services: </w:t>
      </w:r>
      <w:proofErr w:type="spellStart"/>
      <w:r w:rsidR="003D5E62">
        <w:t>En</w:t>
      </w:r>
      <w:proofErr w:type="spellEnd"/>
      <w:r w:rsidR="003D5E62">
        <w:t xml:space="preserve"> Route to Open Skies?</w:t>
      </w:r>
      <w:proofErr w:type="gramStart"/>
      <w:r w:rsidR="003D5E62">
        <w:t>”,</w:t>
      </w:r>
      <w:proofErr w:type="gramEnd"/>
      <w:r w:rsidR="003D5E62">
        <w:t xml:space="preserve"> 16 Journal of Air Transport Management, 289-294.</w:t>
      </w:r>
    </w:p>
  </w:footnote>
  <w:footnote w:id="66">
    <w:p w:rsidR="00A86E05" w:rsidRDefault="00A86E05">
      <w:pPr>
        <w:pStyle w:val="FootnoteText"/>
      </w:pPr>
      <w:r>
        <w:rPr>
          <w:rStyle w:val="FootnoteReference"/>
        </w:rPr>
        <w:footnoteRef/>
      </w:r>
      <w:r>
        <w:t xml:space="preserve"> See Article 2(11), in conjunction with Article 3(1) and Article 4 of Regulation (EC) No 1008/2008 on common rules for the operation of air services in the Community (Recast) OJ L293/6, 31.10.2008</w:t>
      </w:r>
      <w:r w:rsidR="00D603A2">
        <w:t xml:space="preserve"> and Article 3(2</w:t>
      </w:r>
      <w:proofErr w:type="gramStart"/>
      <w:r w:rsidR="000B69CD">
        <w:t>)</w:t>
      </w:r>
      <w:r w:rsidR="00D603A2">
        <w:t>(</w:t>
      </w:r>
      <w:proofErr w:type="gramEnd"/>
      <w:r w:rsidR="00D603A2">
        <w:t>a)(ii)</w:t>
      </w:r>
      <w:r w:rsidR="000B69CD">
        <w:t xml:space="preserve"> of the 2008 ASEAN Multilateral Agreement on Air Services</w:t>
      </w:r>
      <w:r w:rsidR="009223F5">
        <w:t xml:space="preserve">, </w:t>
      </w:r>
      <w:r w:rsidR="009223F5" w:rsidRPr="009223F5">
        <w:rPr>
          <w:i/>
        </w:rPr>
        <w:t>supra</w:t>
      </w:r>
      <w:r w:rsidR="009223F5">
        <w:t xml:space="preserve"> note 63.</w:t>
      </w:r>
    </w:p>
  </w:footnote>
  <w:footnote w:id="67">
    <w:p w:rsidR="00B14DE9" w:rsidRDefault="00B14DE9" w:rsidP="00B14DE9">
      <w:pPr>
        <w:pStyle w:val="FootnoteText"/>
      </w:pPr>
      <w:r>
        <w:rPr>
          <w:rStyle w:val="FootnoteReference"/>
        </w:rPr>
        <w:footnoteRef/>
      </w:r>
      <w:r>
        <w:t xml:space="preserve"> </w:t>
      </w:r>
      <w:proofErr w:type="gramStart"/>
      <w:r>
        <w:t>Commission Press Release IP/14/133, 12.02.2014.</w:t>
      </w:r>
      <w:proofErr w:type="gramEnd"/>
    </w:p>
  </w:footnote>
  <w:footnote w:id="68">
    <w:p w:rsidR="00A773A7" w:rsidRDefault="00A773A7">
      <w:pPr>
        <w:pStyle w:val="FootnoteText"/>
      </w:pPr>
      <w:r>
        <w:rPr>
          <w:rStyle w:val="FootnoteReference"/>
        </w:rPr>
        <w:footnoteRef/>
      </w:r>
      <w:r>
        <w:t xml:space="preserve"> Ibid.</w:t>
      </w:r>
    </w:p>
  </w:footnote>
  <w:footnote w:id="69">
    <w:p w:rsidR="00FF3D0F" w:rsidRDefault="00FF3D0F">
      <w:pPr>
        <w:pStyle w:val="FootnoteText"/>
      </w:pPr>
      <w:r>
        <w:rPr>
          <w:rStyle w:val="FootnoteReference"/>
        </w:rPr>
        <w:footnoteRef/>
      </w:r>
      <w:r>
        <w:t xml:space="preserve"> Agreement available at: &lt;</w:t>
      </w:r>
      <w:hyperlink r:id="rId14" w:history="1">
        <w:r w:rsidRPr="002769D6">
          <w:rPr>
            <w:rStyle w:val="Hyperlink"/>
          </w:rPr>
          <w:t>http://www.asean.org/archive/transport/Air%20Transport%20Agreement%20between%20ASEAN+China.pdf</w:t>
        </w:r>
      </w:hyperlink>
      <w:r>
        <w:t>&gt;.</w:t>
      </w:r>
    </w:p>
  </w:footnote>
  <w:footnote w:id="70">
    <w:p w:rsidR="00D603A2" w:rsidRDefault="00D603A2">
      <w:pPr>
        <w:pStyle w:val="FootnoteText"/>
      </w:pPr>
      <w:r>
        <w:rPr>
          <w:rStyle w:val="FootnoteReference"/>
        </w:rPr>
        <w:footnoteRef/>
      </w:r>
      <w:r>
        <w:t xml:space="preserve"> See Article 3(2</w:t>
      </w:r>
      <w:proofErr w:type="gramStart"/>
      <w:r>
        <w:t>)(</w:t>
      </w:r>
      <w:proofErr w:type="gramEnd"/>
      <w:r>
        <w:t xml:space="preserve">a)(ii) of the 2008 ASEAN Multilateral Agreement on Air Services, </w:t>
      </w:r>
      <w:r w:rsidRPr="00D603A2">
        <w:rPr>
          <w:i/>
        </w:rPr>
        <w:t>supra</w:t>
      </w:r>
      <w:r>
        <w:t xml:space="preserve"> note 63.</w:t>
      </w:r>
    </w:p>
  </w:footnote>
  <w:footnote w:id="71">
    <w:p w:rsidR="00B821D6" w:rsidRDefault="00B821D6" w:rsidP="00B821D6">
      <w:pPr>
        <w:pStyle w:val="FootnoteText"/>
      </w:pPr>
      <w:r>
        <w:rPr>
          <w:rStyle w:val="FootnoteReference"/>
        </w:rPr>
        <w:footnoteRef/>
      </w:r>
      <w:r>
        <w:t xml:space="preserve"> For an analysis thereof, see, Alan </w:t>
      </w:r>
      <w:proofErr w:type="spellStart"/>
      <w:r>
        <w:t>Khee-Jin</w:t>
      </w:r>
      <w:proofErr w:type="spellEnd"/>
      <w:r>
        <w:t xml:space="preserve"> Tan (2012): “The 2010 ASEAN China Air Transport Agreement: Placing the Cart before the Horse?</w:t>
      </w:r>
      <w:proofErr w:type="gramStart"/>
      <w:r>
        <w:t>”,</w:t>
      </w:r>
      <w:proofErr w:type="gramEnd"/>
      <w:r>
        <w:t xml:space="preserve"> 37(1) Air &amp; Space Law,  35.</w:t>
      </w:r>
    </w:p>
  </w:footnote>
  <w:footnote w:id="72">
    <w:p w:rsidR="00034549" w:rsidRDefault="00034549" w:rsidP="00034549">
      <w:pPr>
        <w:pStyle w:val="FootnoteText"/>
      </w:pPr>
      <w:r>
        <w:rPr>
          <w:rStyle w:val="FootnoteReference"/>
        </w:rPr>
        <w:footnoteRef/>
      </w:r>
      <w:r>
        <w:t xml:space="preserve"> See Alan </w:t>
      </w:r>
      <w:proofErr w:type="spellStart"/>
      <w:r>
        <w:t>Khee-Jin</w:t>
      </w:r>
      <w:proofErr w:type="spellEnd"/>
      <w:r>
        <w:t xml:space="preserve"> Tan (2014): “The E.U. and ASEAN Contemplate a Comprehensive Air Transport Agreement: What Will It Contain and Can It Work?</w:t>
      </w:r>
      <w:proofErr w:type="gramStart"/>
      <w:r>
        <w:t>”,</w:t>
      </w:r>
      <w:proofErr w:type="gramEnd"/>
      <w:r>
        <w:t xml:space="preserve"> paper presented at the 18</w:t>
      </w:r>
      <w:r w:rsidRPr="00034549">
        <w:rPr>
          <w:vertAlign w:val="superscript"/>
        </w:rPr>
        <w:t>th</w:t>
      </w:r>
      <w:r>
        <w:t xml:space="preserve"> ATRS Worldwide Conference, July, 2014, Bordeaux, France.</w:t>
      </w:r>
    </w:p>
  </w:footnote>
  <w:footnote w:id="73">
    <w:p w:rsidR="00AB0112" w:rsidRDefault="00AB0112" w:rsidP="00AB0112">
      <w:pPr>
        <w:pStyle w:val="FootnoteText"/>
      </w:pPr>
      <w:r>
        <w:rPr>
          <w:rStyle w:val="FootnoteReference"/>
        </w:rPr>
        <w:footnoteRef/>
      </w:r>
      <w:r>
        <w:t xml:space="preserve"> For an analysis of the Chinese market, see </w:t>
      </w:r>
      <w:proofErr w:type="spellStart"/>
      <w:r>
        <w:t>Xiaowen</w:t>
      </w:r>
      <w:proofErr w:type="spellEnd"/>
      <w:r>
        <w:t xml:space="preserve"> Fu and Tae </w:t>
      </w:r>
      <w:proofErr w:type="spellStart"/>
      <w:r>
        <w:t>Hoon</w:t>
      </w:r>
      <w:proofErr w:type="spellEnd"/>
      <w:r>
        <w:t xml:space="preserve"> </w:t>
      </w:r>
      <w:proofErr w:type="spellStart"/>
      <w:r>
        <w:t>Oum</w:t>
      </w:r>
      <w:proofErr w:type="spellEnd"/>
      <w:r>
        <w:t xml:space="preserve"> (2014): “Dominant Carrier Performance and International Liberalisation – the Case of North East Asia”, paper presented at the 18</w:t>
      </w:r>
      <w:r w:rsidRPr="00034549">
        <w:rPr>
          <w:vertAlign w:val="superscript"/>
        </w:rPr>
        <w:t>th</w:t>
      </w:r>
      <w:r>
        <w:t xml:space="preserve"> ATRS Worldwide Conference, July, 2014, Bordeaux, France.</w:t>
      </w:r>
    </w:p>
  </w:footnote>
  <w:footnote w:id="74">
    <w:p w:rsidR="00B56F61" w:rsidRDefault="00B56F61">
      <w:pPr>
        <w:pStyle w:val="FootnoteText"/>
      </w:pPr>
      <w:r>
        <w:rPr>
          <w:rStyle w:val="FootnoteReference"/>
        </w:rPr>
        <w:footnoteRef/>
      </w:r>
      <w:r>
        <w:t xml:space="preserve"> </w:t>
      </w:r>
      <w:r w:rsidRPr="00B56F61">
        <w:rPr>
          <w:rStyle w:val="Strong"/>
          <w:rFonts w:cs="Lucida Sans Unicode"/>
          <w:b w:val="0"/>
          <w:lang w:val="en"/>
        </w:rPr>
        <w:t xml:space="preserve">Recommendation from the Commission to the Council in order to </w:t>
      </w:r>
      <w:proofErr w:type="spellStart"/>
      <w:r w:rsidRPr="00B56F61">
        <w:rPr>
          <w:rStyle w:val="Strong"/>
          <w:rFonts w:cs="Lucida Sans Unicode"/>
          <w:b w:val="0"/>
          <w:lang w:val="en"/>
        </w:rPr>
        <w:t>authorise</w:t>
      </w:r>
      <w:proofErr w:type="spellEnd"/>
      <w:r w:rsidRPr="00B56F61">
        <w:rPr>
          <w:rStyle w:val="Strong"/>
          <w:rFonts w:cs="Lucida Sans Unicode"/>
          <w:b w:val="0"/>
          <w:lang w:val="en"/>
        </w:rPr>
        <w:t xml:space="preserve"> the Commission to open and conduct negotiations with the International Civil Aviation Organization (ICAO) on the conditions and arrangements for accession by the European Community, </w:t>
      </w:r>
      <w:r w:rsidRPr="00B56F61">
        <w:rPr>
          <w:rFonts w:cs="Lucida Sans Unicode"/>
          <w:lang w:val="en"/>
        </w:rPr>
        <w:t>SEC/2002/0381 final</w:t>
      </w:r>
      <w:r>
        <w:rPr>
          <w:rFonts w:cs="Lucida Sans Unicode"/>
          <w:lang w:val="en"/>
        </w:rPr>
        <w:t>, 09.04.2002.</w:t>
      </w:r>
    </w:p>
  </w:footnote>
  <w:footnote w:id="75">
    <w:p w:rsidR="008F6C69" w:rsidRDefault="008F6C69">
      <w:pPr>
        <w:pStyle w:val="FootnoteText"/>
      </w:pPr>
      <w:r>
        <w:rPr>
          <w:rStyle w:val="FootnoteReference"/>
        </w:rPr>
        <w:footnoteRef/>
      </w:r>
      <w:r>
        <w:t xml:space="preserve"> Article 92(a) reads: “This Convention shall be open for adherence by members of the United Nations and States associated with </w:t>
      </w:r>
      <w:proofErr w:type="gramStart"/>
      <w:r>
        <w:t>them,</w:t>
      </w:r>
      <w:proofErr w:type="gramEnd"/>
      <w:r>
        <w:t xml:space="preserve"> and States which remained neutral during the present world conflict”.</w:t>
      </w:r>
    </w:p>
  </w:footnote>
  <w:footnote w:id="76">
    <w:p w:rsidR="00524F55" w:rsidRDefault="00524F55">
      <w:pPr>
        <w:pStyle w:val="FootnoteText"/>
      </w:pPr>
      <w:r>
        <w:rPr>
          <w:rStyle w:val="FootnoteReference"/>
        </w:rPr>
        <w:footnoteRef/>
      </w:r>
      <w:r>
        <w:t xml:space="preserve"> </w:t>
      </w:r>
      <w:r>
        <w:rPr>
          <w:lang w:val="en"/>
        </w:rPr>
        <w:t>The European Union</w:t>
      </w:r>
      <w:r w:rsidR="00903B32">
        <w:rPr>
          <w:lang w:val="en"/>
        </w:rPr>
        <w:t xml:space="preserve"> is a full member of</w:t>
      </w:r>
      <w:r>
        <w:rPr>
          <w:lang w:val="en"/>
        </w:rPr>
        <w:t xml:space="preserve"> the Food and Agriculture </w:t>
      </w:r>
      <w:proofErr w:type="spellStart"/>
      <w:r>
        <w:rPr>
          <w:lang w:val="en"/>
        </w:rPr>
        <w:t>Organisation</w:t>
      </w:r>
      <w:proofErr w:type="spellEnd"/>
      <w:r w:rsidR="00903B32">
        <w:rPr>
          <w:lang w:val="en"/>
        </w:rPr>
        <w:t xml:space="preserve"> (FAO), the oldest of the UN’s </w:t>
      </w:r>
      <w:proofErr w:type="spellStart"/>
      <w:r w:rsidR="00903B32">
        <w:rPr>
          <w:lang w:val="en"/>
        </w:rPr>
        <w:t>specialised</w:t>
      </w:r>
      <w:proofErr w:type="spellEnd"/>
      <w:r w:rsidR="00903B32">
        <w:rPr>
          <w:lang w:val="en"/>
        </w:rPr>
        <w:t xml:space="preserve"> agencies, since 1991. For more information, visit: &lt;</w:t>
      </w:r>
      <w:r w:rsidR="00903B32" w:rsidRPr="00903B32">
        <w:t xml:space="preserve"> </w:t>
      </w:r>
      <w:hyperlink r:id="rId15" w:history="1">
        <w:r w:rsidR="00903B32" w:rsidRPr="002769D6">
          <w:rPr>
            <w:rStyle w:val="Hyperlink"/>
            <w:lang w:val="en"/>
          </w:rPr>
          <w:t>http://www.eeas.europa.eu/delegations/rome/eu_united_nations/work_with_fao/ec_status_fao/index_en.htm</w:t>
        </w:r>
      </w:hyperlink>
      <w:r w:rsidR="00903B32">
        <w:rPr>
          <w:lang w:val="en"/>
        </w:rPr>
        <w:t xml:space="preserve">&gt;.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42"/>
    <w:rsid w:val="00000038"/>
    <w:rsid w:val="000005FA"/>
    <w:rsid w:val="0000081C"/>
    <w:rsid w:val="00000BB3"/>
    <w:rsid w:val="00001CD5"/>
    <w:rsid w:val="00002745"/>
    <w:rsid w:val="000027E6"/>
    <w:rsid w:val="00002B7B"/>
    <w:rsid w:val="000033BE"/>
    <w:rsid w:val="00003CB3"/>
    <w:rsid w:val="000040A8"/>
    <w:rsid w:val="00004E21"/>
    <w:rsid w:val="0000623F"/>
    <w:rsid w:val="00006758"/>
    <w:rsid w:val="00006BAF"/>
    <w:rsid w:val="000073E3"/>
    <w:rsid w:val="00007DFC"/>
    <w:rsid w:val="00010EB3"/>
    <w:rsid w:val="0001129C"/>
    <w:rsid w:val="00011CC0"/>
    <w:rsid w:val="00012C46"/>
    <w:rsid w:val="000131B1"/>
    <w:rsid w:val="000146D2"/>
    <w:rsid w:val="00014931"/>
    <w:rsid w:val="00015379"/>
    <w:rsid w:val="0001656D"/>
    <w:rsid w:val="00017A61"/>
    <w:rsid w:val="00017EE0"/>
    <w:rsid w:val="00017F84"/>
    <w:rsid w:val="00020323"/>
    <w:rsid w:val="000207A0"/>
    <w:rsid w:val="00024CC6"/>
    <w:rsid w:val="00025016"/>
    <w:rsid w:val="000255E3"/>
    <w:rsid w:val="00026384"/>
    <w:rsid w:val="00026AD8"/>
    <w:rsid w:val="000304B8"/>
    <w:rsid w:val="0003284F"/>
    <w:rsid w:val="00034549"/>
    <w:rsid w:val="000358CF"/>
    <w:rsid w:val="0004035E"/>
    <w:rsid w:val="00040983"/>
    <w:rsid w:val="00040A89"/>
    <w:rsid w:val="00043D54"/>
    <w:rsid w:val="000447C2"/>
    <w:rsid w:val="0004490E"/>
    <w:rsid w:val="00047687"/>
    <w:rsid w:val="00047A30"/>
    <w:rsid w:val="00050DF3"/>
    <w:rsid w:val="00052048"/>
    <w:rsid w:val="00052124"/>
    <w:rsid w:val="00053332"/>
    <w:rsid w:val="00053784"/>
    <w:rsid w:val="00053875"/>
    <w:rsid w:val="00053D81"/>
    <w:rsid w:val="00054070"/>
    <w:rsid w:val="00055316"/>
    <w:rsid w:val="0005582F"/>
    <w:rsid w:val="000576A7"/>
    <w:rsid w:val="00061508"/>
    <w:rsid w:val="00061C51"/>
    <w:rsid w:val="00062501"/>
    <w:rsid w:val="00064A83"/>
    <w:rsid w:val="000657CC"/>
    <w:rsid w:val="00065ABC"/>
    <w:rsid w:val="000700C6"/>
    <w:rsid w:val="000704D4"/>
    <w:rsid w:val="0007301F"/>
    <w:rsid w:val="00073078"/>
    <w:rsid w:val="00073769"/>
    <w:rsid w:val="00075055"/>
    <w:rsid w:val="0007669F"/>
    <w:rsid w:val="000767C0"/>
    <w:rsid w:val="00076EE1"/>
    <w:rsid w:val="000823FE"/>
    <w:rsid w:val="00085DC2"/>
    <w:rsid w:val="00086E1B"/>
    <w:rsid w:val="000879F9"/>
    <w:rsid w:val="0009290B"/>
    <w:rsid w:val="00092BDA"/>
    <w:rsid w:val="000933E7"/>
    <w:rsid w:val="000954B3"/>
    <w:rsid w:val="00096484"/>
    <w:rsid w:val="000A0774"/>
    <w:rsid w:val="000A08D2"/>
    <w:rsid w:val="000A0917"/>
    <w:rsid w:val="000A0AD8"/>
    <w:rsid w:val="000A1EE3"/>
    <w:rsid w:val="000A22DE"/>
    <w:rsid w:val="000A276D"/>
    <w:rsid w:val="000A2BD0"/>
    <w:rsid w:val="000A2D2D"/>
    <w:rsid w:val="000A3435"/>
    <w:rsid w:val="000A4150"/>
    <w:rsid w:val="000A4335"/>
    <w:rsid w:val="000A49E5"/>
    <w:rsid w:val="000A4E80"/>
    <w:rsid w:val="000A507F"/>
    <w:rsid w:val="000A6069"/>
    <w:rsid w:val="000A64D2"/>
    <w:rsid w:val="000A77D7"/>
    <w:rsid w:val="000B4500"/>
    <w:rsid w:val="000B4FAA"/>
    <w:rsid w:val="000B5BF8"/>
    <w:rsid w:val="000B5C0F"/>
    <w:rsid w:val="000B69CD"/>
    <w:rsid w:val="000B6C08"/>
    <w:rsid w:val="000B6D14"/>
    <w:rsid w:val="000B6D3C"/>
    <w:rsid w:val="000B7C49"/>
    <w:rsid w:val="000C2097"/>
    <w:rsid w:val="000C21A3"/>
    <w:rsid w:val="000C4345"/>
    <w:rsid w:val="000C43F5"/>
    <w:rsid w:val="000C45F6"/>
    <w:rsid w:val="000C4C3B"/>
    <w:rsid w:val="000C4FB3"/>
    <w:rsid w:val="000C515A"/>
    <w:rsid w:val="000C51B3"/>
    <w:rsid w:val="000C6988"/>
    <w:rsid w:val="000C73C3"/>
    <w:rsid w:val="000C75BD"/>
    <w:rsid w:val="000C76F8"/>
    <w:rsid w:val="000D3002"/>
    <w:rsid w:val="000D5DB1"/>
    <w:rsid w:val="000D6872"/>
    <w:rsid w:val="000D6BBE"/>
    <w:rsid w:val="000D6D80"/>
    <w:rsid w:val="000D7084"/>
    <w:rsid w:val="000D75E6"/>
    <w:rsid w:val="000D7F80"/>
    <w:rsid w:val="000E0001"/>
    <w:rsid w:val="000E0283"/>
    <w:rsid w:val="000E354C"/>
    <w:rsid w:val="000E4970"/>
    <w:rsid w:val="000E4C6E"/>
    <w:rsid w:val="000E521B"/>
    <w:rsid w:val="000E6513"/>
    <w:rsid w:val="000E73C7"/>
    <w:rsid w:val="000E7C0E"/>
    <w:rsid w:val="000E7EC8"/>
    <w:rsid w:val="000F2419"/>
    <w:rsid w:val="000F27F6"/>
    <w:rsid w:val="000F3477"/>
    <w:rsid w:val="000F568A"/>
    <w:rsid w:val="000F6526"/>
    <w:rsid w:val="000F77A6"/>
    <w:rsid w:val="000F77C0"/>
    <w:rsid w:val="000F7A92"/>
    <w:rsid w:val="001006CD"/>
    <w:rsid w:val="00100A96"/>
    <w:rsid w:val="00103924"/>
    <w:rsid w:val="001054AC"/>
    <w:rsid w:val="001059CC"/>
    <w:rsid w:val="0010664E"/>
    <w:rsid w:val="00107301"/>
    <w:rsid w:val="00107D01"/>
    <w:rsid w:val="00110263"/>
    <w:rsid w:val="0011035B"/>
    <w:rsid w:val="00110EEC"/>
    <w:rsid w:val="0011114B"/>
    <w:rsid w:val="00111F17"/>
    <w:rsid w:val="00112F9D"/>
    <w:rsid w:val="00113A06"/>
    <w:rsid w:val="00113F13"/>
    <w:rsid w:val="00114600"/>
    <w:rsid w:val="0011468E"/>
    <w:rsid w:val="00114A8E"/>
    <w:rsid w:val="00114E2D"/>
    <w:rsid w:val="00122036"/>
    <w:rsid w:val="00122D8D"/>
    <w:rsid w:val="001233A3"/>
    <w:rsid w:val="0012392B"/>
    <w:rsid w:val="0012418C"/>
    <w:rsid w:val="0012441E"/>
    <w:rsid w:val="00124E43"/>
    <w:rsid w:val="00125185"/>
    <w:rsid w:val="00126404"/>
    <w:rsid w:val="00126FA1"/>
    <w:rsid w:val="001271C1"/>
    <w:rsid w:val="0013131E"/>
    <w:rsid w:val="001317C5"/>
    <w:rsid w:val="00134A6C"/>
    <w:rsid w:val="001365B5"/>
    <w:rsid w:val="00137EF2"/>
    <w:rsid w:val="00140BED"/>
    <w:rsid w:val="001426F0"/>
    <w:rsid w:val="00142BBC"/>
    <w:rsid w:val="00143986"/>
    <w:rsid w:val="00144A4C"/>
    <w:rsid w:val="00145217"/>
    <w:rsid w:val="001453C6"/>
    <w:rsid w:val="0014655C"/>
    <w:rsid w:val="001472E5"/>
    <w:rsid w:val="00147AE0"/>
    <w:rsid w:val="00152127"/>
    <w:rsid w:val="00154AA8"/>
    <w:rsid w:val="001560AA"/>
    <w:rsid w:val="00156DF2"/>
    <w:rsid w:val="001604D6"/>
    <w:rsid w:val="00162454"/>
    <w:rsid w:val="001641D1"/>
    <w:rsid w:val="00164BF5"/>
    <w:rsid w:val="00170234"/>
    <w:rsid w:val="00173598"/>
    <w:rsid w:val="00174BC7"/>
    <w:rsid w:val="001753AA"/>
    <w:rsid w:val="00175E72"/>
    <w:rsid w:val="00176EE4"/>
    <w:rsid w:val="0018055C"/>
    <w:rsid w:val="00180D14"/>
    <w:rsid w:val="0018263D"/>
    <w:rsid w:val="00183E6F"/>
    <w:rsid w:val="00184832"/>
    <w:rsid w:val="00185844"/>
    <w:rsid w:val="00185B57"/>
    <w:rsid w:val="00185EE3"/>
    <w:rsid w:val="00192A2F"/>
    <w:rsid w:val="001933C0"/>
    <w:rsid w:val="0019426C"/>
    <w:rsid w:val="001965C4"/>
    <w:rsid w:val="00196709"/>
    <w:rsid w:val="0019741A"/>
    <w:rsid w:val="001A0F9D"/>
    <w:rsid w:val="001A1F04"/>
    <w:rsid w:val="001A2255"/>
    <w:rsid w:val="001A22B9"/>
    <w:rsid w:val="001A2785"/>
    <w:rsid w:val="001A2BFE"/>
    <w:rsid w:val="001A43F1"/>
    <w:rsid w:val="001A6B23"/>
    <w:rsid w:val="001A7CE9"/>
    <w:rsid w:val="001A7D93"/>
    <w:rsid w:val="001B0993"/>
    <w:rsid w:val="001B0994"/>
    <w:rsid w:val="001B19C2"/>
    <w:rsid w:val="001B21B4"/>
    <w:rsid w:val="001B4F1D"/>
    <w:rsid w:val="001B5512"/>
    <w:rsid w:val="001B688A"/>
    <w:rsid w:val="001B6C72"/>
    <w:rsid w:val="001B6FBA"/>
    <w:rsid w:val="001B7168"/>
    <w:rsid w:val="001B7A69"/>
    <w:rsid w:val="001C0417"/>
    <w:rsid w:val="001C10A3"/>
    <w:rsid w:val="001C184B"/>
    <w:rsid w:val="001C24E4"/>
    <w:rsid w:val="001C41A3"/>
    <w:rsid w:val="001C48AC"/>
    <w:rsid w:val="001C541D"/>
    <w:rsid w:val="001C65CD"/>
    <w:rsid w:val="001C665E"/>
    <w:rsid w:val="001C7A3E"/>
    <w:rsid w:val="001D0642"/>
    <w:rsid w:val="001D0F0A"/>
    <w:rsid w:val="001D19D0"/>
    <w:rsid w:val="001D1EF1"/>
    <w:rsid w:val="001D4548"/>
    <w:rsid w:val="001D48F7"/>
    <w:rsid w:val="001D4B17"/>
    <w:rsid w:val="001D4EF2"/>
    <w:rsid w:val="001D602B"/>
    <w:rsid w:val="001D6BCA"/>
    <w:rsid w:val="001D7238"/>
    <w:rsid w:val="001D74CC"/>
    <w:rsid w:val="001E0065"/>
    <w:rsid w:val="001E05E7"/>
    <w:rsid w:val="001E09E3"/>
    <w:rsid w:val="001E2225"/>
    <w:rsid w:val="001E2ECE"/>
    <w:rsid w:val="001E2FA3"/>
    <w:rsid w:val="001E3454"/>
    <w:rsid w:val="001E4468"/>
    <w:rsid w:val="001E6A85"/>
    <w:rsid w:val="001F2321"/>
    <w:rsid w:val="001F2EB4"/>
    <w:rsid w:val="001F30E1"/>
    <w:rsid w:val="001F3ABA"/>
    <w:rsid w:val="001F5599"/>
    <w:rsid w:val="001F6A6B"/>
    <w:rsid w:val="001F6EFD"/>
    <w:rsid w:val="001F6F9E"/>
    <w:rsid w:val="001F7051"/>
    <w:rsid w:val="001F7A72"/>
    <w:rsid w:val="00201A2A"/>
    <w:rsid w:val="00202639"/>
    <w:rsid w:val="00202D84"/>
    <w:rsid w:val="00202E22"/>
    <w:rsid w:val="00202ED0"/>
    <w:rsid w:val="002036BF"/>
    <w:rsid w:val="002037E4"/>
    <w:rsid w:val="002043D1"/>
    <w:rsid w:val="0020466D"/>
    <w:rsid w:val="002048F3"/>
    <w:rsid w:val="00204AFE"/>
    <w:rsid w:val="00205E59"/>
    <w:rsid w:val="00206497"/>
    <w:rsid w:val="00206533"/>
    <w:rsid w:val="002068FC"/>
    <w:rsid w:val="00210BFB"/>
    <w:rsid w:val="0021150C"/>
    <w:rsid w:val="002134C6"/>
    <w:rsid w:val="00213F18"/>
    <w:rsid w:val="00214F9F"/>
    <w:rsid w:val="0021572D"/>
    <w:rsid w:val="00215D44"/>
    <w:rsid w:val="002169FD"/>
    <w:rsid w:val="00216B69"/>
    <w:rsid w:val="0021709D"/>
    <w:rsid w:val="0021744A"/>
    <w:rsid w:val="002179F3"/>
    <w:rsid w:val="00221A36"/>
    <w:rsid w:val="002225A1"/>
    <w:rsid w:val="00222EAA"/>
    <w:rsid w:val="0022386E"/>
    <w:rsid w:val="0022424A"/>
    <w:rsid w:val="002248E6"/>
    <w:rsid w:val="00224AD4"/>
    <w:rsid w:val="00224D38"/>
    <w:rsid w:val="00230735"/>
    <w:rsid w:val="0023128C"/>
    <w:rsid w:val="002313EB"/>
    <w:rsid w:val="00231B64"/>
    <w:rsid w:val="00231BF1"/>
    <w:rsid w:val="00231F92"/>
    <w:rsid w:val="00232081"/>
    <w:rsid w:val="002329A1"/>
    <w:rsid w:val="0023309F"/>
    <w:rsid w:val="00234746"/>
    <w:rsid w:val="00234E5A"/>
    <w:rsid w:val="0023661F"/>
    <w:rsid w:val="00236A77"/>
    <w:rsid w:val="002372B8"/>
    <w:rsid w:val="00237A14"/>
    <w:rsid w:val="002401B8"/>
    <w:rsid w:val="00241D41"/>
    <w:rsid w:val="002424BE"/>
    <w:rsid w:val="002441AC"/>
    <w:rsid w:val="00244E3B"/>
    <w:rsid w:val="00245531"/>
    <w:rsid w:val="0024553A"/>
    <w:rsid w:val="002455E9"/>
    <w:rsid w:val="00245637"/>
    <w:rsid w:val="002467BA"/>
    <w:rsid w:val="0025000B"/>
    <w:rsid w:val="00251052"/>
    <w:rsid w:val="00251710"/>
    <w:rsid w:val="0025270D"/>
    <w:rsid w:val="002528CC"/>
    <w:rsid w:val="00252B0D"/>
    <w:rsid w:val="00254545"/>
    <w:rsid w:val="00255787"/>
    <w:rsid w:val="00260109"/>
    <w:rsid w:val="0026209F"/>
    <w:rsid w:val="002624CC"/>
    <w:rsid w:val="00262C0D"/>
    <w:rsid w:val="0026422D"/>
    <w:rsid w:val="00264307"/>
    <w:rsid w:val="00265163"/>
    <w:rsid w:val="0026596B"/>
    <w:rsid w:val="00265BB9"/>
    <w:rsid w:val="002668FA"/>
    <w:rsid w:val="002705F0"/>
    <w:rsid w:val="00270663"/>
    <w:rsid w:val="0027156E"/>
    <w:rsid w:val="002720BE"/>
    <w:rsid w:val="00272B78"/>
    <w:rsid w:val="002734F6"/>
    <w:rsid w:val="002742EE"/>
    <w:rsid w:val="00274621"/>
    <w:rsid w:val="0027502D"/>
    <w:rsid w:val="0027511F"/>
    <w:rsid w:val="0027696E"/>
    <w:rsid w:val="002772FE"/>
    <w:rsid w:val="002779FF"/>
    <w:rsid w:val="00281329"/>
    <w:rsid w:val="0028239C"/>
    <w:rsid w:val="00282736"/>
    <w:rsid w:val="002829E1"/>
    <w:rsid w:val="0028320D"/>
    <w:rsid w:val="002833CB"/>
    <w:rsid w:val="002835E9"/>
    <w:rsid w:val="0028380D"/>
    <w:rsid w:val="00285615"/>
    <w:rsid w:val="00285719"/>
    <w:rsid w:val="0028613C"/>
    <w:rsid w:val="002861DD"/>
    <w:rsid w:val="00286AF1"/>
    <w:rsid w:val="00287712"/>
    <w:rsid w:val="00287A0F"/>
    <w:rsid w:val="00287AC5"/>
    <w:rsid w:val="002900F0"/>
    <w:rsid w:val="002918BC"/>
    <w:rsid w:val="002926F4"/>
    <w:rsid w:val="00292DEC"/>
    <w:rsid w:val="00293509"/>
    <w:rsid w:val="00293AF2"/>
    <w:rsid w:val="00293E5A"/>
    <w:rsid w:val="00294D9A"/>
    <w:rsid w:val="00295758"/>
    <w:rsid w:val="00295FB3"/>
    <w:rsid w:val="0029618E"/>
    <w:rsid w:val="00296C7F"/>
    <w:rsid w:val="0029730B"/>
    <w:rsid w:val="002977EE"/>
    <w:rsid w:val="002A0A0A"/>
    <w:rsid w:val="002A2DF9"/>
    <w:rsid w:val="002A4A3E"/>
    <w:rsid w:val="002A6A9B"/>
    <w:rsid w:val="002A6F16"/>
    <w:rsid w:val="002A70D2"/>
    <w:rsid w:val="002A7178"/>
    <w:rsid w:val="002B00E5"/>
    <w:rsid w:val="002B2509"/>
    <w:rsid w:val="002B2667"/>
    <w:rsid w:val="002B3522"/>
    <w:rsid w:val="002B3926"/>
    <w:rsid w:val="002B46BE"/>
    <w:rsid w:val="002B75F9"/>
    <w:rsid w:val="002B7B7D"/>
    <w:rsid w:val="002C0232"/>
    <w:rsid w:val="002C16A3"/>
    <w:rsid w:val="002C1BE3"/>
    <w:rsid w:val="002C255E"/>
    <w:rsid w:val="002C2DA5"/>
    <w:rsid w:val="002C2EE6"/>
    <w:rsid w:val="002C675B"/>
    <w:rsid w:val="002C6E0D"/>
    <w:rsid w:val="002C7278"/>
    <w:rsid w:val="002C785F"/>
    <w:rsid w:val="002C79FA"/>
    <w:rsid w:val="002D0271"/>
    <w:rsid w:val="002D12DA"/>
    <w:rsid w:val="002D34FF"/>
    <w:rsid w:val="002D3A32"/>
    <w:rsid w:val="002D49AF"/>
    <w:rsid w:val="002D5A37"/>
    <w:rsid w:val="002E0373"/>
    <w:rsid w:val="002E1E9A"/>
    <w:rsid w:val="002E1F89"/>
    <w:rsid w:val="002E20FE"/>
    <w:rsid w:val="002E30E8"/>
    <w:rsid w:val="002E343D"/>
    <w:rsid w:val="002E3667"/>
    <w:rsid w:val="002E4EA1"/>
    <w:rsid w:val="002E50DC"/>
    <w:rsid w:val="002E674E"/>
    <w:rsid w:val="002E764C"/>
    <w:rsid w:val="002E7911"/>
    <w:rsid w:val="002E7B38"/>
    <w:rsid w:val="002F152A"/>
    <w:rsid w:val="002F2D93"/>
    <w:rsid w:val="002F34D2"/>
    <w:rsid w:val="002F40F8"/>
    <w:rsid w:val="002F4EB1"/>
    <w:rsid w:val="002F529A"/>
    <w:rsid w:val="002F5798"/>
    <w:rsid w:val="002F6123"/>
    <w:rsid w:val="00301B39"/>
    <w:rsid w:val="003023C8"/>
    <w:rsid w:val="00302E2B"/>
    <w:rsid w:val="00303AC9"/>
    <w:rsid w:val="00303D78"/>
    <w:rsid w:val="00304244"/>
    <w:rsid w:val="00304A01"/>
    <w:rsid w:val="00305B94"/>
    <w:rsid w:val="003063B6"/>
    <w:rsid w:val="003074D1"/>
    <w:rsid w:val="00307FCA"/>
    <w:rsid w:val="00310592"/>
    <w:rsid w:val="0031074C"/>
    <w:rsid w:val="003112BF"/>
    <w:rsid w:val="003125E2"/>
    <w:rsid w:val="00312B4C"/>
    <w:rsid w:val="00314637"/>
    <w:rsid w:val="00315D0F"/>
    <w:rsid w:val="00316A54"/>
    <w:rsid w:val="00316E7C"/>
    <w:rsid w:val="00317CA2"/>
    <w:rsid w:val="0032099F"/>
    <w:rsid w:val="00320CCC"/>
    <w:rsid w:val="00321341"/>
    <w:rsid w:val="00321998"/>
    <w:rsid w:val="00322EC4"/>
    <w:rsid w:val="00323B13"/>
    <w:rsid w:val="003252F4"/>
    <w:rsid w:val="00325AF6"/>
    <w:rsid w:val="003263FF"/>
    <w:rsid w:val="0032754C"/>
    <w:rsid w:val="00327724"/>
    <w:rsid w:val="00332497"/>
    <w:rsid w:val="0033294E"/>
    <w:rsid w:val="00332C3B"/>
    <w:rsid w:val="00333544"/>
    <w:rsid w:val="0033401E"/>
    <w:rsid w:val="00334813"/>
    <w:rsid w:val="00335033"/>
    <w:rsid w:val="003351DA"/>
    <w:rsid w:val="0033523F"/>
    <w:rsid w:val="00335B19"/>
    <w:rsid w:val="00335C83"/>
    <w:rsid w:val="00337D54"/>
    <w:rsid w:val="003403C4"/>
    <w:rsid w:val="00341D5C"/>
    <w:rsid w:val="00344A07"/>
    <w:rsid w:val="003452E2"/>
    <w:rsid w:val="00345EE8"/>
    <w:rsid w:val="00346047"/>
    <w:rsid w:val="00346276"/>
    <w:rsid w:val="00346BE3"/>
    <w:rsid w:val="0034733C"/>
    <w:rsid w:val="0034757C"/>
    <w:rsid w:val="003476EB"/>
    <w:rsid w:val="0035099F"/>
    <w:rsid w:val="00350BE1"/>
    <w:rsid w:val="003514D5"/>
    <w:rsid w:val="00352575"/>
    <w:rsid w:val="003538C9"/>
    <w:rsid w:val="00355128"/>
    <w:rsid w:val="003556F8"/>
    <w:rsid w:val="00360F2E"/>
    <w:rsid w:val="00361397"/>
    <w:rsid w:val="003615E2"/>
    <w:rsid w:val="003628F1"/>
    <w:rsid w:val="00362987"/>
    <w:rsid w:val="00362A5E"/>
    <w:rsid w:val="00362EEE"/>
    <w:rsid w:val="00362F8E"/>
    <w:rsid w:val="00364631"/>
    <w:rsid w:val="00364D3A"/>
    <w:rsid w:val="00365145"/>
    <w:rsid w:val="003652EE"/>
    <w:rsid w:val="003655A9"/>
    <w:rsid w:val="00365BF3"/>
    <w:rsid w:val="003705B1"/>
    <w:rsid w:val="00370CC3"/>
    <w:rsid w:val="003713F4"/>
    <w:rsid w:val="0037183A"/>
    <w:rsid w:val="00371F2D"/>
    <w:rsid w:val="003728C1"/>
    <w:rsid w:val="003742E8"/>
    <w:rsid w:val="00374C12"/>
    <w:rsid w:val="0037549A"/>
    <w:rsid w:val="003759E5"/>
    <w:rsid w:val="0037605A"/>
    <w:rsid w:val="003764C5"/>
    <w:rsid w:val="00376B24"/>
    <w:rsid w:val="0037710B"/>
    <w:rsid w:val="003806EB"/>
    <w:rsid w:val="0038072E"/>
    <w:rsid w:val="0038088B"/>
    <w:rsid w:val="0038308A"/>
    <w:rsid w:val="00383287"/>
    <w:rsid w:val="00384180"/>
    <w:rsid w:val="00384596"/>
    <w:rsid w:val="003849B8"/>
    <w:rsid w:val="0038748D"/>
    <w:rsid w:val="00390C4D"/>
    <w:rsid w:val="00390E03"/>
    <w:rsid w:val="00390EFF"/>
    <w:rsid w:val="003914E2"/>
    <w:rsid w:val="00392393"/>
    <w:rsid w:val="00392608"/>
    <w:rsid w:val="00393ECB"/>
    <w:rsid w:val="00393ED0"/>
    <w:rsid w:val="00397068"/>
    <w:rsid w:val="00397D26"/>
    <w:rsid w:val="003A0342"/>
    <w:rsid w:val="003A0401"/>
    <w:rsid w:val="003A2A3F"/>
    <w:rsid w:val="003A2C30"/>
    <w:rsid w:val="003A393F"/>
    <w:rsid w:val="003A3EFB"/>
    <w:rsid w:val="003A43F8"/>
    <w:rsid w:val="003A4476"/>
    <w:rsid w:val="003A4C47"/>
    <w:rsid w:val="003A4ECC"/>
    <w:rsid w:val="003A5221"/>
    <w:rsid w:val="003A5A54"/>
    <w:rsid w:val="003A7E51"/>
    <w:rsid w:val="003B051A"/>
    <w:rsid w:val="003B0699"/>
    <w:rsid w:val="003B1D45"/>
    <w:rsid w:val="003B289A"/>
    <w:rsid w:val="003B2EE3"/>
    <w:rsid w:val="003B30BB"/>
    <w:rsid w:val="003B4CB1"/>
    <w:rsid w:val="003B5FC2"/>
    <w:rsid w:val="003C033B"/>
    <w:rsid w:val="003C0C40"/>
    <w:rsid w:val="003C123F"/>
    <w:rsid w:val="003C4111"/>
    <w:rsid w:val="003C5708"/>
    <w:rsid w:val="003C6549"/>
    <w:rsid w:val="003C66CB"/>
    <w:rsid w:val="003C683A"/>
    <w:rsid w:val="003C6F29"/>
    <w:rsid w:val="003C7758"/>
    <w:rsid w:val="003C7CD2"/>
    <w:rsid w:val="003D144D"/>
    <w:rsid w:val="003D2CC0"/>
    <w:rsid w:val="003D3C52"/>
    <w:rsid w:val="003D41C2"/>
    <w:rsid w:val="003D4C29"/>
    <w:rsid w:val="003D5818"/>
    <w:rsid w:val="003D5E62"/>
    <w:rsid w:val="003D70CC"/>
    <w:rsid w:val="003E0F8D"/>
    <w:rsid w:val="003E10DC"/>
    <w:rsid w:val="003E27F6"/>
    <w:rsid w:val="003E6302"/>
    <w:rsid w:val="003E6A15"/>
    <w:rsid w:val="003E6E76"/>
    <w:rsid w:val="003E7411"/>
    <w:rsid w:val="003F0181"/>
    <w:rsid w:val="003F078D"/>
    <w:rsid w:val="003F0B56"/>
    <w:rsid w:val="003F2D29"/>
    <w:rsid w:val="003F6DBA"/>
    <w:rsid w:val="003F7512"/>
    <w:rsid w:val="00400B50"/>
    <w:rsid w:val="00400C88"/>
    <w:rsid w:val="00403D94"/>
    <w:rsid w:val="00406454"/>
    <w:rsid w:val="00406CB4"/>
    <w:rsid w:val="00410475"/>
    <w:rsid w:val="00411411"/>
    <w:rsid w:val="0041436B"/>
    <w:rsid w:val="00414C4A"/>
    <w:rsid w:val="004164DE"/>
    <w:rsid w:val="0041673F"/>
    <w:rsid w:val="004167C2"/>
    <w:rsid w:val="0041699A"/>
    <w:rsid w:val="0041726A"/>
    <w:rsid w:val="00417E0B"/>
    <w:rsid w:val="00420133"/>
    <w:rsid w:val="00420E85"/>
    <w:rsid w:val="0042588C"/>
    <w:rsid w:val="00426221"/>
    <w:rsid w:val="00426606"/>
    <w:rsid w:val="00426A28"/>
    <w:rsid w:val="00426C27"/>
    <w:rsid w:val="004307B9"/>
    <w:rsid w:val="00430A6E"/>
    <w:rsid w:val="00431B51"/>
    <w:rsid w:val="00431CC6"/>
    <w:rsid w:val="004320FE"/>
    <w:rsid w:val="00432584"/>
    <w:rsid w:val="004360C6"/>
    <w:rsid w:val="00437CB3"/>
    <w:rsid w:val="00437D00"/>
    <w:rsid w:val="0044053D"/>
    <w:rsid w:val="00447761"/>
    <w:rsid w:val="00450942"/>
    <w:rsid w:val="00450E26"/>
    <w:rsid w:val="00451349"/>
    <w:rsid w:val="0045164E"/>
    <w:rsid w:val="00453908"/>
    <w:rsid w:val="00455839"/>
    <w:rsid w:val="0046028F"/>
    <w:rsid w:val="00460D59"/>
    <w:rsid w:val="00463F0A"/>
    <w:rsid w:val="00464073"/>
    <w:rsid w:val="00464F28"/>
    <w:rsid w:val="0046512C"/>
    <w:rsid w:val="00465222"/>
    <w:rsid w:val="00467248"/>
    <w:rsid w:val="004675AF"/>
    <w:rsid w:val="00470998"/>
    <w:rsid w:val="0047260D"/>
    <w:rsid w:val="004744CE"/>
    <w:rsid w:val="004755F5"/>
    <w:rsid w:val="004770BF"/>
    <w:rsid w:val="004831A0"/>
    <w:rsid w:val="004838B7"/>
    <w:rsid w:val="00484465"/>
    <w:rsid w:val="0048477A"/>
    <w:rsid w:val="004851CD"/>
    <w:rsid w:val="004857AA"/>
    <w:rsid w:val="0049020B"/>
    <w:rsid w:val="0049090D"/>
    <w:rsid w:val="00491077"/>
    <w:rsid w:val="00491587"/>
    <w:rsid w:val="0049369E"/>
    <w:rsid w:val="004951E7"/>
    <w:rsid w:val="00496655"/>
    <w:rsid w:val="00496DCE"/>
    <w:rsid w:val="004A0C8F"/>
    <w:rsid w:val="004A1221"/>
    <w:rsid w:val="004A471A"/>
    <w:rsid w:val="004A59AD"/>
    <w:rsid w:val="004A6B08"/>
    <w:rsid w:val="004A6F62"/>
    <w:rsid w:val="004B017F"/>
    <w:rsid w:val="004B0410"/>
    <w:rsid w:val="004B0B59"/>
    <w:rsid w:val="004B172D"/>
    <w:rsid w:val="004B1C66"/>
    <w:rsid w:val="004B2480"/>
    <w:rsid w:val="004B4BBB"/>
    <w:rsid w:val="004B674E"/>
    <w:rsid w:val="004B7FDE"/>
    <w:rsid w:val="004C08CE"/>
    <w:rsid w:val="004C0D35"/>
    <w:rsid w:val="004C15CB"/>
    <w:rsid w:val="004C29E7"/>
    <w:rsid w:val="004C51F7"/>
    <w:rsid w:val="004C6048"/>
    <w:rsid w:val="004C62C0"/>
    <w:rsid w:val="004C6D5E"/>
    <w:rsid w:val="004C79F5"/>
    <w:rsid w:val="004D086C"/>
    <w:rsid w:val="004D2F70"/>
    <w:rsid w:val="004D5EDA"/>
    <w:rsid w:val="004D7892"/>
    <w:rsid w:val="004D78CB"/>
    <w:rsid w:val="004E0072"/>
    <w:rsid w:val="004E08F8"/>
    <w:rsid w:val="004E0A7E"/>
    <w:rsid w:val="004E0D84"/>
    <w:rsid w:val="004E0FD9"/>
    <w:rsid w:val="004E2094"/>
    <w:rsid w:val="004E2627"/>
    <w:rsid w:val="004E3458"/>
    <w:rsid w:val="004E545D"/>
    <w:rsid w:val="004F028D"/>
    <w:rsid w:val="004F1F99"/>
    <w:rsid w:val="004F28E6"/>
    <w:rsid w:val="004F346B"/>
    <w:rsid w:val="004F3DFA"/>
    <w:rsid w:val="004F40F3"/>
    <w:rsid w:val="004F5C05"/>
    <w:rsid w:val="004F5CF7"/>
    <w:rsid w:val="004F7663"/>
    <w:rsid w:val="005028DD"/>
    <w:rsid w:val="00503E27"/>
    <w:rsid w:val="005049E7"/>
    <w:rsid w:val="005053B4"/>
    <w:rsid w:val="005108F3"/>
    <w:rsid w:val="00511042"/>
    <w:rsid w:val="005118BC"/>
    <w:rsid w:val="005133D8"/>
    <w:rsid w:val="005137BE"/>
    <w:rsid w:val="00515922"/>
    <w:rsid w:val="00516856"/>
    <w:rsid w:val="005205D3"/>
    <w:rsid w:val="00520F1C"/>
    <w:rsid w:val="00523279"/>
    <w:rsid w:val="005233BF"/>
    <w:rsid w:val="00523F65"/>
    <w:rsid w:val="00524F55"/>
    <w:rsid w:val="005250E5"/>
    <w:rsid w:val="00526F01"/>
    <w:rsid w:val="00527083"/>
    <w:rsid w:val="005277D3"/>
    <w:rsid w:val="005307F0"/>
    <w:rsid w:val="00531609"/>
    <w:rsid w:val="00532AE1"/>
    <w:rsid w:val="00534424"/>
    <w:rsid w:val="00535822"/>
    <w:rsid w:val="00535B71"/>
    <w:rsid w:val="0053777E"/>
    <w:rsid w:val="00540934"/>
    <w:rsid w:val="005417BE"/>
    <w:rsid w:val="00541BB1"/>
    <w:rsid w:val="00542C02"/>
    <w:rsid w:val="005432A4"/>
    <w:rsid w:val="00543A30"/>
    <w:rsid w:val="0054496E"/>
    <w:rsid w:val="00546C01"/>
    <w:rsid w:val="00546FAC"/>
    <w:rsid w:val="00547528"/>
    <w:rsid w:val="005479B9"/>
    <w:rsid w:val="005508F7"/>
    <w:rsid w:val="00551F91"/>
    <w:rsid w:val="005528DA"/>
    <w:rsid w:val="00555BF6"/>
    <w:rsid w:val="0055622F"/>
    <w:rsid w:val="00556242"/>
    <w:rsid w:val="00556FD1"/>
    <w:rsid w:val="00557083"/>
    <w:rsid w:val="005575AC"/>
    <w:rsid w:val="00557AD2"/>
    <w:rsid w:val="00562744"/>
    <w:rsid w:val="00562B84"/>
    <w:rsid w:val="00563018"/>
    <w:rsid w:val="00564CF0"/>
    <w:rsid w:val="00565AB3"/>
    <w:rsid w:val="0056639C"/>
    <w:rsid w:val="005663E2"/>
    <w:rsid w:val="00566BB4"/>
    <w:rsid w:val="00566C94"/>
    <w:rsid w:val="00566CF1"/>
    <w:rsid w:val="00567E98"/>
    <w:rsid w:val="00570A89"/>
    <w:rsid w:val="005724F8"/>
    <w:rsid w:val="00572DC7"/>
    <w:rsid w:val="005736E5"/>
    <w:rsid w:val="00573F33"/>
    <w:rsid w:val="00574876"/>
    <w:rsid w:val="005758BD"/>
    <w:rsid w:val="00575D9C"/>
    <w:rsid w:val="0057661B"/>
    <w:rsid w:val="005779E4"/>
    <w:rsid w:val="00577BD6"/>
    <w:rsid w:val="00577E5F"/>
    <w:rsid w:val="005804EA"/>
    <w:rsid w:val="00580B0C"/>
    <w:rsid w:val="00581364"/>
    <w:rsid w:val="0058139F"/>
    <w:rsid w:val="00581CC9"/>
    <w:rsid w:val="00582CB9"/>
    <w:rsid w:val="00582D11"/>
    <w:rsid w:val="0058438B"/>
    <w:rsid w:val="005846AA"/>
    <w:rsid w:val="005848E1"/>
    <w:rsid w:val="00584B63"/>
    <w:rsid w:val="00585353"/>
    <w:rsid w:val="00585615"/>
    <w:rsid w:val="0058567A"/>
    <w:rsid w:val="00585A0E"/>
    <w:rsid w:val="00585C8A"/>
    <w:rsid w:val="00586B09"/>
    <w:rsid w:val="005878C4"/>
    <w:rsid w:val="0059135D"/>
    <w:rsid w:val="00591401"/>
    <w:rsid w:val="0059226D"/>
    <w:rsid w:val="0059280A"/>
    <w:rsid w:val="00592D23"/>
    <w:rsid w:val="00592DB7"/>
    <w:rsid w:val="00593A52"/>
    <w:rsid w:val="0059409D"/>
    <w:rsid w:val="00594B9D"/>
    <w:rsid w:val="00594CB2"/>
    <w:rsid w:val="00594CD0"/>
    <w:rsid w:val="00595268"/>
    <w:rsid w:val="00595C94"/>
    <w:rsid w:val="00595ED8"/>
    <w:rsid w:val="005A09C0"/>
    <w:rsid w:val="005A13C7"/>
    <w:rsid w:val="005A3AEB"/>
    <w:rsid w:val="005A3B12"/>
    <w:rsid w:val="005A3D56"/>
    <w:rsid w:val="005A445A"/>
    <w:rsid w:val="005A7500"/>
    <w:rsid w:val="005B0824"/>
    <w:rsid w:val="005B0DAA"/>
    <w:rsid w:val="005B2558"/>
    <w:rsid w:val="005B25B5"/>
    <w:rsid w:val="005B3FEB"/>
    <w:rsid w:val="005B4021"/>
    <w:rsid w:val="005C0FC1"/>
    <w:rsid w:val="005C1279"/>
    <w:rsid w:val="005C1BA8"/>
    <w:rsid w:val="005C36C9"/>
    <w:rsid w:val="005C3D97"/>
    <w:rsid w:val="005C42A0"/>
    <w:rsid w:val="005C63BE"/>
    <w:rsid w:val="005C6490"/>
    <w:rsid w:val="005C69C2"/>
    <w:rsid w:val="005C6F2D"/>
    <w:rsid w:val="005D0A61"/>
    <w:rsid w:val="005D123E"/>
    <w:rsid w:val="005D13A3"/>
    <w:rsid w:val="005D2B52"/>
    <w:rsid w:val="005D39CD"/>
    <w:rsid w:val="005D42EC"/>
    <w:rsid w:val="005D4967"/>
    <w:rsid w:val="005D61A4"/>
    <w:rsid w:val="005D6E87"/>
    <w:rsid w:val="005D7087"/>
    <w:rsid w:val="005E04E1"/>
    <w:rsid w:val="005E0CE4"/>
    <w:rsid w:val="005E0F12"/>
    <w:rsid w:val="005E1896"/>
    <w:rsid w:val="005E2483"/>
    <w:rsid w:val="005E2776"/>
    <w:rsid w:val="005E2E56"/>
    <w:rsid w:val="005E4343"/>
    <w:rsid w:val="005E445D"/>
    <w:rsid w:val="005E484E"/>
    <w:rsid w:val="005E64F7"/>
    <w:rsid w:val="005E794B"/>
    <w:rsid w:val="005E7B78"/>
    <w:rsid w:val="005F1820"/>
    <w:rsid w:val="005F25A6"/>
    <w:rsid w:val="005F29C3"/>
    <w:rsid w:val="005F2EDB"/>
    <w:rsid w:val="005F37B0"/>
    <w:rsid w:val="005F478F"/>
    <w:rsid w:val="005F4AA6"/>
    <w:rsid w:val="005F4C7E"/>
    <w:rsid w:val="005F61C3"/>
    <w:rsid w:val="005F665A"/>
    <w:rsid w:val="005F7F28"/>
    <w:rsid w:val="00601102"/>
    <w:rsid w:val="006016F7"/>
    <w:rsid w:val="00601D63"/>
    <w:rsid w:val="00602326"/>
    <w:rsid w:val="00602DD2"/>
    <w:rsid w:val="00602EB8"/>
    <w:rsid w:val="0060351C"/>
    <w:rsid w:val="00604442"/>
    <w:rsid w:val="00605071"/>
    <w:rsid w:val="00607015"/>
    <w:rsid w:val="00607A00"/>
    <w:rsid w:val="00607A8D"/>
    <w:rsid w:val="00607DC0"/>
    <w:rsid w:val="00610B93"/>
    <w:rsid w:val="006113D2"/>
    <w:rsid w:val="0061295E"/>
    <w:rsid w:val="00612F47"/>
    <w:rsid w:val="00613FFF"/>
    <w:rsid w:val="0061578D"/>
    <w:rsid w:val="00616568"/>
    <w:rsid w:val="0061774D"/>
    <w:rsid w:val="00621578"/>
    <w:rsid w:val="00621C39"/>
    <w:rsid w:val="006220EF"/>
    <w:rsid w:val="006222AC"/>
    <w:rsid w:val="00623FA6"/>
    <w:rsid w:val="0062488C"/>
    <w:rsid w:val="0062570A"/>
    <w:rsid w:val="00625FE0"/>
    <w:rsid w:val="006302E8"/>
    <w:rsid w:val="00632911"/>
    <w:rsid w:val="00632D58"/>
    <w:rsid w:val="00633BC7"/>
    <w:rsid w:val="00633D90"/>
    <w:rsid w:val="0063426E"/>
    <w:rsid w:val="006354ED"/>
    <w:rsid w:val="00636419"/>
    <w:rsid w:val="00637408"/>
    <w:rsid w:val="0064207F"/>
    <w:rsid w:val="00642546"/>
    <w:rsid w:val="00642AAA"/>
    <w:rsid w:val="00642CFE"/>
    <w:rsid w:val="00643327"/>
    <w:rsid w:val="006459FE"/>
    <w:rsid w:val="00645E59"/>
    <w:rsid w:val="00645FD6"/>
    <w:rsid w:val="006462A7"/>
    <w:rsid w:val="00647551"/>
    <w:rsid w:val="00647A9C"/>
    <w:rsid w:val="00651FEB"/>
    <w:rsid w:val="00652499"/>
    <w:rsid w:val="00652B4A"/>
    <w:rsid w:val="006535D7"/>
    <w:rsid w:val="00653BCA"/>
    <w:rsid w:val="006553E3"/>
    <w:rsid w:val="00660736"/>
    <w:rsid w:val="00662629"/>
    <w:rsid w:val="00662F9E"/>
    <w:rsid w:val="006630C6"/>
    <w:rsid w:val="006634EC"/>
    <w:rsid w:val="0066666A"/>
    <w:rsid w:val="00670605"/>
    <w:rsid w:val="00670C14"/>
    <w:rsid w:val="00670F99"/>
    <w:rsid w:val="0067464A"/>
    <w:rsid w:val="00674698"/>
    <w:rsid w:val="00674A04"/>
    <w:rsid w:val="00674F87"/>
    <w:rsid w:val="00675032"/>
    <w:rsid w:val="006768FB"/>
    <w:rsid w:val="00677940"/>
    <w:rsid w:val="006801AF"/>
    <w:rsid w:val="006827DD"/>
    <w:rsid w:val="006830F0"/>
    <w:rsid w:val="00683763"/>
    <w:rsid w:val="00683A19"/>
    <w:rsid w:val="00684350"/>
    <w:rsid w:val="006846DE"/>
    <w:rsid w:val="0068520C"/>
    <w:rsid w:val="00685385"/>
    <w:rsid w:val="00685EBA"/>
    <w:rsid w:val="006866C8"/>
    <w:rsid w:val="006878C7"/>
    <w:rsid w:val="0068790F"/>
    <w:rsid w:val="00687E19"/>
    <w:rsid w:val="00690B10"/>
    <w:rsid w:val="00690E8F"/>
    <w:rsid w:val="00690F0B"/>
    <w:rsid w:val="00691101"/>
    <w:rsid w:val="0069197C"/>
    <w:rsid w:val="00691A77"/>
    <w:rsid w:val="00693016"/>
    <w:rsid w:val="0069372B"/>
    <w:rsid w:val="00693736"/>
    <w:rsid w:val="00695487"/>
    <w:rsid w:val="00695496"/>
    <w:rsid w:val="00696303"/>
    <w:rsid w:val="00697A60"/>
    <w:rsid w:val="006A0C98"/>
    <w:rsid w:val="006A1248"/>
    <w:rsid w:val="006A2653"/>
    <w:rsid w:val="006A3469"/>
    <w:rsid w:val="006A378C"/>
    <w:rsid w:val="006A3D78"/>
    <w:rsid w:val="006A4451"/>
    <w:rsid w:val="006A44FF"/>
    <w:rsid w:val="006A5890"/>
    <w:rsid w:val="006A644F"/>
    <w:rsid w:val="006B0D83"/>
    <w:rsid w:val="006B1EB2"/>
    <w:rsid w:val="006B2864"/>
    <w:rsid w:val="006B2EA7"/>
    <w:rsid w:val="006B2FDF"/>
    <w:rsid w:val="006B36CA"/>
    <w:rsid w:val="006B36D8"/>
    <w:rsid w:val="006B3882"/>
    <w:rsid w:val="006B4A6F"/>
    <w:rsid w:val="006B5A30"/>
    <w:rsid w:val="006B6DA1"/>
    <w:rsid w:val="006B6DEE"/>
    <w:rsid w:val="006B730A"/>
    <w:rsid w:val="006B7789"/>
    <w:rsid w:val="006B7E2D"/>
    <w:rsid w:val="006C0262"/>
    <w:rsid w:val="006C15A5"/>
    <w:rsid w:val="006C1951"/>
    <w:rsid w:val="006C1A2D"/>
    <w:rsid w:val="006C24B6"/>
    <w:rsid w:val="006C3FE7"/>
    <w:rsid w:val="006C48CF"/>
    <w:rsid w:val="006C7C22"/>
    <w:rsid w:val="006C7D28"/>
    <w:rsid w:val="006D09C3"/>
    <w:rsid w:val="006D0A3C"/>
    <w:rsid w:val="006D1292"/>
    <w:rsid w:val="006D3974"/>
    <w:rsid w:val="006D4228"/>
    <w:rsid w:val="006D60F4"/>
    <w:rsid w:val="006D6F5E"/>
    <w:rsid w:val="006D775E"/>
    <w:rsid w:val="006E16EC"/>
    <w:rsid w:val="006E3B9D"/>
    <w:rsid w:val="006E4570"/>
    <w:rsid w:val="006E5243"/>
    <w:rsid w:val="006E6A1A"/>
    <w:rsid w:val="006F0C5E"/>
    <w:rsid w:val="006F0E25"/>
    <w:rsid w:val="006F0F7C"/>
    <w:rsid w:val="006F17E7"/>
    <w:rsid w:val="006F17F5"/>
    <w:rsid w:val="006F2051"/>
    <w:rsid w:val="006F21E9"/>
    <w:rsid w:val="006F2AA8"/>
    <w:rsid w:val="006F2CF1"/>
    <w:rsid w:val="006F318C"/>
    <w:rsid w:val="006F31AE"/>
    <w:rsid w:val="006F3472"/>
    <w:rsid w:val="006F3B56"/>
    <w:rsid w:val="006F40B1"/>
    <w:rsid w:val="006F422C"/>
    <w:rsid w:val="006F42BD"/>
    <w:rsid w:val="006F462C"/>
    <w:rsid w:val="006F560C"/>
    <w:rsid w:val="006F5975"/>
    <w:rsid w:val="006F63E3"/>
    <w:rsid w:val="006F6946"/>
    <w:rsid w:val="006F7BDB"/>
    <w:rsid w:val="00700ECD"/>
    <w:rsid w:val="00700F69"/>
    <w:rsid w:val="0070289E"/>
    <w:rsid w:val="00702FBB"/>
    <w:rsid w:val="0070325E"/>
    <w:rsid w:val="00703A0E"/>
    <w:rsid w:val="00704408"/>
    <w:rsid w:val="0070531E"/>
    <w:rsid w:val="00705425"/>
    <w:rsid w:val="00706E63"/>
    <w:rsid w:val="00711672"/>
    <w:rsid w:val="00711740"/>
    <w:rsid w:val="007136D3"/>
    <w:rsid w:val="00713A99"/>
    <w:rsid w:val="00714062"/>
    <w:rsid w:val="00714E6E"/>
    <w:rsid w:val="007158AF"/>
    <w:rsid w:val="00715CE6"/>
    <w:rsid w:val="007162F8"/>
    <w:rsid w:val="00716740"/>
    <w:rsid w:val="00716768"/>
    <w:rsid w:val="00716EC2"/>
    <w:rsid w:val="0071759B"/>
    <w:rsid w:val="00717D4F"/>
    <w:rsid w:val="007208C2"/>
    <w:rsid w:val="007209E6"/>
    <w:rsid w:val="007217F2"/>
    <w:rsid w:val="00721B85"/>
    <w:rsid w:val="00722FD8"/>
    <w:rsid w:val="0072300A"/>
    <w:rsid w:val="00724C8E"/>
    <w:rsid w:val="00724DB6"/>
    <w:rsid w:val="00725B76"/>
    <w:rsid w:val="007262AB"/>
    <w:rsid w:val="0072682C"/>
    <w:rsid w:val="00733718"/>
    <w:rsid w:val="007337B7"/>
    <w:rsid w:val="00734277"/>
    <w:rsid w:val="0073536C"/>
    <w:rsid w:val="00735BCF"/>
    <w:rsid w:val="00736E27"/>
    <w:rsid w:val="00742031"/>
    <w:rsid w:val="0074221F"/>
    <w:rsid w:val="007426D3"/>
    <w:rsid w:val="00744095"/>
    <w:rsid w:val="007442B8"/>
    <w:rsid w:val="00744492"/>
    <w:rsid w:val="007444B8"/>
    <w:rsid w:val="00746FDF"/>
    <w:rsid w:val="00747DDF"/>
    <w:rsid w:val="00747FB0"/>
    <w:rsid w:val="00750389"/>
    <w:rsid w:val="00750B5E"/>
    <w:rsid w:val="00750C19"/>
    <w:rsid w:val="007512E6"/>
    <w:rsid w:val="007529A0"/>
    <w:rsid w:val="00754104"/>
    <w:rsid w:val="00756777"/>
    <w:rsid w:val="007575D5"/>
    <w:rsid w:val="007607BE"/>
    <w:rsid w:val="007614DC"/>
    <w:rsid w:val="00761C7F"/>
    <w:rsid w:val="0076216D"/>
    <w:rsid w:val="00763E34"/>
    <w:rsid w:val="007661F1"/>
    <w:rsid w:val="00766BFF"/>
    <w:rsid w:val="00767402"/>
    <w:rsid w:val="007702B6"/>
    <w:rsid w:val="007705F6"/>
    <w:rsid w:val="00772065"/>
    <w:rsid w:val="007726CB"/>
    <w:rsid w:val="007727B0"/>
    <w:rsid w:val="00772BA9"/>
    <w:rsid w:val="00773167"/>
    <w:rsid w:val="00773800"/>
    <w:rsid w:val="0077503B"/>
    <w:rsid w:val="00775508"/>
    <w:rsid w:val="00775D6F"/>
    <w:rsid w:val="00775E2A"/>
    <w:rsid w:val="007771EA"/>
    <w:rsid w:val="007774BD"/>
    <w:rsid w:val="007802CA"/>
    <w:rsid w:val="0078044E"/>
    <w:rsid w:val="007804DE"/>
    <w:rsid w:val="00781335"/>
    <w:rsid w:val="00781F64"/>
    <w:rsid w:val="00782A3E"/>
    <w:rsid w:val="00782CE5"/>
    <w:rsid w:val="007834FA"/>
    <w:rsid w:val="00783A26"/>
    <w:rsid w:val="007842C2"/>
    <w:rsid w:val="0078446C"/>
    <w:rsid w:val="0078464D"/>
    <w:rsid w:val="0078574E"/>
    <w:rsid w:val="00787575"/>
    <w:rsid w:val="00790556"/>
    <w:rsid w:val="00790986"/>
    <w:rsid w:val="007910F9"/>
    <w:rsid w:val="00793354"/>
    <w:rsid w:val="00793CEE"/>
    <w:rsid w:val="0079538A"/>
    <w:rsid w:val="00795F62"/>
    <w:rsid w:val="00796759"/>
    <w:rsid w:val="00796862"/>
    <w:rsid w:val="00797DC1"/>
    <w:rsid w:val="007A0BDA"/>
    <w:rsid w:val="007A141F"/>
    <w:rsid w:val="007A1671"/>
    <w:rsid w:val="007A20E7"/>
    <w:rsid w:val="007A3045"/>
    <w:rsid w:val="007A3F65"/>
    <w:rsid w:val="007A46E0"/>
    <w:rsid w:val="007A477B"/>
    <w:rsid w:val="007A77A1"/>
    <w:rsid w:val="007A7D72"/>
    <w:rsid w:val="007B006B"/>
    <w:rsid w:val="007B04D9"/>
    <w:rsid w:val="007B04E7"/>
    <w:rsid w:val="007B0979"/>
    <w:rsid w:val="007B1AC8"/>
    <w:rsid w:val="007B375F"/>
    <w:rsid w:val="007B3C59"/>
    <w:rsid w:val="007B4DB1"/>
    <w:rsid w:val="007B7B8D"/>
    <w:rsid w:val="007C0FB2"/>
    <w:rsid w:val="007C269A"/>
    <w:rsid w:val="007C29A0"/>
    <w:rsid w:val="007C29C9"/>
    <w:rsid w:val="007C490D"/>
    <w:rsid w:val="007C575C"/>
    <w:rsid w:val="007C5D60"/>
    <w:rsid w:val="007C6A03"/>
    <w:rsid w:val="007D0C1C"/>
    <w:rsid w:val="007D27DB"/>
    <w:rsid w:val="007D3DFB"/>
    <w:rsid w:val="007D4995"/>
    <w:rsid w:val="007D5E4A"/>
    <w:rsid w:val="007D680E"/>
    <w:rsid w:val="007D7B36"/>
    <w:rsid w:val="007E111C"/>
    <w:rsid w:val="007E2CA2"/>
    <w:rsid w:val="007E3CC5"/>
    <w:rsid w:val="007E5BDE"/>
    <w:rsid w:val="007E6279"/>
    <w:rsid w:val="007E77F5"/>
    <w:rsid w:val="007F119D"/>
    <w:rsid w:val="007F1B67"/>
    <w:rsid w:val="007F2105"/>
    <w:rsid w:val="007F2B1A"/>
    <w:rsid w:val="007F3FE0"/>
    <w:rsid w:val="007F62BE"/>
    <w:rsid w:val="007F6CF2"/>
    <w:rsid w:val="007F7AAB"/>
    <w:rsid w:val="008005F7"/>
    <w:rsid w:val="00800D48"/>
    <w:rsid w:val="00801624"/>
    <w:rsid w:val="008032D7"/>
    <w:rsid w:val="008041D4"/>
    <w:rsid w:val="00805351"/>
    <w:rsid w:val="0080556A"/>
    <w:rsid w:val="0080675F"/>
    <w:rsid w:val="00806B88"/>
    <w:rsid w:val="008072CD"/>
    <w:rsid w:val="008074C2"/>
    <w:rsid w:val="00807615"/>
    <w:rsid w:val="0080786F"/>
    <w:rsid w:val="008078B9"/>
    <w:rsid w:val="008119EA"/>
    <w:rsid w:val="00811B07"/>
    <w:rsid w:val="00812D75"/>
    <w:rsid w:val="00813187"/>
    <w:rsid w:val="008137B3"/>
    <w:rsid w:val="00813F18"/>
    <w:rsid w:val="008142D4"/>
    <w:rsid w:val="008176F7"/>
    <w:rsid w:val="008208BA"/>
    <w:rsid w:val="00820DFC"/>
    <w:rsid w:val="00821993"/>
    <w:rsid w:val="00824685"/>
    <w:rsid w:val="00827E98"/>
    <w:rsid w:val="00830112"/>
    <w:rsid w:val="00830B82"/>
    <w:rsid w:val="0083163D"/>
    <w:rsid w:val="00832986"/>
    <w:rsid w:val="00832C46"/>
    <w:rsid w:val="00833F6B"/>
    <w:rsid w:val="00834AEB"/>
    <w:rsid w:val="00836292"/>
    <w:rsid w:val="008367F6"/>
    <w:rsid w:val="008369C4"/>
    <w:rsid w:val="008375D0"/>
    <w:rsid w:val="00837A05"/>
    <w:rsid w:val="00837D96"/>
    <w:rsid w:val="008415F4"/>
    <w:rsid w:val="00842744"/>
    <w:rsid w:val="00843B43"/>
    <w:rsid w:val="008442CA"/>
    <w:rsid w:val="00846200"/>
    <w:rsid w:val="0084651F"/>
    <w:rsid w:val="0084737F"/>
    <w:rsid w:val="00851DC3"/>
    <w:rsid w:val="00851E84"/>
    <w:rsid w:val="00853DAD"/>
    <w:rsid w:val="0085488B"/>
    <w:rsid w:val="00855604"/>
    <w:rsid w:val="00855B1A"/>
    <w:rsid w:val="00855D03"/>
    <w:rsid w:val="00857718"/>
    <w:rsid w:val="00861A6E"/>
    <w:rsid w:val="0086437B"/>
    <w:rsid w:val="0086473E"/>
    <w:rsid w:val="0086494A"/>
    <w:rsid w:val="00864D4A"/>
    <w:rsid w:val="00865A89"/>
    <w:rsid w:val="00865B75"/>
    <w:rsid w:val="00865DF1"/>
    <w:rsid w:val="00867A64"/>
    <w:rsid w:val="00867BC5"/>
    <w:rsid w:val="008708CF"/>
    <w:rsid w:val="00871F34"/>
    <w:rsid w:val="00871F62"/>
    <w:rsid w:val="00872143"/>
    <w:rsid w:val="0087380A"/>
    <w:rsid w:val="0087496D"/>
    <w:rsid w:val="00874AAF"/>
    <w:rsid w:val="0087521C"/>
    <w:rsid w:val="008752C4"/>
    <w:rsid w:val="008755E1"/>
    <w:rsid w:val="0087560D"/>
    <w:rsid w:val="00875781"/>
    <w:rsid w:val="00876160"/>
    <w:rsid w:val="0087784C"/>
    <w:rsid w:val="00880395"/>
    <w:rsid w:val="008811B2"/>
    <w:rsid w:val="008811EA"/>
    <w:rsid w:val="00881F45"/>
    <w:rsid w:val="00885829"/>
    <w:rsid w:val="00886C0A"/>
    <w:rsid w:val="00887525"/>
    <w:rsid w:val="0088768B"/>
    <w:rsid w:val="0089039E"/>
    <w:rsid w:val="00891071"/>
    <w:rsid w:val="00893BB4"/>
    <w:rsid w:val="00896597"/>
    <w:rsid w:val="00896E3E"/>
    <w:rsid w:val="008A0A61"/>
    <w:rsid w:val="008A2759"/>
    <w:rsid w:val="008A2DFC"/>
    <w:rsid w:val="008A42E7"/>
    <w:rsid w:val="008B0EC5"/>
    <w:rsid w:val="008B16B0"/>
    <w:rsid w:val="008B24C3"/>
    <w:rsid w:val="008B3766"/>
    <w:rsid w:val="008B37B7"/>
    <w:rsid w:val="008B3D22"/>
    <w:rsid w:val="008B567B"/>
    <w:rsid w:val="008B6918"/>
    <w:rsid w:val="008B7050"/>
    <w:rsid w:val="008B7C40"/>
    <w:rsid w:val="008C0B2A"/>
    <w:rsid w:val="008C0F75"/>
    <w:rsid w:val="008C1591"/>
    <w:rsid w:val="008C15BE"/>
    <w:rsid w:val="008C24C8"/>
    <w:rsid w:val="008C3F6B"/>
    <w:rsid w:val="008C4C15"/>
    <w:rsid w:val="008C4D4B"/>
    <w:rsid w:val="008C5864"/>
    <w:rsid w:val="008C599A"/>
    <w:rsid w:val="008C5FC9"/>
    <w:rsid w:val="008C6AC8"/>
    <w:rsid w:val="008D297F"/>
    <w:rsid w:val="008D2E05"/>
    <w:rsid w:val="008D7640"/>
    <w:rsid w:val="008D7C73"/>
    <w:rsid w:val="008E0531"/>
    <w:rsid w:val="008E181B"/>
    <w:rsid w:val="008E27A2"/>
    <w:rsid w:val="008E34FB"/>
    <w:rsid w:val="008E39A1"/>
    <w:rsid w:val="008E3B16"/>
    <w:rsid w:val="008E484B"/>
    <w:rsid w:val="008E4D86"/>
    <w:rsid w:val="008E5518"/>
    <w:rsid w:val="008E573A"/>
    <w:rsid w:val="008E6134"/>
    <w:rsid w:val="008E63FF"/>
    <w:rsid w:val="008E7740"/>
    <w:rsid w:val="008F1454"/>
    <w:rsid w:val="008F2BAF"/>
    <w:rsid w:val="008F3295"/>
    <w:rsid w:val="008F3891"/>
    <w:rsid w:val="008F3FD8"/>
    <w:rsid w:val="008F51FF"/>
    <w:rsid w:val="008F5C14"/>
    <w:rsid w:val="008F5DB8"/>
    <w:rsid w:val="008F6A66"/>
    <w:rsid w:val="008F6C69"/>
    <w:rsid w:val="008F7E3B"/>
    <w:rsid w:val="0090031D"/>
    <w:rsid w:val="00900512"/>
    <w:rsid w:val="00902D32"/>
    <w:rsid w:val="00903636"/>
    <w:rsid w:val="00903B32"/>
    <w:rsid w:val="0090488B"/>
    <w:rsid w:val="00905761"/>
    <w:rsid w:val="00905A48"/>
    <w:rsid w:val="00906109"/>
    <w:rsid w:val="00906328"/>
    <w:rsid w:val="00906DEB"/>
    <w:rsid w:val="009073D9"/>
    <w:rsid w:val="009075BD"/>
    <w:rsid w:val="00910E90"/>
    <w:rsid w:val="00911911"/>
    <w:rsid w:val="00911FD2"/>
    <w:rsid w:val="00913570"/>
    <w:rsid w:val="00913BEE"/>
    <w:rsid w:val="009148D0"/>
    <w:rsid w:val="009167FD"/>
    <w:rsid w:val="00916C3F"/>
    <w:rsid w:val="00917516"/>
    <w:rsid w:val="009216E7"/>
    <w:rsid w:val="00921EE1"/>
    <w:rsid w:val="009223F5"/>
    <w:rsid w:val="00923BA3"/>
    <w:rsid w:val="00924DA5"/>
    <w:rsid w:val="0092668A"/>
    <w:rsid w:val="009269AA"/>
    <w:rsid w:val="00926F36"/>
    <w:rsid w:val="0092779F"/>
    <w:rsid w:val="009310F8"/>
    <w:rsid w:val="009311A8"/>
    <w:rsid w:val="00931D47"/>
    <w:rsid w:val="00933771"/>
    <w:rsid w:val="0093430A"/>
    <w:rsid w:val="0093491D"/>
    <w:rsid w:val="0093583D"/>
    <w:rsid w:val="00941342"/>
    <w:rsid w:val="00943B2B"/>
    <w:rsid w:val="00943EEA"/>
    <w:rsid w:val="009446A9"/>
    <w:rsid w:val="00946096"/>
    <w:rsid w:val="0094675F"/>
    <w:rsid w:val="0094722D"/>
    <w:rsid w:val="0094742F"/>
    <w:rsid w:val="00947837"/>
    <w:rsid w:val="00947E04"/>
    <w:rsid w:val="0095014B"/>
    <w:rsid w:val="00953CC6"/>
    <w:rsid w:val="00954C67"/>
    <w:rsid w:val="00955479"/>
    <w:rsid w:val="00955795"/>
    <w:rsid w:val="009562A1"/>
    <w:rsid w:val="0095706A"/>
    <w:rsid w:val="0095706E"/>
    <w:rsid w:val="009578E7"/>
    <w:rsid w:val="00957A91"/>
    <w:rsid w:val="00963715"/>
    <w:rsid w:val="00964C5F"/>
    <w:rsid w:val="0096541D"/>
    <w:rsid w:val="00965EC6"/>
    <w:rsid w:val="00965ED4"/>
    <w:rsid w:val="0096616D"/>
    <w:rsid w:val="00966298"/>
    <w:rsid w:val="00966E22"/>
    <w:rsid w:val="00967047"/>
    <w:rsid w:val="00967B9E"/>
    <w:rsid w:val="00970972"/>
    <w:rsid w:val="009719C4"/>
    <w:rsid w:val="00971CB9"/>
    <w:rsid w:val="00972018"/>
    <w:rsid w:val="00972330"/>
    <w:rsid w:val="009734B1"/>
    <w:rsid w:val="0097620C"/>
    <w:rsid w:val="00981F1A"/>
    <w:rsid w:val="00982FDB"/>
    <w:rsid w:val="009831F1"/>
    <w:rsid w:val="0098344F"/>
    <w:rsid w:val="00983FE1"/>
    <w:rsid w:val="00984490"/>
    <w:rsid w:val="00985362"/>
    <w:rsid w:val="00985417"/>
    <w:rsid w:val="009907D6"/>
    <w:rsid w:val="00990840"/>
    <w:rsid w:val="00991845"/>
    <w:rsid w:val="00991E87"/>
    <w:rsid w:val="00992BD0"/>
    <w:rsid w:val="00992F1E"/>
    <w:rsid w:val="00992F5E"/>
    <w:rsid w:val="00993DBF"/>
    <w:rsid w:val="009940FA"/>
    <w:rsid w:val="00994319"/>
    <w:rsid w:val="00995647"/>
    <w:rsid w:val="009957B4"/>
    <w:rsid w:val="00995D21"/>
    <w:rsid w:val="009968DC"/>
    <w:rsid w:val="00996C19"/>
    <w:rsid w:val="00996C65"/>
    <w:rsid w:val="00997BE4"/>
    <w:rsid w:val="009A09F3"/>
    <w:rsid w:val="009A112D"/>
    <w:rsid w:val="009A1C46"/>
    <w:rsid w:val="009A1DE7"/>
    <w:rsid w:val="009A1ED8"/>
    <w:rsid w:val="009A22CA"/>
    <w:rsid w:val="009A250E"/>
    <w:rsid w:val="009A25BD"/>
    <w:rsid w:val="009A2741"/>
    <w:rsid w:val="009A41F1"/>
    <w:rsid w:val="009A66CC"/>
    <w:rsid w:val="009A7AFC"/>
    <w:rsid w:val="009B0161"/>
    <w:rsid w:val="009B0808"/>
    <w:rsid w:val="009B0F6A"/>
    <w:rsid w:val="009B1D56"/>
    <w:rsid w:val="009B1D67"/>
    <w:rsid w:val="009B2458"/>
    <w:rsid w:val="009B30DE"/>
    <w:rsid w:val="009B37E5"/>
    <w:rsid w:val="009B43D6"/>
    <w:rsid w:val="009B4428"/>
    <w:rsid w:val="009B4B29"/>
    <w:rsid w:val="009B4EA2"/>
    <w:rsid w:val="009B520F"/>
    <w:rsid w:val="009B5CBF"/>
    <w:rsid w:val="009B64E0"/>
    <w:rsid w:val="009B6C52"/>
    <w:rsid w:val="009B6D99"/>
    <w:rsid w:val="009B72F7"/>
    <w:rsid w:val="009B7303"/>
    <w:rsid w:val="009B7499"/>
    <w:rsid w:val="009B7C1F"/>
    <w:rsid w:val="009C08CF"/>
    <w:rsid w:val="009C1772"/>
    <w:rsid w:val="009C1F06"/>
    <w:rsid w:val="009C213C"/>
    <w:rsid w:val="009C273C"/>
    <w:rsid w:val="009C2740"/>
    <w:rsid w:val="009C2CAE"/>
    <w:rsid w:val="009C5A56"/>
    <w:rsid w:val="009C5F48"/>
    <w:rsid w:val="009C65AF"/>
    <w:rsid w:val="009C6B2A"/>
    <w:rsid w:val="009C71C7"/>
    <w:rsid w:val="009C7B9D"/>
    <w:rsid w:val="009C7EC9"/>
    <w:rsid w:val="009D01B0"/>
    <w:rsid w:val="009D2DB0"/>
    <w:rsid w:val="009D35AF"/>
    <w:rsid w:val="009E0279"/>
    <w:rsid w:val="009E0624"/>
    <w:rsid w:val="009E0D50"/>
    <w:rsid w:val="009E1B2E"/>
    <w:rsid w:val="009E28AE"/>
    <w:rsid w:val="009E3826"/>
    <w:rsid w:val="009E414E"/>
    <w:rsid w:val="009E5E04"/>
    <w:rsid w:val="009E6114"/>
    <w:rsid w:val="009E6AD5"/>
    <w:rsid w:val="009E7282"/>
    <w:rsid w:val="009F0532"/>
    <w:rsid w:val="009F0BC1"/>
    <w:rsid w:val="009F19CB"/>
    <w:rsid w:val="009F1D62"/>
    <w:rsid w:val="009F2D4B"/>
    <w:rsid w:val="009F320B"/>
    <w:rsid w:val="009F3A55"/>
    <w:rsid w:val="009F547A"/>
    <w:rsid w:val="009F57B9"/>
    <w:rsid w:val="009F6184"/>
    <w:rsid w:val="009F716D"/>
    <w:rsid w:val="009F7653"/>
    <w:rsid w:val="009F78C3"/>
    <w:rsid w:val="00A00F3A"/>
    <w:rsid w:val="00A0232D"/>
    <w:rsid w:val="00A024E3"/>
    <w:rsid w:val="00A02D9C"/>
    <w:rsid w:val="00A03702"/>
    <w:rsid w:val="00A03A53"/>
    <w:rsid w:val="00A03FBD"/>
    <w:rsid w:val="00A04D86"/>
    <w:rsid w:val="00A0598F"/>
    <w:rsid w:val="00A06C7D"/>
    <w:rsid w:val="00A06D99"/>
    <w:rsid w:val="00A070A7"/>
    <w:rsid w:val="00A075CA"/>
    <w:rsid w:val="00A07DA3"/>
    <w:rsid w:val="00A10336"/>
    <w:rsid w:val="00A11635"/>
    <w:rsid w:val="00A11699"/>
    <w:rsid w:val="00A11AF5"/>
    <w:rsid w:val="00A12898"/>
    <w:rsid w:val="00A12944"/>
    <w:rsid w:val="00A13E68"/>
    <w:rsid w:val="00A140F0"/>
    <w:rsid w:val="00A16894"/>
    <w:rsid w:val="00A16B2C"/>
    <w:rsid w:val="00A173B5"/>
    <w:rsid w:val="00A21494"/>
    <w:rsid w:val="00A22E9D"/>
    <w:rsid w:val="00A24BD4"/>
    <w:rsid w:val="00A26506"/>
    <w:rsid w:val="00A271CF"/>
    <w:rsid w:val="00A27BC5"/>
    <w:rsid w:val="00A31BCB"/>
    <w:rsid w:val="00A3278D"/>
    <w:rsid w:val="00A32B70"/>
    <w:rsid w:val="00A33728"/>
    <w:rsid w:val="00A3379A"/>
    <w:rsid w:val="00A337D6"/>
    <w:rsid w:val="00A34BB3"/>
    <w:rsid w:val="00A375C5"/>
    <w:rsid w:val="00A37C89"/>
    <w:rsid w:val="00A37E2B"/>
    <w:rsid w:val="00A402FF"/>
    <w:rsid w:val="00A411CD"/>
    <w:rsid w:val="00A41577"/>
    <w:rsid w:val="00A41D35"/>
    <w:rsid w:val="00A428F2"/>
    <w:rsid w:val="00A42EC5"/>
    <w:rsid w:val="00A44B44"/>
    <w:rsid w:val="00A457D6"/>
    <w:rsid w:val="00A46ACA"/>
    <w:rsid w:val="00A470C5"/>
    <w:rsid w:val="00A47423"/>
    <w:rsid w:val="00A50821"/>
    <w:rsid w:val="00A5102C"/>
    <w:rsid w:val="00A51C26"/>
    <w:rsid w:val="00A52EB9"/>
    <w:rsid w:val="00A54054"/>
    <w:rsid w:val="00A54A18"/>
    <w:rsid w:val="00A571C6"/>
    <w:rsid w:val="00A60899"/>
    <w:rsid w:val="00A60ED0"/>
    <w:rsid w:val="00A61064"/>
    <w:rsid w:val="00A61FFE"/>
    <w:rsid w:val="00A6706A"/>
    <w:rsid w:val="00A67BA6"/>
    <w:rsid w:val="00A70106"/>
    <w:rsid w:val="00A7093D"/>
    <w:rsid w:val="00A71E1B"/>
    <w:rsid w:val="00A723C0"/>
    <w:rsid w:val="00A72DB0"/>
    <w:rsid w:val="00A73283"/>
    <w:rsid w:val="00A73614"/>
    <w:rsid w:val="00A73A1D"/>
    <w:rsid w:val="00A748BF"/>
    <w:rsid w:val="00A7512F"/>
    <w:rsid w:val="00A7535F"/>
    <w:rsid w:val="00A760C4"/>
    <w:rsid w:val="00A7726B"/>
    <w:rsid w:val="00A773A7"/>
    <w:rsid w:val="00A77F20"/>
    <w:rsid w:val="00A8025B"/>
    <w:rsid w:val="00A803B9"/>
    <w:rsid w:val="00A80BDD"/>
    <w:rsid w:val="00A86DE3"/>
    <w:rsid w:val="00A86E05"/>
    <w:rsid w:val="00A86E7C"/>
    <w:rsid w:val="00A873C4"/>
    <w:rsid w:val="00A9037B"/>
    <w:rsid w:val="00A910DD"/>
    <w:rsid w:val="00A911DD"/>
    <w:rsid w:val="00A9196B"/>
    <w:rsid w:val="00A922D8"/>
    <w:rsid w:val="00A93A45"/>
    <w:rsid w:val="00A93CB1"/>
    <w:rsid w:val="00A944F4"/>
    <w:rsid w:val="00A94E3E"/>
    <w:rsid w:val="00A96528"/>
    <w:rsid w:val="00A96A14"/>
    <w:rsid w:val="00AA0F40"/>
    <w:rsid w:val="00AA10BA"/>
    <w:rsid w:val="00AA188F"/>
    <w:rsid w:val="00AA1A34"/>
    <w:rsid w:val="00AA1E34"/>
    <w:rsid w:val="00AA1F4F"/>
    <w:rsid w:val="00AA32FE"/>
    <w:rsid w:val="00AA6465"/>
    <w:rsid w:val="00AA66D5"/>
    <w:rsid w:val="00AA67B3"/>
    <w:rsid w:val="00AA6A8F"/>
    <w:rsid w:val="00AB00E0"/>
    <w:rsid w:val="00AB0112"/>
    <w:rsid w:val="00AB17EA"/>
    <w:rsid w:val="00AB1916"/>
    <w:rsid w:val="00AB1DA1"/>
    <w:rsid w:val="00AB2271"/>
    <w:rsid w:val="00AB2557"/>
    <w:rsid w:val="00AB304E"/>
    <w:rsid w:val="00AB32DE"/>
    <w:rsid w:val="00AB35B1"/>
    <w:rsid w:val="00AB3DFA"/>
    <w:rsid w:val="00AB3EC1"/>
    <w:rsid w:val="00AB4D38"/>
    <w:rsid w:val="00AB5790"/>
    <w:rsid w:val="00AB583B"/>
    <w:rsid w:val="00AB5DB5"/>
    <w:rsid w:val="00AB7B65"/>
    <w:rsid w:val="00AB7FBC"/>
    <w:rsid w:val="00AC15C9"/>
    <w:rsid w:val="00AC1858"/>
    <w:rsid w:val="00AC1F09"/>
    <w:rsid w:val="00AC22D9"/>
    <w:rsid w:val="00AC30F9"/>
    <w:rsid w:val="00AC3155"/>
    <w:rsid w:val="00AC3D77"/>
    <w:rsid w:val="00AC5450"/>
    <w:rsid w:val="00AC5459"/>
    <w:rsid w:val="00AC60C1"/>
    <w:rsid w:val="00AC718A"/>
    <w:rsid w:val="00AD0165"/>
    <w:rsid w:val="00AD0991"/>
    <w:rsid w:val="00AD11C4"/>
    <w:rsid w:val="00AD3FFE"/>
    <w:rsid w:val="00AD4331"/>
    <w:rsid w:val="00AD496D"/>
    <w:rsid w:val="00AD5DAB"/>
    <w:rsid w:val="00AD6A97"/>
    <w:rsid w:val="00AD6E11"/>
    <w:rsid w:val="00AD780F"/>
    <w:rsid w:val="00AD7E20"/>
    <w:rsid w:val="00AE036B"/>
    <w:rsid w:val="00AE1963"/>
    <w:rsid w:val="00AE216A"/>
    <w:rsid w:val="00AE2244"/>
    <w:rsid w:val="00AE2478"/>
    <w:rsid w:val="00AE2E19"/>
    <w:rsid w:val="00AE335C"/>
    <w:rsid w:val="00AE53E6"/>
    <w:rsid w:val="00AE5535"/>
    <w:rsid w:val="00AE7874"/>
    <w:rsid w:val="00AF0710"/>
    <w:rsid w:val="00AF0FD2"/>
    <w:rsid w:val="00AF1414"/>
    <w:rsid w:val="00AF1BB1"/>
    <w:rsid w:val="00AF1C15"/>
    <w:rsid w:val="00AF1C82"/>
    <w:rsid w:val="00AF1E1A"/>
    <w:rsid w:val="00AF23EB"/>
    <w:rsid w:val="00AF4371"/>
    <w:rsid w:val="00AF4F25"/>
    <w:rsid w:val="00AF5281"/>
    <w:rsid w:val="00AF5CC8"/>
    <w:rsid w:val="00AF66A2"/>
    <w:rsid w:val="00AF6733"/>
    <w:rsid w:val="00AF6794"/>
    <w:rsid w:val="00B00781"/>
    <w:rsid w:val="00B014A5"/>
    <w:rsid w:val="00B0274A"/>
    <w:rsid w:val="00B04394"/>
    <w:rsid w:val="00B04B42"/>
    <w:rsid w:val="00B051FD"/>
    <w:rsid w:val="00B06E5C"/>
    <w:rsid w:val="00B10890"/>
    <w:rsid w:val="00B115A6"/>
    <w:rsid w:val="00B118CE"/>
    <w:rsid w:val="00B1199C"/>
    <w:rsid w:val="00B12C49"/>
    <w:rsid w:val="00B1385D"/>
    <w:rsid w:val="00B1385E"/>
    <w:rsid w:val="00B14AFF"/>
    <w:rsid w:val="00B14DE9"/>
    <w:rsid w:val="00B15651"/>
    <w:rsid w:val="00B15ABD"/>
    <w:rsid w:val="00B1737E"/>
    <w:rsid w:val="00B208FD"/>
    <w:rsid w:val="00B20C95"/>
    <w:rsid w:val="00B22164"/>
    <w:rsid w:val="00B22BAF"/>
    <w:rsid w:val="00B22E85"/>
    <w:rsid w:val="00B24813"/>
    <w:rsid w:val="00B252BD"/>
    <w:rsid w:val="00B26ECB"/>
    <w:rsid w:val="00B279E1"/>
    <w:rsid w:val="00B27C30"/>
    <w:rsid w:val="00B31C1F"/>
    <w:rsid w:val="00B3343D"/>
    <w:rsid w:val="00B3477B"/>
    <w:rsid w:val="00B36AF5"/>
    <w:rsid w:val="00B36C3A"/>
    <w:rsid w:val="00B36E6E"/>
    <w:rsid w:val="00B3767C"/>
    <w:rsid w:val="00B37D0D"/>
    <w:rsid w:val="00B400CD"/>
    <w:rsid w:val="00B40E8D"/>
    <w:rsid w:val="00B42025"/>
    <w:rsid w:val="00B42746"/>
    <w:rsid w:val="00B45219"/>
    <w:rsid w:val="00B45EF3"/>
    <w:rsid w:val="00B518C1"/>
    <w:rsid w:val="00B54885"/>
    <w:rsid w:val="00B566B6"/>
    <w:rsid w:val="00B56C09"/>
    <w:rsid w:val="00B56C79"/>
    <w:rsid w:val="00B56DC9"/>
    <w:rsid w:val="00B56F33"/>
    <w:rsid w:val="00B56F61"/>
    <w:rsid w:val="00B57AE9"/>
    <w:rsid w:val="00B60221"/>
    <w:rsid w:val="00B60B0F"/>
    <w:rsid w:val="00B60C7F"/>
    <w:rsid w:val="00B61A87"/>
    <w:rsid w:val="00B61EDA"/>
    <w:rsid w:val="00B6272E"/>
    <w:rsid w:val="00B63E02"/>
    <w:rsid w:val="00B66054"/>
    <w:rsid w:val="00B7023C"/>
    <w:rsid w:val="00B704DD"/>
    <w:rsid w:val="00B7329C"/>
    <w:rsid w:val="00B74276"/>
    <w:rsid w:val="00B743E6"/>
    <w:rsid w:val="00B762B0"/>
    <w:rsid w:val="00B76B64"/>
    <w:rsid w:val="00B76FE3"/>
    <w:rsid w:val="00B77C1C"/>
    <w:rsid w:val="00B82155"/>
    <w:rsid w:val="00B821D6"/>
    <w:rsid w:val="00B82C8E"/>
    <w:rsid w:val="00B8362B"/>
    <w:rsid w:val="00B844B2"/>
    <w:rsid w:val="00B84AE8"/>
    <w:rsid w:val="00B851A7"/>
    <w:rsid w:val="00B853BF"/>
    <w:rsid w:val="00B87256"/>
    <w:rsid w:val="00B87754"/>
    <w:rsid w:val="00B87A6E"/>
    <w:rsid w:val="00B87AE3"/>
    <w:rsid w:val="00B901FC"/>
    <w:rsid w:val="00B90580"/>
    <w:rsid w:val="00B90627"/>
    <w:rsid w:val="00B92381"/>
    <w:rsid w:val="00B927EA"/>
    <w:rsid w:val="00B92FAD"/>
    <w:rsid w:val="00B93375"/>
    <w:rsid w:val="00B942F1"/>
    <w:rsid w:val="00B95590"/>
    <w:rsid w:val="00B95DDF"/>
    <w:rsid w:val="00B95FEE"/>
    <w:rsid w:val="00B96D69"/>
    <w:rsid w:val="00B9775D"/>
    <w:rsid w:val="00BA0558"/>
    <w:rsid w:val="00BA0B79"/>
    <w:rsid w:val="00BA0CFA"/>
    <w:rsid w:val="00BA10E5"/>
    <w:rsid w:val="00BA193C"/>
    <w:rsid w:val="00BA4D55"/>
    <w:rsid w:val="00BA4F89"/>
    <w:rsid w:val="00BA6C2F"/>
    <w:rsid w:val="00BA6CFD"/>
    <w:rsid w:val="00BA7644"/>
    <w:rsid w:val="00BB1EA6"/>
    <w:rsid w:val="00BB2024"/>
    <w:rsid w:val="00BB20E0"/>
    <w:rsid w:val="00BB23D8"/>
    <w:rsid w:val="00BB2650"/>
    <w:rsid w:val="00BB2E1F"/>
    <w:rsid w:val="00BB2F18"/>
    <w:rsid w:val="00BB2F86"/>
    <w:rsid w:val="00BB32B2"/>
    <w:rsid w:val="00BB3F87"/>
    <w:rsid w:val="00BB6104"/>
    <w:rsid w:val="00BB6117"/>
    <w:rsid w:val="00BB645A"/>
    <w:rsid w:val="00BB6911"/>
    <w:rsid w:val="00BB69C2"/>
    <w:rsid w:val="00BC0ACA"/>
    <w:rsid w:val="00BC0EDC"/>
    <w:rsid w:val="00BC10BC"/>
    <w:rsid w:val="00BC2381"/>
    <w:rsid w:val="00BC2E1A"/>
    <w:rsid w:val="00BC4984"/>
    <w:rsid w:val="00BC4C84"/>
    <w:rsid w:val="00BC53B4"/>
    <w:rsid w:val="00BC54A7"/>
    <w:rsid w:val="00BC5F0F"/>
    <w:rsid w:val="00BC6494"/>
    <w:rsid w:val="00BC6868"/>
    <w:rsid w:val="00BC6933"/>
    <w:rsid w:val="00BC6A4B"/>
    <w:rsid w:val="00BC6B5E"/>
    <w:rsid w:val="00BC78D5"/>
    <w:rsid w:val="00BD1ADA"/>
    <w:rsid w:val="00BD21FF"/>
    <w:rsid w:val="00BD4287"/>
    <w:rsid w:val="00BD6838"/>
    <w:rsid w:val="00BD7FB1"/>
    <w:rsid w:val="00BE008F"/>
    <w:rsid w:val="00BE01F1"/>
    <w:rsid w:val="00BE135C"/>
    <w:rsid w:val="00BE13E5"/>
    <w:rsid w:val="00BE1821"/>
    <w:rsid w:val="00BE271F"/>
    <w:rsid w:val="00BE301A"/>
    <w:rsid w:val="00BE38FE"/>
    <w:rsid w:val="00BE5441"/>
    <w:rsid w:val="00BE6574"/>
    <w:rsid w:val="00BE70B9"/>
    <w:rsid w:val="00BE7799"/>
    <w:rsid w:val="00BE7C8C"/>
    <w:rsid w:val="00BF16B6"/>
    <w:rsid w:val="00BF1A8C"/>
    <w:rsid w:val="00BF25AC"/>
    <w:rsid w:val="00BF3B91"/>
    <w:rsid w:val="00BF5199"/>
    <w:rsid w:val="00BF66D9"/>
    <w:rsid w:val="00C0187D"/>
    <w:rsid w:val="00C01DF8"/>
    <w:rsid w:val="00C02736"/>
    <w:rsid w:val="00C029B6"/>
    <w:rsid w:val="00C04570"/>
    <w:rsid w:val="00C05D32"/>
    <w:rsid w:val="00C06BD8"/>
    <w:rsid w:val="00C06FA5"/>
    <w:rsid w:val="00C07455"/>
    <w:rsid w:val="00C0762F"/>
    <w:rsid w:val="00C1093D"/>
    <w:rsid w:val="00C12044"/>
    <w:rsid w:val="00C1261A"/>
    <w:rsid w:val="00C127DA"/>
    <w:rsid w:val="00C12B8E"/>
    <w:rsid w:val="00C133BC"/>
    <w:rsid w:val="00C1437C"/>
    <w:rsid w:val="00C14F55"/>
    <w:rsid w:val="00C15072"/>
    <w:rsid w:val="00C15ECB"/>
    <w:rsid w:val="00C166B3"/>
    <w:rsid w:val="00C16A17"/>
    <w:rsid w:val="00C16AB0"/>
    <w:rsid w:val="00C16FF6"/>
    <w:rsid w:val="00C20298"/>
    <w:rsid w:val="00C202AA"/>
    <w:rsid w:val="00C20C47"/>
    <w:rsid w:val="00C2185A"/>
    <w:rsid w:val="00C22215"/>
    <w:rsid w:val="00C22D3C"/>
    <w:rsid w:val="00C232E9"/>
    <w:rsid w:val="00C2392D"/>
    <w:rsid w:val="00C23B01"/>
    <w:rsid w:val="00C2508D"/>
    <w:rsid w:val="00C2557C"/>
    <w:rsid w:val="00C2780E"/>
    <w:rsid w:val="00C27C6B"/>
    <w:rsid w:val="00C27F9D"/>
    <w:rsid w:val="00C305C1"/>
    <w:rsid w:val="00C314BF"/>
    <w:rsid w:val="00C348A3"/>
    <w:rsid w:val="00C34DEF"/>
    <w:rsid w:val="00C35C71"/>
    <w:rsid w:val="00C36251"/>
    <w:rsid w:val="00C400DA"/>
    <w:rsid w:val="00C4018F"/>
    <w:rsid w:val="00C416B4"/>
    <w:rsid w:val="00C43008"/>
    <w:rsid w:val="00C43202"/>
    <w:rsid w:val="00C46239"/>
    <w:rsid w:val="00C46D8F"/>
    <w:rsid w:val="00C50E79"/>
    <w:rsid w:val="00C51B78"/>
    <w:rsid w:val="00C521A4"/>
    <w:rsid w:val="00C5272F"/>
    <w:rsid w:val="00C53BD4"/>
    <w:rsid w:val="00C53C47"/>
    <w:rsid w:val="00C53DDF"/>
    <w:rsid w:val="00C546EF"/>
    <w:rsid w:val="00C56B54"/>
    <w:rsid w:val="00C56BA2"/>
    <w:rsid w:val="00C63B67"/>
    <w:rsid w:val="00C64709"/>
    <w:rsid w:val="00C64CA7"/>
    <w:rsid w:val="00C674DD"/>
    <w:rsid w:val="00C67A54"/>
    <w:rsid w:val="00C70801"/>
    <w:rsid w:val="00C70DAB"/>
    <w:rsid w:val="00C71A13"/>
    <w:rsid w:val="00C7499B"/>
    <w:rsid w:val="00C752FE"/>
    <w:rsid w:val="00C75B19"/>
    <w:rsid w:val="00C75D14"/>
    <w:rsid w:val="00C75D62"/>
    <w:rsid w:val="00C75E7D"/>
    <w:rsid w:val="00C76185"/>
    <w:rsid w:val="00C764ED"/>
    <w:rsid w:val="00C76F1C"/>
    <w:rsid w:val="00C77F1C"/>
    <w:rsid w:val="00C80333"/>
    <w:rsid w:val="00C80F8A"/>
    <w:rsid w:val="00C81CE4"/>
    <w:rsid w:val="00C82324"/>
    <w:rsid w:val="00C82F16"/>
    <w:rsid w:val="00C832A5"/>
    <w:rsid w:val="00C839C7"/>
    <w:rsid w:val="00C844F1"/>
    <w:rsid w:val="00C849B7"/>
    <w:rsid w:val="00C84CA7"/>
    <w:rsid w:val="00C850FE"/>
    <w:rsid w:val="00C86018"/>
    <w:rsid w:val="00C87362"/>
    <w:rsid w:val="00C875F6"/>
    <w:rsid w:val="00C90762"/>
    <w:rsid w:val="00C91027"/>
    <w:rsid w:val="00C92CD9"/>
    <w:rsid w:val="00C938D9"/>
    <w:rsid w:val="00C9451C"/>
    <w:rsid w:val="00C957D0"/>
    <w:rsid w:val="00C973CA"/>
    <w:rsid w:val="00CA183D"/>
    <w:rsid w:val="00CA4B33"/>
    <w:rsid w:val="00CA4C2F"/>
    <w:rsid w:val="00CA63C2"/>
    <w:rsid w:val="00CA704A"/>
    <w:rsid w:val="00CB1398"/>
    <w:rsid w:val="00CB166D"/>
    <w:rsid w:val="00CB213A"/>
    <w:rsid w:val="00CB612B"/>
    <w:rsid w:val="00CB65E4"/>
    <w:rsid w:val="00CB7FC9"/>
    <w:rsid w:val="00CC1C4E"/>
    <w:rsid w:val="00CC3029"/>
    <w:rsid w:val="00CC3746"/>
    <w:rsid w:val="00CC39D2"/>
    <w:rsid w:val="00CC3BD5"/>
    <w:rsid w:val="00CC4354"/>
    <w:rsid w:val="00CC4E79"/>
    <w:rsid w:val="00CC618E"/>
    <w:rsid w:val="00CC67BA"/>
    <w:rsid w:val="00CC6D79"/>
    <w:rsid w:val="00CC6F1E"/>
    <w:rsid w:val="00CD0206"/>
    <w:rsid w:val="00CD0A9B"/>
    <w:rsid w:val="00CD1633"/>
    <w:rsid w:val="00CD3AF5"/>
    <w:rsid w:val="00CD4807"/>
    <w:rsid w:val="00CD5B01"/>
    <w:rsid w:val="00CD5DDB"/>
    <w:rsid w:val="00CD623D"/>
    <w:rsid w:val="00CD7872"/>
    <w:rsid w:val="00CD793A"/>
    <w:rsid w:val="00CE2376"/>
    <w:rsid w:val="00CE2D24"/>
    <w:rsid w:val="00CE3884"/>
    <w:rsid w:val="00CE4683"/>
    <w:rsid w:val="00CE4D18"/>
    <w:rsid w:val="00CE546D"/>
    <w:rsid w:val="00CE65E2"/>
    <w:rsid w:val="00CE704E"/>
    <w:rsid w:val="00CE726D"/>
    <w:rsid w:val="00CF0091"/>
    <w:rsid w:val="00CF0852"/>
    <w:rsid w:val="00CF1418"/>
    <w:rsid w:val="00CF228D"/>
    <w:rsid w:val="00CF2CD1"/>
    <w:rsid w:val="00CF3F66"/>
    <w:rsid w:val="00CF568E"/>
    <w:rsid w:val="00CF6103"/>
    <w:rsid w:val="00CF6270"/>
    <w:rsid w:val="00D0053A"/>
    <w:rsid w:val="00D01E66"/>
    <w:rsid w:val="00D022B0"/>
    <w:rsid w:val="00D024D0"/>
    <w:rsid w:val="00D032F8"/>
    <w:rsid w:val="00D04D7E"/>
    <w:rsid w:val="00D05AB2"/>
    <w:rsid w:val="00D067EB"/>
    <w:rsid w:val="00D076B2"/>
    <w:rsid w:val="00D1046F"/>
    <w:rsid w:val="00D1135F"/>
    <w:rsid w:val="00D1218E"/>
    <w:rsid w:val="00D12490"/>
    <w:rsid w:val="00D12769"/>
    <w:rsid w:val="00D13484"/>
    <w:rsid w:val="00D14987"/>
    <w:rsid w:val="00D154B1"/>
    <w:rsid w:val="00D158B0"/>
    <w:rsid w:val="00D15F39"/>
    <w:rsid w:val="00D16368"/>
    <w:rsid w:val="00D16D1A"/>
    <w:rsid w:val="00D16FB7"/>
    <w:rsid w:val="00D17D63"/>
    <w:rsid w:val="00D22AE1"/>
    <w:rsid w:val="00D22ECB"/>
    <w:rsid w:val="00D24882"/>
    <w:rsid w:val="00D24A3C"/>
    <w:rsid w:val="00D24C90"/>
    <w:rsid w:val="00D25021"/>
    <w:rsid w:val="00D25ED8"/>
    <w:rsid w:val="00D26DEF"/>
    <w:rsid w:val="00D27C03"/>
    <w:rsid w:val="00D3047B"/>
    <w:rsid w:val="00D320A9"/>
    <w:rsid w:val="00D34989"/>
    <w:rsid w:val="00D36BBF"/>
    <w:rsid w:val="00D40635"/>
    <w:rsid w:val="00D40EC1"/>
    <w:rsid w:val="00D40FD2"/>
    <w:rsid w:val="00D42B68"/>
    <w:rsid w:val="00D42D8C"/>
    <w:rsid w:val="00D42FF3"/>
    <w:rsid w:val="00D43E0F"/>
    <w:rsid w:val="00D4447E"/>
    <w:rsid w:val="00D4460A"/>
    <w:rsid w:val="00D4557F"/>
    <w:rsid w:val="00D4734D"/>
    <w:rsid w:val="00D47524"/>
    <w:rsid w:val="00D5081E"/>
    <w:rsid w:val="00D5237C"/>
    <w:rsid w:val="00D549B9"/>
    <w:rsid w:val="00D6013A"/>
    <w:rsid w:val="00D603A2"/>
    <w:rsid w:val="00D60799"/>
    <w:rsid w:val="00D607D6"/>
    <w:rsid w:val="00D60D8C"/>
    <w:rsid w:val="00D61285"/>
    <w:rsid w:val="00D61BAD"/>
    <w:rsid w:val="00D62F6C"/>
    <w:rsid w:val="00D63064"/>
    <w:rsid w:val="00D6312C"/>
    <w:rsid w:val="00D6344E"/>
    <w:rsid w:val="00D64AA7"/>
    <w:rsid w:val="00D64F43"/>
    <w:rsid w:val="00D659ED"/>
    <w:rsid w:val="00D65EAD"/>
    <w:rsid w:val="00D66C52"/>
    <w:rsid w:val="00D702E6"/>
    <w:rsid w:val="00D70B90"/>
    <w:rsid w:val="00D71599"/>
    <w:rsid w:val="00D72A05"/>
    <w:rsid w:val="00D72FF9"/>
    <w:rsid w:val="00D744B8"/>
    <w:rsid w:val="00D74874"/>
    <w:rsid w:val="00D75B46"/>
    <w:rsid w:val="00D765A9"/>
    <w:rsid w:val="00D806A6"/>
    <w:rsid w:val="00D8085E"/>
    <w:rsid w:val="00D80FC4"/>
    <w:rsid w:val="00D82516"/>
    <w:rsid w:val="00D83D03"/>
    <w:rsid w:val="00D848C6"/>
    <w:rsid w:val="00D848ED"/>
    <w:rsid w:val="00D84B0D"/>
    <w:rsid w:val="00D84BFC"/>
    <w:rsid w:val="00D857FB"/>
    <w:rsid w:val="00D860BB"/>
    <w:rsid w:val="00D864AA"/>
    <w:rsid w:val="00D9012B"/>
    <w:rsid w:val="00D9024E"/>
    <w:rsid w:val="00D912C7"/>
    <w:rsid w:val="00D9214D"/>
    <w:rsid w:val="00D9291F"/>
    <w:rsid w:val="00D92CFD"/>
    <w:rsid w:val="00D937C2"/>
    <w:rsid w:val="00D943F1"/>
    <w:rsid w:val="00D94945"/>
    <w:rsid w:val="00D94CA8"/>
    <w:rsid w:val="00D94D41"/>
    <w:rsid w:val="00D9501B"/>
    <w:rsid w:val="00D96D42"/>
    <w:rsid w:val="00D97A2B"/>
    <w:rsid w:val="00D97A68"/>
    <w:rsid w:val="00DA14B9"/>
    <w:rsid w:val="00DA219A"/>
    <w:rsid w:val="00DA21B8"/>
    <w:rsid w:val="00DA3D57"/>
    <w:rsid w:val="00DA48F1"/>
    <w:rsid w:val="00DA490A"/>
    <w:rsid w:val="00DA5309"/>
    <w:rsid w:val="00DA65AC"/>
    <w:rsid w:val="00DA7847"/>
    <w:rsid w:val="00DB098A"/>
    <w:rsid w:val="00DB0E28"/>
    <w:rsid w:val="00DB10A7"/>
    <w:rsid w:val="00DB13A5"/>
    <w:rsid w:val="00DB19AA"/>
    <w:rsid w:val="00DB1BDB"/>
    <w:rsid w:val="00DB2186"/>
    <w:rsid w:val="00DB2435"/>
    <w:rsid w:val="00DB2584"/>
    <w:rsid w:val="00DB27D1"/>
    <w:rsid w:val="00DB2952"/>
    <w:rsid w:val="00DB3A0F"/>
    <w:rsid w:val="00DB4239"/>
    <w:rsid w:val="00DB423B"/>
    <w:rsid w:val="00DB4EF9"/>
    <w:rsid w:val="00DB4FC0"/>
    <w:rsid w:val="00DB596B"/>
    <w:rsid w:val="00DC04C3"/>
    <w:rsid w:val="00DC0CBA"/>
    <w:rsid w:val="00DC155D"/>
    <w:rsid w:val="00DC1E70"/>
    <w:rsid w:val="00DC239C"/>
    <w:rsid w:val="00DC33E2"/>
    <w:rsid w:val="00DC456B"/>
    <w:rsid w:val="00DC577D"/>
    <w:rsid w:val="00DD0A57"/>
    <w:rsid w:val="00DD4418"/>
    <w:rsid w:val="00DD4738"/>
    <w:rsid w:val="00DD5210"/>
    <w:rsid w:val="00DD6327"/>
    <w:rsid w:val="00DD68F7"/>
    <w:rsid w:val="00DE0A8E"/>
    <w:rsid w:val="00DE127B"/>
    <w:rsid w:val="00DE12C4"/>
    <w:rsid w:val="00DE2364"/>
    <w:rsid w:val="00DE2444"/>
    <w:rsid w:val="00DE2548"/>
    <w:rsid w:val="00DE43E0"/>
    <w:rsid w:val="00DE5153"/>
    <w:rsid w:val="00DE5CCF"/>
    <w:rsid w:val="00DE614F"/>
    <w:rsid w:val="00DE65EB"/>
    <w:rsid w:val="00DE69B6"/>
    <w:rsid w:val="00DE69EF"/>
    <w:rsid w:val="00DF1DFE"/>
    <w:rsid w:val="00DF3ACB"/>
    <w:rsid w:val="00DF5363"/>
    <w:rsid w:val="00DF587F"/>
    <w:rsid w:val="00DF5CBF"/>
    <w:rsid w:val="00DF70AC"/>
    <w:rsid w:val="00DF711F"/>
    <w:rsid w:val="00DF748E"/>
    <w:rsid w:val="00DF77BD"/>
    <w:rsid w:val="00E00934"/>
    <w:rsid w:val="00E010D6"/>
    <w:rsid w:val="00E020B0"/>
    <w:rsid w:val="00E023A3"/>
    <w:rsid w:val="00E02C53"/>
    <w:rsid w:val="00E02D2C"/>
    <w:rsid w:val="00E03145"/>
    <w:rsid w:val="00E041F3"/>
    <w:rsid w:val="00E04480"/>
    <w:rsid w:val="00E073AE"/>
    <w:rsid w:val="00E10263"/>
    <w:rsid w:val="00E106F6"/>
    <w:rsid w:val="00E11089"/>
    <w:rsid w:val="00E129EB"/>
    <w:rsid w:val="00E1393C"/>
    <w:rsid w:val="00E13B4B"/>
    <w:rsid w:val="00E14BC6"/>
    <w:rsid w:val="00E156D3"/>
    <w:rsid w:val="00E15AC5"/>
    <w:rsid w:val="00E163F3"/>
    <w:rsid w:val="00E16424"/>
    <w:rsid w:val="00E1678C"/>
    <w:rsid w:val="00E16F6E"/>
    <w:rsid w:val="00E17887"/>
    <w:rsid w:val="00E17DD0"/>
    <w:rsid w:val="00E20795"/>
    <w:rsid w:val="00E23538"/>
    <w:rsid w:val="00E23F38"/>
    <w:rsid w:val="00E2408F"/>
    <w:rsid w:val="00E25E6A"/>
    <w:rsid w:val="00E26E3F"/>
    <w:rsid w:val="00E27ACA"/>
    <w:rsid w:val="00E3033B"/>
    <w:rsid w:val="00E30F2E"/>
    <w:rsid w:val="00E320EF"/>
    <w:rsid w:val="00E3217B"/>
    <w:rsid w:val="00E33B4E"/>
    <w:rsid w:val="00E34E57"/>
    <w:rsid w:val="00E356B3"/>
    <w:rsid w:val="00E36174"/>
    <w:rsid w:val="00E36C65"/>
    <w:rsid w:val="00E37D53"/>
    <w:rsid w:val="00E40036"/>
    <w:rsid w:val="00E4045C"/>
    <w:rsid w:val="00E40E8C"/>
    <w:rsid w:val="00E40F81"/>
    <w:rsid w:val="00E41967"/>
    <w:rsid w:val="00E434E6"/>
    <w:rsid w:val="00E43D59"/>
    <w:rsid w:val="00E43EAB"/>
    <w:rsid w:val="00E440CF"/>
    <w:rsid w:val="00E44431"/>
    <w:rsid w:val="00E44598"/>
    <w:rsid w:val="00E4490D"/>
    <w:rsid w:val="00E4508D"/>
    <w:rsid w:val="00E458AF"/>
    <w:rsid w:val="00E4637A"/>
    <w:rsid w:val="00E4649A"/>
    <w:rsid w:val="00E46CCF"/>
    <w:rsid w:val="00E46FE3"/>
    <w:rsid w:val="00E479EB"/>
    <w:rsid w:val="00E47BDF"/>
    <w:rsid w:val="00E518D9"/>
    <w:rsid w:val="00E521FE"/>
    <w:rsid w:val="00E52251"/>
    <w:rsid w:val="00E52667"/>
    <w:rsid w:val="00E52A79"/>
    <w:rsid w:val="00E52D99"/>
    <w:rsid w:val="00E52F64"/>
    <w:rsid w:val="00E54AD6"/>
    <w:rsid w:val="00E55E4E"/>
    <w:rsid w:val="00E56D18"/>
    <w:rsid w:val="00E57203"/>
    <w:rsid w:val="00E57516"/>
    <w:rsid w:val="00E60639"/>
    <w:rsid w:val="00E60830"/>
    <w:rsid w:val="00E610FB"/>
    <w:rsid w:val="00E61F9A"/>
    <w:rsid w:val="00E622BC"/>
    <w:rsid w:val="00E625AA"/>
    <w:rsid w:val="00E63A34"/>
    <w:rsid w:val="00E64456"/>
    <w:rsid w:val="00E655F7"/>
    <w:rsid w:val="00E65C12"/>
    <w:rsid w:val="00E65CAB"/>
    <w:rsid w:val="00E6605F"/>
    <w:rsid w:val="00E66B15"/>
    <w:rsid w:val="00E72F8A"/>
    <w:rsid w:val="00E73F83"/>
    <w:rsid w:val="00E741DF"/>
    <w:rsid w:val="00E766CA"/>
    <w:rsid w:val="00E81148"/>
    <w:rsid w:val="00E8156C"/>
    <w:rsid w:val="00E82CE5"/>
    <w:rsid w:val="00E8350B"/>
    <w:rsid w:val="00E8373E"/>
    <w:rsid w:val="00E8460E"/>
    <w:rsid w:val="00E84C7B"/>
    <w:rsid w:val="00E8543E"/>
    <w:rsid w:val="00E873A7"/>
    <w:rsid w:val="00E87413"/>
    <w:rsid w:val="00E87621"/>
    <w:rsid w:val="00E9421A"/>
    <w:rsid w:val="00E94292"/>
    <w:rsid w:val="00E94927"/>
    <w:rsid w:val="00E95268"/>
    <w:rsid w:val="00E95C5C"/>
    <w:rsid w:val="00E96868"/>
    <w:rsid w:val="00E97A51"/>
    <w:rsid w:val="00EA1911"/>
    <w:rsid w:val="00EA2B85"/>
    <w:rsid w:val="00EA3F8B"/>
    <w:rsid w:val="00EA4405"/>
    <w:rsid w:val="00EA4E08"/>
    <w:rsid w:val="00EA67BA"/>
    <w:rsid w:val="00EA6A8D"/>
    <w:rsid w:val="00EB05CA"/>
    <w:rsid w:val="00EB0C6E"/>
    <w:rsid w:val="00EB0FFD"/>
    <w:rsid w:val="00EB114D"/>
    <w:rsid w:val="00EB12CD"/>
    <w:rsid w:val="00EB1F6D"/>
    <w:rsid w:val="00EB2525"/>
    <w:rsid w:val="00EB6FC6"/>
    <w:rsid w:val="00EC0005"/>
    <w:rsid w:val="00EC0016"/>
    <w:rsid w:val="00EC00C4"/>
    <w:rsid w:val="00EC2CBC"/>
    <w:rsid w:val="00EC414C"/>
    <w:rsid w:val="00EC4BE5"/>
    <w:rsid w:val="00EC6776"/>
    <w:rsid w:val="00EC6E94"/>
    <w:rsid w:val="00ED08AD"/>
    <w:rsid w:val="00ED160D"/>
    <w:rsid w:val="00ED174C"/>
    <w:rsid w:val="00ED1C74"/>
    <w:rsid w:val="00ED4103"/>
    <w:rsid w:val="00ED48C8"/>
    <w:rsid w:val="00ED6D45"/>
    <w:rsid w:val="00ED7772"/>
    <w:rsid w:val="00EE1A0B"/>
    <w:rsid w:val="00EE1DCD"/>
    <w:rsid w:val="00EE25CD"/>
    <w:rsid w:val="00EE310B"/>
    <w:rsid w:val="00EE3B7A"/>
    <w:rsid w:val="00EE4EA9"/>
    <w:rsid w:val="00EE5E52"/>
    <w:rsid w:val="00EE6BCD"/>
    <w:rsid w:val="00EE6CFF"/>
    <w:rsid w:val="00EF054D"/>
    <w:rsid w:val="00EF079A"/>
    <w:rsid w:val="00EF07EB"/>
    <w:rsid w:val="00EF0AB9"/>
    <w:rsid w:val="00EF2542"/>
    <w:rsid w:val="00EF26DF"/>
    <w:rsid w:val="00EF381C"/>
    <w:rsid w:val="00EF549A"/>
    <w:rsid w:val="00EF62C4"/>
    <w:rsid w:val="00EF717D"/>
    <w:rsid w:val="00EF7DB4"/>
    <w:rsid w:val="00EF7E78"/>
    <w:rsid w:val="00F00EE2"/>
    <w:rsid w:val="00F01364"/>
    <w:rsid w:val="00F017B4"/>
    <w:rsid w:val="00F02489"/>
    <w:rsid w:val="00F02712"/>
    <w:rsid w:val="00F052F9"/>
    <w:rsid w:val="00F060F1"/>
    <w:rsid w:val="00F061EA"/>
    <w:rsid w:val="00F0653F"/>
    <w:rsid w:val="00F06990"/>
    <w:rsid w:val="00F06C29"/>
    <w:rsid w:val="00F077E6"/>
    <w:rsid w:val="00F07CFB"/>
    <w:rsid w:val="00F10F6C"/>
    <w:rsid w:val="00F12CF0"/>
    <w:rsid w:val="00F1401A"/>
    <w:rsid w:val="00F16714"/>
    <w:rsid w:val="00F17597"/>
    <w:rsid w:val="00F17DD0"/>
    <w:rsid w:val="00F20414"/>
    <w:rsid w:val="00F21382"/>
    <w:rsid w:val="00F2148B"/>
    <w:rsid w:val="00F21F1E"/>
    <w:rsid w:val="00F24972"/>
    <w:rsid w:val="00F24F75"/>
    <w:rsid w:val="00F24F79"/>
    <w:rsid w:val="00F2510A"/>
    <w:rsid w:val="00F259A2"/>
    <w:rsid w:val="00F261B9"/>
    <w:rsid w:val="00F266BD"/>
    <w:rsid w:val="00F304A6"/>
    <w:rsid w:val="00F3064F"/>
    <w:rsid w:val="00F30C87"/>
    <w:rsid w:val="00F313BC"/>
    <w:rsid w:val="00F314B8"/>
    <w:rsid w:val="00F31982"/>
    <w:rsid w:val="00F32139"/>
    <w:rsid w:val="00F32E5C"/>
    <w:rsid w:val="00F333EC"/>
    <w:rsid w:val="00F333FA"/>
    <w:rsid w:val="00F336ED"/>
    <w:rsid w:val="00F3520B"/>
    <w:rsid w:val="00F3587E"/>
    <w:rsid w:val="00F379CC"/>
    <w:rsid w:val="00F40064"/>
    <w:rsid w:val="00F41036"/>
    <w:rsid w:val="00F41A55"/>
    <w:rsid w:val="00F42791"/>
    <w:rsid w:val="00F4394B"/>
    <w:rsid w:val="00F43E63"/>
    <w:rsid w:val="00F442A7"/>
    <w:rsid w:val="00F44C88"/>
    <w:rsid w:val="00F4509A"/>
    <w:rsid w:val="00F45AFC"/>
    <w:rsid w:val="00F46725"/>
    <w:rsid w:val="00F46760"/>
    <w:rsid w:val="00F51D65"/>
    <w:rsid w:val="00F52240"/>
    <w:rsid w:val="00F535DA"/>
    <w:rsid w:val="00F5393C"/>
    <w:rsid w:val="00F539A4"/>
    <w:rsid w:val="00F541E1"/>
    <w:rsid w:val="00F546C8"/>
    <w:rsid w:val="00F55622"/>
    <w:rsid w:val="00F55A8F"/>
    <w:rsid w:val="00F5624E"/>
    <w:rsid w:val="00F57027"/>
    <w:rsid w:val="00F611AE"/>
    <w:rsid w:val="00F654E5"/>
    <w:rsid w:val="00F67A9C"/>
    <w:rsid w:val="00F67F93"/>
    <w:rsid w:val="00F70217"/>
    <w:rsid w:val="00F704CD"/>
    <w:rsid w:val="00F70840"/>
    <w:rsid w:val="00F711BE"/>
    <w:rsid w:val="00F71435"/>
    <w:rsid w:val="00F716F2"/>
    <w:rsid w:val="00F71E0F"/>
    <w:rsid w:val="00F72D3D"/>
    <w:rsid w:val="00F7438E"/>
    <w:rsid w:val="00F746B4"/>
    <w:rsid w:val="00F75451"/>
    <w:rsid w:val="00F75810"/>
    <w:rsid w:val="00F75ED5"/>
    <w:rsid w:val="00F76080"/>
    <w:rsid w:val="00F8051C"/>
    <w:rsid w:val="00F806B4"/>
    <w:rsid w:val="00F8216C"/>
    <w:rsid w:val="00F824A0"/>
    <w:rsid w:val="00F84A7C"/>
    <w:rsid w:val="00F84F66"/>
    <w:rsid w:val="00F84F75"/>
    <w:rsid w:val="00F857FF"/>
    <w:rsid w:val="00F85F06"/>
    <w:rsid w:val="00F873CA"/>
    <w:rsid w:val="00F87EBA"/>
    <w:rsid w:val="00F90FB9"/>
    <w:rsid w:val="00F928F3"/>
    <w:rsid w:val="00F92B25"/>
    <w:rsid w:val="00F93011"/>
    <w:rsid w:val="00F93C09"/>
    <w:rsid w:val="00F94140"/>
    <w:rsid w:val="00F9443D"/>
    <w:rsid w:val="00F9484B"/>
    <w:rsid w:val="00F96240"/>
    <w:rsid w:val="00F96401"/>
    <w:rsid w:val="00FA1C76"/>
    <w:rsid w:val="00FA211E"/>
    <w:rsid w:val="00FA30BC"/>
    <w:rsid w:val="00FA51B9"/>
    <w:rsid w:val="00FA7991"/>
    <w:rsid w:val="00FA7C91"/>
    <w:rsid w:val="00FA7EBD"/>
    <w:rsid w:val="00FB0D5C"/>
    <w:rsid w:val="00FB4C5D"/>
    <w:rsid w:val="00FB5E27"/>
    <w:rsid w:val="00FB69D0"/>
    <w:rsid w:val="00FC0168"/>
    <w:rsid w:val="00FC0C5A"/>
    <w:rsid w:val="00FC1D66"/>
    <w:rsid w:val="00FC2C48"/>
    <w:rsid w:val="00FC353F"/>
    <w:rsid w:val="00FC3981"/>
    <w:rsid w:val="00FC412E"/>
    <w:rsid w:val="00FC5670"/>
    <w:rsid w:val="00FC578B"/>
    <w:rsid w:val="00FC583C"/>
    <w:rsid w:val="00FC5846"/>
    <w:rsid w:val="00FC75AE"/>
    <w:rsid w:val="00FD0188"/>
    <w:rsid w:val="00FD1479"/>
    <w:rsid w:val="00FD3431"/>
    <w:rsid w:val="00FD51C7"/>
    <w:rsid w:val="00FD5667"/>
    <w:rsid w:val="00FD5C25"/>
    <w:rsid w:val="00FD66DF"/>
    <w:rsid w:val="00FD6C24"/>
    <w:rsid w:val="00FD6DDB"/>
    <w:rsid w:val="00FD701A"/>
    <w:rsid w:val="00FE0CEC"/>
    <w:rsid w:val="00FE0F15"/>
    <w:rsid w:val="00FE230E"/>
    <w:rsid w:val="00FE35DD"/>
    <w:rsid w:val="00FE371E"/>
    <w:rsid w:val="00FE3862"/>
    <w:rsid w:val="00FE5B6B"/>
    <w:rsid w:val="00FE6A36"/>
    <w:rsid w:val="00FE6B6B"/>
    <w:rsid w:val="00FE74BF"/>
    <w:rsid w:val="00FE768F"/>
    <w:rsid w:val="00FF177B"/>
    <w:rsid w:val="00FF2191"/>
    <w:rsid w:val="00FF252F"/>
    <w:rsid w:val="00FF255D"/>
    <w:rsid w:val="00FF33D3"/>
    <w:rsid w:val="00FF3A92"/>
    <w:rsid w:val="00FF3BE8"/>
    <w:rsid w:val="00FF3D0F"/>
    <w:rsid w:val="00FF66EF"/>
    <w:rsid w:val="00FF6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2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124"/>
    <w:rPr>
      <w:sz w:val="20"/>
      <w:szCs w:val="20"/>
    </w:rPr>
  </w:style>
  <w:style w:type="character" w:styleId="FootnoteReference">
    <w:name w:val="footnote reference"/>
    <w:basedOn w:val="DefaultParagraphFont"/>
    <w:semiHidden/>
    <w:unhideWhenUsed/>
    <w:rsid w:val="00052124"/>
    <w:rPr>
      <w:vertAlign w:val="superscript"/>
    </w:rPr>
  </w:style>
  <w:style w:type="character" w:styleId="Hyperlink">
    <w:name w:val="Hyperlink"/>
    <w:basedOn w:val="DefaultParagraphFont"/>
    <w:uiPriority w:val="99"/>
    <w:unhideWhenUsed/>
    <w:rsid w:val="00052124"/>
    <w:rPr>
      <w:color w:val="0000FF" w:themeColor="hyperlink"/>
      <w:u w:val="single"/>
    </w:rPr>
  </w:style>
  <w:style w:type="paragraph" w:styleId="Header">
    <w:name w:val="header"/>
    <w:basedOn w:val="Normal"/>
    <w:link w:val="HeaderChar"/>
    <w:uiPriority w:val="99"/>
    <w:unhideWhenUsed/>
    <w:rsid w:val="00EB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2CD"/>
  </w:style>
  <w:style w:type="paragraph" w:styleId="Footer">
    <w:name w:val="footer"/>
    <w:basedOn w:val="Normal"/>
    <w:link w:val="FooterChar"/>
    <w:uiPriority w:val="99"/>
    <w:unhideWhenUsed/>
    <w:rsid w:val="00EB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2CD"/>
  </w:style>
  <w:style w:type="character" w:styleId="CommentReference">
    <w:name w:val="annotation reference"/>
    <w:basedOn w:val="DefaultParagraphFont"/>
    <w:uiPriority w:val="99"/>
    <w:semiHidden/>
    <w:unhideWhenUsed/>
    <w:rsid w:val="000C2097"/>
    <w:rPr>
      <w:sz w:val="16"/>
      <w:szCs w:val="16"/>
    </w:rPr>
  </w:style>
  <w:style w:type="paragraph" w:styleId="CommentText">
    <w:name w:val="annotation text"/>
    <w:basedOn w:val="Normal"/>
    <w:link w:val="CommentTextChar"/>
    <w:uiPriority w:val="99"/>
    <w:semiHidden/>
    <w:unhideWhenUsed/>
    <w:rsid w:val="000C2097"/>
    <w:pPr>
      <w:spacing w:line="240" w:lineRule="auto"/>
    </w:pPr>
    <w:rPr>
      <w:sz w:val="20"/>
      <w:szCs w:val="20"/>
    </w:rPr>
  </w:style>
  <w:style w:type="character" w:customStyle="1" w:styleId="CommentTextChar">
    <w:name w:val="Comment Text Char"/>
    <w:basedOn w:val="DefaultParagraphFont"/>
    <w:link w:val="CommentText"/>
    <w:uiPriority w:val="99"/>
    <w:semiHidden/>
    <w:rsid w:val="000C2097"/>
    <w:rPr>
      <w:sz w:val="20"/>
      <w:szCs w:val="20"/>
    </w:rPr>
  </w:style>
  <w:style w:type="paragraph" w:styleId="CommentSubject">
    <w:name w:val="annotation subject"/>
    <w:basedOn w:val="CommentText"/>
    <w:next w:val="CommentText"/>
    <w:link w:val="CommentSubjectChar"/>
    <w:uiPriority w:val="99"/>
    <w:semiHidden/>
    <w:unhideWhenUsed/>
    <w:rsid w:val="000C2097"/>
    <w:rPr>
      <w:b/>
      <w:bCs/>
    </w:rPr>
  </w:style>
  <w:style w:type="character" w:customStyle="1" w:styleId="CommentSubjectChar">
    <w:name w:val="Comment Subject Char"/>
    <w:basedOn w:val="CommentTextChar"/>
    <w:link w:val="CommentSubject"/>
    <w:uiPriority w:val="99"/>
    <w:semiHidden/>
    <w:rsid w:val="000C2097"/>
    <w:rPr>
      <w:b/>
      <w:bCs/>
      <w:sz w:val="20"/>
      <w:szCs w:val="20"/>
    </w:rPr>
  </w:style>
  <w:style w:type="paragraph" w:styleId="BalloonText">
    <w:name w:val="Balloon Text"/>
    <w:basedOn w:val="Normal"/>
    <w:link w:val="BalloonTextChar"/>
    <w:uiPriority w:val="99"/>
    <w:semiHidden/>
    <w:unhideWhenUsed/>
    <w:rsid w:val="000C2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097"/>
    <w:rPr>
      <w:rFonts w:ascii="Tahoma" w:hAnsi="Tahoma" w:cs="Tahoma"/>
      <w:sz w:val="16"/>
      <w:szCs w:val="16"/>
    </w:rPr>
  </w:style>
  <w:style w:type="paragraph" w:styleId="EndnoteText">
    <w:name w:val="endnote text"/>
    <w:basedOn w:val="Normal"/>
    <w:link w:val="EndnoteTextChar"/>
    <w:uiPriority w:val="99"/>
    <w:semiHidden/>
    <w:unhideWhenUsed/>
    <w:rsid w:val="003351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51DA"/>
    <w:rPr>
      <w:sz w:val="20"/>
      <w:szCs w:val="20"/>
    </w:rPr>
  </w:style>
  <w:style w:type="character" w:styleId="EndnoteReference">
    <w:name w:val="endnote reference"/>
    <w:basedOn w:val="DefaultParagraphFont"/>
    <w:uiPriority w:val="99"/>
    <w:semiHidden/>
    <w:unhideWhenUsed/>
    <w:rsid w:val="003351DA"/>
    <w:rPr>
      <w:vertAlign w:val="superscript"/>
    </w:rPr>
  </w:style>
  <w:style w:type="character" w:styleId="FollowedHyperlink">
    <w:name w:val="FollowedHyperlink"/>
    <w:basedOn w:val="DefaultParagraphFont"/>
    <w:uiPriority w:val="99"/>
    <w:semiHidden/>
    <w:unhideWhenUsed/>
    <w:rsid w:val="002A0A0A"/>
    <w:rPr>
      <w:color w:val="800080" w:themeColor="followedHyperlink"/>
      <w:u w:val="single"/>
    </w:rPr>
  </w:style>
  <w:style w:type="character" w:customStyle="1" w:styleId="hps">
    <w:name w:val="hps"/>
    <w:basedOn w:val="DefaultParagraphFont"/>
    <w:rsid w:val="00E02D2C"/>
  </w:style>
  <w:style w:type="character" w:customStyle="1" w:styleId="at91">
    <w:name w:val="a__t91"/>
    <w:basedOn w:val="DefaultParagraphFont"/>
    <w:rsid w:val="002A6F16"/>
    <w:rPr>
      <w:i/>
      <w:iCs/>
    </w:rPr>
  </w:style>
  <w:style w:type="character" w:styleId="Strong">
    <w:name w:val="Strong"/>
    <w:basedOn w:val="DefaultParagraphFont"/>
    <w:uiPriority w:val="22"/>
    <w:qFormat/>
    <w:rsid w:val="00B56F6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21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124"/>
    <w:rPr>
      <w:sz w:val="20"/>
      <w:szCs w:val="20"/>
    </w:rPr>
  </w:style>
  <w:style w:type="character" w:styleId="FootnoteReference">
    <w:name w:val="footnote reference"/>
    <w:basedOn w:val="DefaultParagraphFont"/>
    <w:semiHidden/>
    <w:unhideWhenUsed/>
    <w:rsid w:val="00052124"/>
    <w:rPr>
      <w:vertAlign w:val="superscript"/>
    </w:rPr>
  </w:style>
  <w:style w:type="character" w:styleId="Hyperlink">
    <w:name w:val="Hyperlink"/>
    <w:basedOn w:val="DefaultParagraphFont"/>
    <w:uiPriority w:val="99"/>
    <w:unhideWhenUsed/>
    <w:rsid w:val="00052124"/>
    <w:rPr>
      <w:color w:val="0000FF" w:themeColor="hyperlink"/>
      <w:u w:val="single"/>
    </w:rPr>
  </w:style>
  <w:style w:type="paragraph" w:styleId="Header">
    <w:name w:val="header"/>
    <w:basedOn w:val="Normal"/>
    <w:link w:val="HeaderChar"/>
    <w:uiPriority w:val="99"/>
    <w:unhideWhenUsed/>
    <w:rsid w:val="00EB12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2CD"/>
  </w:style>
  <w:style w:type="paragraph" w:styleId="Footer">
    <w:name w:val="footer"/>
    <w:basedOn w:val="Normal"/>
    <w:link w:val="FooterChar"/>
    <w:uiPriority w:val="99"/>
    <w:unhideWhenUsed/>
    <w:rsid w:val="00EB12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2CD"/>
  </w:style>
  <w:style w:type="character" w:styleId="CommentReference">
    <w:name w:val="annotation reference"/>
    <w:basedOn w:val="DefaultParagraphFont"/>
    <w:uiPriority w:val="99"/>
    <w:semiHidden/>
    <w:unhideWhenUsed/>
    <w:rsid w:val="000C2097"/>
    <w:rPr>
      <w:sz w:val="16"/>
      <w:szCs w:val="16"/>
    </w:rPr>
  </w:style>
  <w:style w:type="paragraph" w:styleId="CommentText">
    <w:name w:val="annotation text"/>
    <w:basedOn w:val="Normal"/>
    <w:link w:val="CommentTextChar"/>
    <w:uiPriority w:val="99"/>
    <w:semiHidden/>
    <w:unhideWhenUsed/>
    <w:rsid w:val="000C2097"/>
    <w:pPr>
      <w:spacing w:line="240" w:lineRule="auto"/>
    </w:pPr>
    <w:rPr>
      <w:sz w:val="20"/>
      <w:szCs w:val="20"/>
    </w:rPr>
  </w:style>
  <w:style w:type="character" w:customStyle="1" w:styleId="CommentTextChar">
    <w:name w:val="Comment Text Char"/>
    <w:basedOn w:val="DefaultParagraphFont"/>
    <w:link w:val="CommentText"/>
    <w:uiPriority w:val="99"/>
    <w:semiHidden/>
    <w:rsid w:val="000C2097"/>
    <w:rPr>
      <w:sz w:val="20"/>
      <w:szCs w:val="20"/>
    </w:rPr>
  </w:style>
  <w:style w:type="paragraph" w:styleId="CommentSubject">
    <w:name w:val="annotation subject"/>
    <w:basedOn w:val="CommentText"/>
    <w:next w:val="CommentText"/>
    <w:link w:val="CommentSubjectChar"/>
    <w:uiPriority w:val="99"/>
    <w:semiHidden/>
    <w:unhideWhenUsed/>
    <w:rsid w:val="000C2097"/>
    <w:rPr>
      <w:b/>
      <w:bCs/>
    </w:rPr>
  </w:style>
  <w:style w:type="character" w:customStyle="1" w:styleId="CommentSubjectChar">
    <w:name w:val="Comment Subject Char"/>
    <w:basedOn w:val="CommentTextChar"/>
    <w:link w:val="CommentSubject"/>
    <w:uiPriority w:val="99"/>
    <w:semiHidden/>
    <w:rsid w:val="000C2097"/>
    <w:rPr>
      <w:b/>
      <w:bCs/>
      <w:sz w:val="20"/>
      <w:szCs w:val="20"/>
    </w:rPr>
  </w:style>
  <w:style w:type="paragraph" w:styleId="BalloonText">
    <w:name w:val="Balloon Text"/>
    <w:basedOn w:val="Normal"/>
    <w:link w:val="BalloonTextChar"/>
    <w:uiPriority w:val="99"/>
    <w:semiHidden/>
    <w:unhideWhenUsed/>
    <w:rsid w:val="000C2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097"/>
    <w:rPr>
      <w:rFonts w:ascii="Tahoma" w:hAnsi="Tahoma" w:cs="Tahoma"/>
      <w:sz w:val="16"/>
      <w:szCs w:val="16"/>
    </w:rPr>
  </w:style>
  <w:style w:type="paragraph" w:styleId="EndnoteText">
    <w:name w:val="endnote text"/>
    <w:basedOn w:val="Normal"/>
    <w:link w:val="EndnoteTextChar"/>
    <w:uiPriority w:val="99"/>
    <w:semiHidden/>
    <w:unhideWhenUsed/>
    <w:rsid w:val="003351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51DA"/>
    <w:rPr>
      <w:sz w:val="20"/>
      <w:szCs w:val="20"/>
    </w:rPr>
  </w:style>
  <w:style w:type="character" w:styleId="EndnoteReference">
    <w:name w:val="endnote reference"/>
    <w:basedOn w:val="DefaultParagraphFont"/>
    <w:uiPriority w:val="99"/>
    <w:semiHidden/>
    <w:unhideWhenUsed/>
    <w:rsid w:val="003351DA"/>
    <w:rPr>
      <w:vertAlign w:val="superscript"/>
    </w:rPr>
  </w:style>
  <w:style w:type="character" w:styleId="FollowedHyperlink">
    <w:name w:val="FollowedHyperlink"/>
    <w:basedOn w:val="DefaultParagraphFont"/>
    <w:uiPriority w:val="99"/>
    <w:semiHidden/>
    <w:unhideWhenUsed/>
    <w:rsid w:val="002A0A0A"/>
    <w:rPr>
      <w:color w:val="800080" w:themeColor="followedHyperlink"/>
      <w:u w:val="single"/>
    </w:rPr>
  </w:style>
  <w:style w:type="character" w:customStyle="1" w:styleId="hps">
    <w:name w:val="hps"/>
    <w:basedOn w:val="DefaultParagraphFont"/>
    <w:rsid w:val="00E02D2C"/>
  </w:style>
  <w:style w:type="character" w:customStyle="1" w:styleId="at91">
    <w:name w:val="a__t91"/>
    <w:basedOn w:val="DefaultParagraphFont"/>
    <w:rsid w:val="002A6F16"/>
    <w:rPr>
      <w:i/>
      <w:iCs/>
    </w:rPr>
  </w:style>
  <w:style w:type="character" w:styleId="Strong">
    <w:name w:val="Strong"/>
    <w:basedOn w:val="DefaultParagraphFont"/>
    <w:uiPriority w:val="22"/>
    <w:qFormat/>
    <w:rsid w:val="00B56F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cao.int/about-icao/Pages/Strategic-Objectives.aspx" TargetMode="External"/><Relationship Id="rId13" Type="http://schemas.openxmlformats.org/officeDocument/2006/relationships/hyperlink" Target="http://www.icao.int/Meetings/a38/Pages/resolutions.aspx" TargetMode="External"/><Relationship Id="rId3" Type="http://schemas.openxmlformats.org/officeDocument/2006/relationships/hyperlink" Target="http://ec.europa.eu/competition/elojade/isef/case_details.cfm?proc_code=3_N438_2002" TargetMode="External"/><Relationship Id="rId7" Type="http://schemas.openxmlformats.org/officeDocument/2006/relationships/hyperlink" Target="http://www.acs-aec.org/sites/default/files/Final_ATA_En.pdf" TargetMode="External"/><Relationship Id="rId12" Type="http://schemas.openxmlformats.org/officeDocument/2006/relationships/hyperlink" Target="http://www.icao.int/Meetings/AMC/Assembly37/Working%20Papers%20by%20Number/wp190_en.pdf" TargetMode="External"/><Relationship Id="rId2" Type="http://schemas.openxmlformats.org/officeDocument/2006/relationships/hyperlink" Target="http://www.icao.int/Meetings/a38/Pages/resolutions.aspx" TargetMode="External"/><Relationship Id="rId1" Type="http://schemas.openxmlformats.org/officeDocument/2006/relationships/hyperlink" Target="http://www.icao.int/publications/pages/doc7300.aspx" TargetMode="External"/><Relationship Id="rId6" Type="http://schemas.openxmlformats.org/officeDocument/2006/relationships/hyperlink" Target="http://www.icao.int/Meetings/a38/Pages/resolutions.aspx" TargetMode="External"/><Relationship Id="rId11" Type="http://schemas.openxmlformats.org/officeDocument/2006/relationships/hyperlink" Target="http://www.iata.org/policy/liberalization/agenda-freedom/pages/index.aspx" TargetMode="External"/><Relationship Id="rId5" Type="http://schemas.openxmlformats.org/officeDocument/2006/relationships/hyperlink" Target="http://www.icao.int/publications/pages/doc7300.aspx" TargetMode="External"/><Relationship Id="rId15" Type="http://schemas.openxmlformats.org/officeDocument/2006/relationships/hyperlink" Target="http://www.eeas.europa.eu/delegations/rome/eu_united_nations/work_with_fao/ec_status_fao/index_en.htm" TargetMode="External"/><Relationship Id="rId10" Type="http://schemas.openxmlformats.org/officeDocument/2006/relationships/hyperlink" Target="http://www.iata.org/policy/liberalization/agenda-freedom/pages/index.aspx" TargetMode="External"/><Relationship Id="rId4" Type="http://schemas.openxmlformats.org/officeDocument/2006/relationships/hyperlink" Target="http://www.worldlii.org/int/other/LNTSer/1922/99.html" TargetMode="External"/><Relationship Id="rId9" Type="http://schemas.openxmlformats.org/officeDocument/2006/relationships/hyperlink" Target="http://www.state.gov/e/eb/rls/othr/ata/k/ks/index.htm" TargetMode="External"/><Relationship Id="rId14" Type="http://schemas.openxmlformats.org/officeDocument/2006/relationships/hyperlink" Target="http://www.asean.org/archive/transport/Air%20Transport%20Agreement%20between%20ASEAN+Chi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DB23-30F4-456D-A4D2-0134502A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7755</Words>
  <Characters>44208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Antigoni Lykotrafiti</dc:creator>
  <cp:lastModifiedBy>Antigoni Lykotrafiti</cp:lastModifiedBy>
  <cp:revision>2</cp:revision>
  <dcterms:created xsi:type="dcterms:W3CDTF">2014-11-04T22:59:00Z</dcterms:created>
  <dcterms:modified xsi:type="dcterms:W3CDTF">2014-11-04T22:59:00Z</dcterms:modified>
</cp:coreProperties>
</file>