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F29" w:rsidRPr="00A14F11" w:rsidRDefault="00E32F29" w:rsidP="00E32F29">
      <w:pPr>
        <w:spacing w:line="360" w:lineRule="auto"/>
        <w:jc w:val="both"/>
        <w:rPr>
          <w:rFonts w:ascii="Arial" w:hAnsi="Arial" w:cs="Arial"/>
          <w:b/>
          <w:szCs w:val="22"/>
        </w:rPr>
      </w:pPr>
      <w:bookmarkStart w:id="0" w:name="_GoBack"/>
      <w:bookmarkEnd w:id="0"/>
      <w:r w:rsidRPr="00A14F11">
        <w:rPr>
          <w:rFonts w:ascii="Arial" w:hAnsi="Arial" w:cs="Arial"/>
          <w:b/>
          <w:szCs w:val="22"/>
        </w:rPr>
        <w:t>Reputations at stake – The German Federal Court’s decision concerning Google’s liability for autocomplete suggestions in the international context</w:t>
      </w:r>
    </w:p>
    <w:p w:rsidR="00E32F29" w:rsidRPr="00A14F11" w:rsidRDefault="00E32F29" w:rsidP="00E32F29">
      <w:pPr>
        <w:spacing w:line="360" w:lineRule="auto"/>
        <w:jc w:val="both"/>
        <w:rPr>
          <w:rFonts w:ascii="Arial" w:hAnsi="Arial" w:cs="Arial"/>
          <w:szCs w:val="22"/>
        </w:rPr>
      </w:pPr>
      <w:r w:rsidRPr="008662A1">
        <w:rPr>
          <w:rFonts w:ascii="Arial" w:hAnsi="Arial" w:cs="Arial"/>
          <w:i/>
          <w:szCs w:val="22"/>
        </w:rPr>
        <w:t>Dr.</w:t>
      </w:r>
      <w:r w:rsidR="00833174" w:rsidRPr="008662A1">
        <w:rPr>
          <w:rFonts w:ascii="Arial" w:hAnsi="Arial" w:cs="Arial"/>
          <w:i/>
          <w:szCs w:val="22"/>
        </w:rPr>
        <w:t xml:space="preserve"> Corinna Coors</w:t>
      </w:r>
      <w:r w:rsidR="00833174" w:rsidRPr="00A14F11">
        <w:rPr>
          <w:rFonts w:ascii="Arial" w:hAnsi="Arial" w:cs="Arial"/>
          <w:szCs w:val="22"/>
        </w:rPr>
        <w:t>*</w:t>
      </w:r>
    </w:p>
    <w:p w:rsidR="00833174" w:rsidRPr="00A14F11" w:rsidRDefault="00833174" w:rsidP="00E32F29">
      <w:pPr>
        <w:spacing w:line="360" w:lineRule="auto"/>
        <w:jc w:val="both"/>
        <w:rPr>
          <w:rFonts w:ascii="Arial" w:hAnsi="Arial" w:cs="Arial"/>
          <w:szCs w:val="22"/>
        </w:rPr>
      </w:pPr>
    </w:p>
    <w:p w:rsidR="00E32F29" w:rsidRPr="00A14F11" w:rsidRDefault="00E32F29" w:rsidP="00A24CC6">
      <w:pPr>
        <w:spacing w:line="360" w:lineRule="auto"/>
        <w:jc w:val="both"/>
        <w:rPr>
          <w:rFonts w:ascii="Arial" w:hAnsi="Arial" w:cs="Arial"/>
          <w:szCs w:val="22"/>
        </w:rPr>
      </w:pPr>
      <w:r w:rsidRPr="00A14F11">
        <w:rPr>
          <w:rFonts w:ascii="Arial" w:hAnsi="Arial" w:cs="Arial"/>
          <w:szCs w:val="22"/>
        </w:rPr>
        <w:t>There is an increasing interest among scholars in the German Right of Personality going back to the important Princess Caroline of Hanover case in which the European Court of Human Rights (</w:t>
      </w:r>
      <w:r w:rsidRPr="00A14F11">
        <w:rPr>
          <w:rFonts w:ascii="Arial" w:hAnsi="Arial" w:cs="Arial"/>
          <w:i/>
          <w:szCs w:val="22"/>
        </w:rPr>
        <w:t>ECHR</w:t>
      </w:r>
      <w:r w:rsidRPr="00A14F11">
        <w:rPr>
          <w:rFonts w:ascii="Arial" w:hAnsi="Arial" w:cs="Arial"/>
          <w:szCs w:val="22"/>
        </w:rPr>
        <w:t>) held that respect for the pr</w:t>
      </w:r>
      <w:r w:rsidR="00F2071E">
        <w:rPr>
          <w:rFonts w:ascii="Arial" w:hAnsi="Arial" w:cs="Arial"/>
          <w:szCs w:val="22"/>
        </w:rPr>
        <w:t xml:space="preserve">ivate life of Princess Caroline </w:t>
      </w:r>
      <w:r w:rsidRPr="00A14F11">
        <w:rPr>
          <w:rFonts w:ascii="Arial" w:hAnsi="Arial" w:cs="Arial"/>
          <w:szCs w:val="22"/>
        </w:rPr>
        <w:t>was breached by photographs of scenes from her daily life.</w:t>
      </w:r>
      <w:r w:rsidRPr="00A14F11">
        <w:rPr>
          <w:rStyle w:val="FootnoteReference"/>
          <w:rFonts w:ascii="Arial" w:hAnsi="Arial" w:cs="Arial"/>
          <w:szCs w:val="22"/>
        </w:rPr>
        <w:footnoteReference w:id="1"/>
      </w:r>
      <w:r w:rsidRPr="00A14F11">
        <w:rPr>
          <w:rFonts w:ascii="Arial" w:hAnsi="Arial" w:cs="Arial"/>
          <w:szCs w:val="22"/>
        </w:rPr>
        <w:t xml:space="preserve"> The digital era poses </w:t>
      </w:r>
      <w:r w:rsidRPr="00A14F11">
        <w:rPr>
          <w:rFonts w:ascii="Arial" w:hAnsi="Arial" w:cs="Arial"/>
          <w:iCs/>
          <w:szCs w:val="22"/>
        </w:rPr>
        <w:t>new challenges for the German courts</w:t>
      </w:r>
      <w:r w:rsidRPr="00A14F11">
        <w:rPr>
          <w:rFonts w:ascii="Arial" w:hAnsi="Arial" w:cs="Arial"/>
          <w:szCs w:val="22"/>
        </w:rPr>
        <w:t>: photos, images and potentially damaging defamatory reports can be quickly reproduced, manipulated or uploaded on the Internet which have the potential to infringe the personality rights of the depicted person. Even internet search machines may invade a person’s personality right</w:t>
      </w:r>
      <w:r w:rsidR="00BB7F67" w:rsidRPr="00A14F11">
        <w:rPr>
          <w:rFonts w:ascii="Arial" w:hAnsi="Arial" w:cs="Arial"/>
          <w:szCs w:val="22"/>
        </w:rPr>
        <w:t>,</w:t>
      </w:r>
      <w:r w:rsidRPr="00A14F11">
        <w:rPr>
          <w:rFonts w:ascii="Arial" w:hAnsi="Arial" w:cs="Arial"/>
          <w:szCs w:val="22"/>
        </w:rPr>
        <w:t xml:space="preserve"> as recently held by the German Federal Court (</w:t>
      </w:r>
      <w:r w:rsidRPr="00A14F11">
        <w:rPr>
          <w:rStyle w:val="sb8d990e2"/>
          <w:rFonts w:ascii="Arial" w:hAnsi="Arial" w:cs="Arial"/>
          <w:i/>
          <w:szCs w:val="22"/>
        </w:rPr>
        <w:t>Bundesgerichtshof – BGH</w:t>
      </w:r>
      <w:r w:rsidRPr="00A14F11">
        <w:rPr>
          <w:rFonts w:ascii="Arial" w:hAnsi="Arial" w:cs="Arial"/>
          <w:szCs w:val="22"/>
        </w:rPr>
        <w:t>) in a landmark case where Google’s autocomplete function added terms like “Scientology” or “fraud” to the plaintiff’s name when entered in the Google search engine.</w:t>
      </w:r>
      <w:r w:rsidRPr="00A14F11">
        <w:rPr>
          <w:rStyle w:val="FootnoteReference"/>
          <w:rFonts w:ascii="Arial" w:hAnsi="Arial" w:cs="Arial"/>
          <w:szCs w:val="22"/>
        </w:rPr>
        <w:footnoteReference w:id="2"/>
      </w:r>
      <w:r w:rsidRPr="00A14F11">
        <w:rPr>
          <w:rFonts w:ascii="Arial" w:hAnsi="Arial" w:cs="Arial"/>
          <w:szCs w:val="22"/>
        </w:rPr>
        <w:t xml:space="preserve"> In another pending case the f</w:t>
      </w:r>
      <w:r w:rsidRPr="00A14F11">
        <w:rPr>
          <w:rStyle w:val="Strong"/>
          <w:rFonts w:ascii="Arial" w:hAnsi="Arial" w:cs="Arial"/>
          <w:b w:val="0"/>
          <w:szCs w:val="22"/>
        </w:rPr>
        <w:t>ormer German first lady</w:t>
      </w:r>
      <w:r w:rsidR="00F2071E">
        <w:rPr>
          <w:rStyle w:val="Strong"/>
          <w:rFonts w:ascii="Arial" w:hAnsi="Arial" w:cs="Arial"/>
          <w:b w:val="0"/>
          <w:szCs w:val="22"/>
        </w:rPr>
        <w:t>,</w:t>
      </w:r>
      <w:r w:rsidRPr="00A14F11">
        <w:rPr>
          <w:rStyle w:val="Strong"/>
          <w:rFonts w:ascii="Arial" w:hAnsi="Arial" w:cs="Arial"/>
          <w:b w:val="0"/>
          <w:szCs w:val="22"/>
        </w:rPr>
        <w:t xml:space="preserve"> Bettina Wulff</w:t>
      </w:r>
      <w:r w:rsidR="00F2071E">
        <w:rPr>
          <w:rStyle w:val="Strong"/>
          <w:rFonts w:ascii="Arial" w:hAnsi="Arial" w:cs="Arial"/>
          <w:b w:val="0"/>
          <w:szCs w:val="22"/>
        </w:rPr>
        <w:t xml:space="preserve">, - </w:t>
      </w:r>
      <w:r w:rsidRPr="00A14F11">
        <w:rPr>
          <w:rFonts w:ascii="Arial" w:hAnsi="Arial" w:cs="Arial"/>
          <w:szCs w:val="22"/>
        </w:rPr>
        <w:t>is suing</w:t>
      </w:r>
      <w:r w:rsidRPr="00A14F11">
        <w:rPr>
          <w:rFonts w:ascii="Arial" w:hAnsi="Arial" w:cs="Arial"/>
          <w:b/>
          <w:szCs w:val="22"/>
        </w:rPr>
        <w:t xml:space="preserve"> </w:t>
      </w:r>
      <w:r w:rsidRPr="00A14F11">
        <w:rPr>
          <w:rStyle w:val="Strong"/>
          <w:rFonts w:ascii="Arial" w:hAnsi="Arial" w:cs="Arial"/>
          <w:b w:val="0"/>
          <w:szCs w:val="22"/>
        </w:rPr>
        <w:t xml:space="preserve">Google over search terms that link her name to false rumours that she </w:t>
      </w:r>
      <w:r w:rsidRPr="00A14F11">
        <w:rPr>
          <w:rStyle w:val="Strong"/>
          <w:rFonts w:ascii="Arial" w:hAnsi="Arial" w:cs="Arial"/>
          <w:b w:val="0"/>
          <w:szCs w:val="22"/>
        </w:rPr>
        <w:lastRenderedPageBreak/>
        <w:t>used to be a prostitute</w:t>
      </w:r>
      <w:r w:rsidRPr="00A14F11">
        <w:rPr>
          <w:rStyle w:val="Strong"/>
          <w:rFonts w:ascii="Arial" w:hAnsi="Arial" w:cs="Arial"/>
          <w:szCs w:val="22"/>
        </w:rPr>
        <w:t>.</w:t>
      </w:r>
      <w:r w:rsidRPr="00A14F11">
        <w:rPr>
          <w:rStyle w:val="FootnoteReference"/>
          <w:rFonts w:ascii="Arial" w:hAnsi="Arial" w:cs="Arial"/>
          <w:bCs/>
          <w:szCs w:val="22"/>
        </w:rPr>
        <w:footnoteReference w:id="3"/>
      </w:r>
      <w:r w:rsidRPr="00A14F11">
        <w:rPr>
          <w:rStyle w:val="Strong"/>
          <w:rFonts w:ascii="Arial" w:hAnsi="Arial" w:cs="Arial"/>
          <w:szCs w:val="22"/>
        </w:rPr>
        <w:t xml:space="preserve"> </w:t>
      </w:r>
      <w:r w:rsidRPr="00A14F11">
        <w:rPr>
          <w:rFonts w:ascii="Arial" w:hAnsi="Arial" w:cs="Arial"/>
          <w:szCs w:val="22"/>
        </w:rPr>
        <w:t>This note discusses the recent Google decision of the BGH on the liability of Internet host providers and compares it to recent case law in other jurisdictions. It will be demonstrated that, whilst many jurisdictions are still hesitant to award damages, national courts are increasingly recognising an Online Service Provider’s (OSP’s) duty to examine the search results for potential infringements of third party rights</w:t>
      </w:r>
      <w:r w:rsidR="00BB7F67" w:rsidRPr="00A14F11">
        <w:rPr>
          <w:rFonts w:ascii="Arial" w:hAnsi="Arial" w:cs="Arial"/>
          <w:szCs w:val="22"/>
        </w:rPr>
        <w:t>,</w:t>
      </w:r>
      <w:r w:rsidRPr="00A14F11">
        <w:rPr>
          <w:rFonts w:ascii="Arial" w:hAnsi="Arial" w:cs="Arial"/>
          <w:szCs w:val="22"/>
        </w:rPr>
        <w:t xml:space="preserve"> if and when the OSP becomes aware of a violation of third party rights. </w:t>
      </w:r>
      <w:r w:rsidRPr="00A14F11">
        <w:rPr>
          <w:rStyle w:val="Emphasis"/>
          <w:rFonts w:ascii="Arial" w:hAnsi="Arial" w:cs="Arial"/>
          <w:i w:val="0"/>
          <w:szCs w:val="22"/>
        </w:rPr>
        <w:t>In order to strengthen the protection of the defamed party</w:t>
      </w:r>
      <w:r w:rsidRPr="00A14F11">
        <w:rPr>
          <w:rFonts w:ascii="Arial" w:hAnsi="Arial" w:cs="Arial"/>
          <w:szCs w:val="22"/>
        </w:rPr>
        <w:t xml:space="preserve">, it is, however, recommended that an online operator’s duty to prevent further infringements should begin at an earlier point in time, namely once the OSP has had the opportunity to acquire without much difficulty the necessary knowledge and awareness of a potential infringement of personality. </w:t>
      </w:r>
    </w:p>
    <w:p w:rsidR="00E32F29" w:rsidRPr="00A14F11" w:rsidRDefault="00E32F29" w:rsidP="0025778B">
      <w:pPr>
        <w:pStyle w:val="NormalWeb"/>
        <w:spacing w:line="360" w:lineRule="auto"/>
        <w:jc w:val="both"/>
        <w:rPr>
          <w:rFonts w:ascii="Arial" w:hAnsi="Arial" w:cs="Arial"/>
          <w:sz w:val="22"/>
          <w:szCs w:val="22"/>
        </w:rPr>
      </w:pPr>
      <w:r w:rsidRPr="00A14F11">
        <w:rPr>
          <w:rFonts w:ascii="Arial" w:hAnsi="Arial" w:cs="Arial"/>
          <w:b/>
          <w:sz w:val="22"/>
          <w:szCs w:val="22"/>
        </w:rPr>
        <w:t>Elements of the German right of personality</w:t>
      </w:r>
    </w:p>
    <w:p w:rsidR="0047444F" w:rsidRPr="00A14F11" w:rsidRDefault="00E32F29" w:rsidP="00A14F1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Fonts w:ascii="Arial" w:hAnsi="Arial" w:cs="Arial"/>
          <w:b/>
          <w:szCs w:val="22"/>
          <w:lang w:eastAsia="en-GB"/>
        </w:rPr>
      </w:pPr>
      <w:r w:rsidRPr="00A14F11">
        <w:rPr>
          <w:rFonts w:ascii="Arial" w:hAnsi="Arial" w:cs="Arial"/>
          <w:szCs w:val="22"/>
        </w:rPr>
        <w:t>In Germany, a general right of personality has been recognised in the case law of the BGH since 1954 as a basic right constitutionally guaranteed by Arts 1 (1) and 2 (1) of the Basic Law (</w:t>
      </w:r>
      <w:r w:rsidRPr="00A14F11">
        <w:rPr>
          <w:rFonts w:ascii="Arial" w:hAnsi="Arial" w:cs="Arial"/>
          <w:i/>
          <w:szCs w:val="22"/>
        </w:rPr>
        <w:t>Grundgesetz</w:t>
      </w:r>
      <w:r w:rsidRPr="00A14F11">
        <w:rPr>
          <w:rFonts w:ascii="Arial" w:hAnsi="Arial" w:cs="Arial"/>
          <w:szCs w:val="22"/>
        </w:rPr>
        <w:t xml:space="preserve"> -  </w:t>
      </w:r>
      <w:r w:rsidRPr="00A14F11">
        <w:rPr>
          <w:rFonts w:ascii="Arial" w:hAnsi="Arial" w:cs="Arial"/>
          <w:i/>
          <w:szCs w:val="22"/>
        </w:rPr>
        <w:t>GG</w:t>
      </w:r>
      <w:r w:rsidRPr="00A14F11">
        <w:rPr>
          <w:rFonts w:ascii="Arial" w:hAnsi="Arial" w:cs="Arial"/>
          <w:szCs w:val="22"/>
        </w:rPr>
        <w:t>)</w:t>
      </w:r>
      <w:r w:rsidRPr="00A14F11">
        <w:rPr>
          <w:rStyle w:val="FootnoteReference"/>
          <w:rFonts w:ascii="Arial" w:hAnsi="Arial" w:cs="Arial"/>
          <w:szCs w:val="22"/>
        </w:rPr>
        <w:footnoteReference w:id="4"/>
      </w:r>
      <w:r w:rsidRPr="00A14F11">
        <w:rPr>
          <w:rFonts w:ascii="Arial" w:hAnsi="Arial" w:cs="Arial"/>
          <w:szCs w:val="22"/>
        </w:rPr>
        <w:t xml:space="preserve"> and as an "other right" protected in civil law under ss. 823 (1), 1004 of the Civil Code (</w:t>
      </w:r>
      <w:r w:rsidRPr="00A14F11">
        <w:rPr>
          <w:rFonts w:ascii="Arial" w:hAnsi="Arial" w:cs="Arial"/>
          <w:i/>
          <w:szCs w:val="22"/>
        </w:rPr>
        <w:t>Buergerliches Gesetzbuch - BGB</w:t>
      </w:r>
      <w:r w:rsidRPr="00A14F11">
        <w:rPr>
          <w:rFonts w:ascii="Arial" w:hAnsi="Arial" w:cs="Arial"/>
          <w:szCs w:val="22"/>
        </w:rPr>
        <w:t>).</w:t>
      </w:r>
      <w:r w:rsidRPr="00A14F11">
        <w:rPr>
          <w:rStyle w:val="FootnoteReference"/>
          <w:rFonts w:ascii="Arial" w:hAnsi="Arial" w:cs="Arial"/>
          <w:szCs w:val="22"/>
        </w:rPr>
        <w:footnoteReference w:id="5"/>
      </w:r>
      <w:r w:rsidRPr="00A14F11">
        <w:rPr>
          <w:rFonts w:ascii="Arial" w:hAnsi="Arial" w:cs="Arial"/>
          <w:szCs w:val="22"/>
        </w:rPr>
        <w:t xml:space="preserve"> The fundamental right guarantees the protection of human dignity and the right to free development of the personality. The Federal Constitutional Court (</w:t>
      </w:r>
      <w:r w:rsidRPr="00A14F11">
        <w:rPr>
          <w:rFonts w:ascii="Arial" w:hAnsi="Arial" w:cs="Arial"/>
          <w:i/>
          <w:szCs w:val="22"/>
        </w:rPr>
        <w:t>Bundesverfassungsgericht – BVerfG</w:t>
      </w:r>
      <w:r w:rsidRPr="00A14F11">
        <w:rPr>
          <w:rFonts w:ascii="Arial" w:hAnsi="Arial" w:cs="Arial"/>
          <w:szCs w:val="22"/>
        </w:rPr>
        <w:t xml:space="preserve">) has clarified that the personality right may include different aspects: in particular the guarantee of privacy and the protection of the right to one’s own image (ss. 22 ff.  Art Copyright Act – </w:t>
      </w:r>
      <w:r w:rsidRPr="00A14F11">
        <w:rPr>
          <w:rFonts w:ascii="Arial" w:hAnsi="Arial" w:cs="Arial"/>
          <w:i/>
          <w:szCs w:val="22"/>
        </w:rPr>
        <w:t>Kunsturhebergesetz - KUG</w:t>
      </w:r>
      <w:r w:rsidR="00BB6338" w:rsidRPr="00A14F11">
        <w:rPr>
          <w:rFonts w:ascii="Arial" w:hAnsi="Arial" w:cs="Arial"/>
          <w:szCs w:val="22"/>
        </w:rPr>
        <w:t>).</w:t>
      </w:r>
      <w:r w:rsidRPr="00A14F11">
        <w:rPr>
          <w:rStyle w:val="FootnoteReference"/>
          <w:rFonts w:ascii="Arial" w:hAnsi="Arial" w:cs="Arial"/>
          <w:szCs w:val="22"/>
        </w:rPr>
        <w:footnoteReference w:id="6"/>
      </w:r>
      <w:r w:rsidRPr="00A14F11">
        <w:rPr>
          <w:rFonts w:ascii="Arial" w:hAnsi="Arial" w:cs="Arial"/>
          <w:szCs w:val="22"/>
        </w:rPr>
        <w:t xml:space="preserve"> The two rights are clearly separable and rest on different legal policies:  the right to privacy protects against intrusion upon an individual's private sphere, whilst the image right protects against commercial injury caused by the non-</w:t>
      </w:r>
      <w:r w:rsidRPr="00A14F11">
        <w:rPr>
          <w:rFonts w:ascii="Arial" w:hAnsi="Arial" w:cs="Arial"/>
          <w:szCs w:val="22"/>
        </w:rPr>
        <w:lastRenderedPageBreak/>
        <w:t>consensual commercial appropriation of an individual's personality.</w:t>
      </w:r>
      <w:r w:rsidRPr="00A14F11">
        <w:rPr>
          <w:rStyle w:val="FootnoteReference"/>
          <w:rFonts w:ascii="Arial" w:hAnsi="Arial" w:cs="Arial"/>
          <w:szCs w:val="22"/>
        </w:rPr>
        <w:footnoteReference w:id="7"/>
      </w:r>
      <w:r w:rsidRPr="00A14F11">
        <w:rPr>
          <w:rFonts w:ascii="Arial" w:hAnsi="Arial" w:cs="Arial"/>
          <w:szCs w:val="22"/>
        </w:rPr>
        <w:t xml:space="preserve"> </w:t>
      </w:r>
      <w:r w:rsidR="009C17F3" w:rsidRPr="00A14F11">
        <w:rPr>
          <w:rFonts w:ascii="Arial" w:hAnsi="Arial" w:cs="Arial"/>
          <w:szCs w:val="22"/>
        </w:rPr>
        <w:t xml:space="preserve">The personality right in Arts 1 (1) and 2 (1) of the Basic </w:t>
      </w:r>
      <w:r w:rsidR="00F2071E">
        <w:rPr>
          <w:rFonts w:ascii="Arial" w:hAnsi="Arial" w:cs="Arial"/>
          <w:szCs w:val="22"/>
        </w:rPr>
        <w:t>Law</w:t>
      </w:r>
      <w:r w:rsidR="009C17F3" w:rsidRPr="00A14F11">
        <w:rPr>
          <w:rFonts w:ascii="Arial" w:hAnsi="Arial" w:cs="Arial"/>
          <w:szCs w:val="22"/>
        </w:rPr>
        <w:t xml:space="preserve"> also guarantees protection ag</w:t>
      </w:r>
      <w:r w:rsidR="005F11CB" w:rsidRPr="00A14F11">
        <w:rPr>
          <w:rFonts w:ascii="Arial" w:hAnsi="Arial" w:cs="Arial"/>
          <w:szCs w:val="22"/>
        </w:rPr>
        <w:t>a</w:t>
      </w:r>
      <w:r w:rsidR="009C17F3" w:rsidRPr="00A14F11">
        <w:rPr>
          <w:rFonts w:ascii="Arial" w:hAnsi="Arial" w:cs="Arial"/>
          <w:szCs w:val="22"/>
        </w:rPr>
        <w:t xml:space="preserve">inst untrue assertions and the portrayal of </w:t>
      </w:r>
      <w:r w:rsidR="005F11CB" w:rsidRPr="00A14F11">
        <w:rPr>
          <w:rFonts w:ascii="Arial" w:hAnsi="Arial" w:cs="Arial"/>
          <w:szCs w:val="22"/>
        </w:rPr>
        <w:t xml:space="preserve">a distorted picture of an individual in public. </w:t>
      </w:r>
      <w:r w:rsidR="00583D3D" w:rsidRPr="00A14F11">
        <w:rPr>
          <w:rFonts w:ascii="Arial" w:hAnsi="Arial" w:cs="Arial"/>
          <w:szCs w:val="22"/>
        </w:rPr>
        <w:t xml:space="preserve">In 1958 the BGH held in its </w:t>
      </w:r>
      <w:r w:rsidR="00583D3D" w:rsidRPr="00A14F11">
        <w:rPr>
          <w:rFonts w:ascii="Arial" w:hAnsi="Arial" w:cs="Arial"/>
          <w:i/>
          <w:szCs w:val="22"/>
        </w:rPr>
        <w:t>Herrenreiter</w:t>
      </w:r>
      <w:r w:rsidR="00583D3D" w:rsidRPr="00A14F11">
        <w:rPr>
          <w:rFonts w:ascii="Arial" w:hAnsi="Arial" w:cs="Arial"/>
          <w:szCs w:val="22"/>
        </w:rPr>
        <w:t xml:space="preserve"> decision that </w:t>
      </w:r>
      <w:r w:rsidR="005F11CB" w:rsidRPr="00A14F11">
        <w:rPr>
          <w:rFonts w:ascii="Arial" w:hAnsi="Arial" w:cs="Arial"/>
          <w:szCs w:val="22"/>
        </w:rPr>
        <w:t xml:space="preserve">the personality right </w:t>
      </w:r>
      <w:r w:rsidR="00583D3D" w:rsidRPr="00A14F11">
        <w:rPr>
          <w:rFonts w:ascii="Arial" w:hAnsi="Arial" w:cs="Arial"/>
          <w:szCs w:val="22"/>
        </w:rPr>
        <w:t xml:space="preserve">was seriously injured by an </w:t>
      </w:r>
      <w:r w:rsidR="00595FDE" w:rsidRPr="00A14F11">
        <w:rPr>
          <w:rFonts w:ascii="Arial" w:hAnsi="Arial" w:cs="Arial"/>
          <w:szCs w:val="22"/>
        </w:rPr>
        <w:t>advertisement</w:t>
      </w:r>
      <w:r w:rsidR="0047444F" w:rsidRPr="00A14F11">
        <w:rPr>
          <w:rFonts w:ascii="Arial" w:hAnsi="Arial" w:cs="Arial"/>
          <w:szCs w:val="22"/>
        </w:rPr>
        <w:t>, not only</w:t>
      </w:r>
      <w:r w:rsidR="00595FDE" w:rsidRPr="00A14F11">
        <w:rPr>
          <w:rFonts w:ascii="Arial" w:hAnsi="Arial" w:cs="Arial"/>
          <w:szCs w:val="22"/>
        </w:rPr>
        <w:t xml:space="preserve"> </w:t>
      </w:r>
      <w:r w:rsidR="005F11CB" w:rsidRPr="00A14F11">
        <w:rPr>
          <w:rFonts w:ascii="Arial" w:hAnsi="Arial" w:cs="Arial"/>
          <w:szCs w:val="22"/>
        </w:rPr>
        <w:t xml:space="preserve">because it conveyed </w:t>
      </w:r>
      <w:r w:rsidR="00F2071E">
        <w:rPr>
          <w:rFonts w:ascii="Arial" w:hAnsi="Arial" w:cs="Arial"/>
          <w:szCs w:val="22"/>
        </w:rPr>
        <w:t xml:space="preserve">the </w:t>
      </w:r>
      <w:r w:rsidR="005F11CB" w:rsidRPr="00A14F11">
        <w:rPr>
          <w:rFonts w:ascii="Arial" w:hAnsi="Arial" w:cs="Arial"/>
          <w:szCs w:val="22"/>
        </w:rPr>
        <w:t xml:space="preserve">false impression that the plaintiff had sought to </w:t>
      </w:r>
      <w:r w:rsidR="00187DDD" w:rsidRPr="00A14F11">
        <w:rPr>
          <w:rFonts w:ascii="Arial" w:hAnsi="Arial" w:cs="Arial"/>
          <w:szCs w:val="22"/>
        </w:rPr>
        <w:t>commercialise his</w:t>
      </w:r>
      <w:r w:rsidR="0047444F" w:rsidRPr="00A14F11">
        <w:rPr>
          <w:rFonts w:ascii="Arial" w:hAnsi="Arial" w:cs="Arial"/>
          <w:szCs w:val="22"/>
        </w:rPr>
        <w:t xml:space="preserve"> reputation as a </w:t>
      </w:r>
      <w:r w:rsidR="00F2071E">
        <w:rPr>
          <w:rFonts w:ascii="Arial" w:hAnsi="Arial" w:cs="Arial"/>
          <w:szCs w:val="22"/>
        </w:rPr>
        <w:t xml:space="preserve">sportsman, but also because it </w:t>
      </w:r>
      <w:r w:rsidR="0047444F" w:rsidRPr="00A14F11">
        <w:rPr>
          <w:rFonts w:ascii="Arial" w:hAnsi="Arial" w:cs="Arial"/>
          <w:szCs w:val="22"/>
        </w:rPr>
        <w:t>implied that he needed sexual stimulants.</w:t>
      </w:r>
      <w:r w:rsidR="0047444F" w:rsidRPr="00A14F11">
        <w:rPr>
          <w:rStyle w:val="FootnoteReference"/>
          <w:rFonts w:ascii="Arial" w:hAnsi="Arial" w:cs="Arial"/>
          <w:szCs w:val="22"/>
        </w:rPr>
        <w:footnoteReference w:id="8"/>
      </w:r>
    </w:p>
    <w:p w:rsidR="00E32F29" w:rsidRPr="00A14F11" w:rsidRDefault="00E32F29" w:rsidP="00E32F29">
      <w:pPr>
        <w:pStyle w:val="NormalWeb"/>
        <w:spacing w:line="360" w:lineRule="auto"/>
        <w:rPr>
          <w:rFonts w:ascii="Arial" w:hAnsi="Arial" w:cs="Arial"/>
          <w:b/>
          <w:sz w:val="22"/>
          <w:szCs w:val="22"/>
        </w:rPr>
      </w:pPr>
      <w:r w:rsidRPr="00A14F11">
        <w:rPr>
          <w:rFonts w:ascii="Arial" w:hAnsi="Arial" w:cs="Arial"/>
          <w:b/>
          <w:sz w:val="22"/>
          <w:szCs w:val="22"/>
        </w:rPr>
        <w:t>Duty of online forum operators</w:t>
      </w:r>
    </w:p>
    <w:p w:rsidR="00E32F29" w:rsidRPr="00A14F11" w:rsidRDefault="00E32F29" w:rsidP="00D62FAD">
      <w:pPr>
        <w:pStyle w:val="NormalWeb"/>
        <w:spacing w:line="360" w:lineRule="auto"/>
        <w:jc w:val="both"/>
        <w:rPr>
          <w:rFonts w:ascii="Arial" w:hAnsi="Arial" w:cs="Arial"/>
          <w:sz w:val="22"/>
          <w:szCs w:val="22"/>
        </w:rPr>
      </w:pPr>
      <w:r w:rsidRPr="00A14F11">
        <w:rPr>
          <w:rFonts w:ascii="Arial" w:hAnsi="Arial" w:cs="Arial"/>
          <w:sz w:val="22"/>
          <w:szCs w:val="22"/>
        </w:rPr>
        <w:t xml:space="preserve">As noted above </w:t>
      </w:r>
      <w:r w:rsidRPr="00A14F11">
        <w:rPr>
          <w:rStyle w:val="Emphasis"/>
          <w:rFonts w:ascii="Arial" w:hAnsi="Arial" w:cs="Arial"/>
          <w:i w:val="0"/>
          <w:sz w:val="22"/>
          <w:szCs w:val="22"/>
        </w:rPr>
        <w:t>the BGH in a recent judgment</w:t>
      </w:r>
      <w:r w:rsidRPr="00A14F11">
        <w:rPr>
          <w:rStyle w:val="Emphasis"/>
          <w:rFonts w:ascii="Arial" w:hAnsi="Arial" w:cs="Arial"/>
          <w:sz w:val="22"/>
          <w:szCs w:val="22"/>
        </w:rPr>
        <w:t xml:space="preserve"> </w:t>
      </w:r>
      <w:r w:rsidRPr="00A14F11">
        <w:rPr>
          <w:rFonts w:ascii="Arial" w:hAnsi="Arial" w:cs="Arial"/>
          <w:sz w:val="22"/>
          <w:szCs w:val="22"/>
        </w:rPr>
        <w:t>held Google responsible for the publication of autocomplete results that suggested “fraud” or “Scientology” as additional search terms when the claimants’ names were searched.</w:t>
      </w:r>
      <w:r w:rsidRPr="00A14F11">
        <w:rPr>
          <w:rStyle w:val="FootnoteReference"/>
          <w:rFonts w:ascii="Arial" w:hAnsi="Arial" w:cs="Arial"/>
          <w:sz w:val="22"/>
          <w:szCs w:val="22"/>
        </w:rPr>
        <w:footnoteReference w:id="9"/>
      </w:r>
      <w:r w:rsidRPr="00A14F11">
        <w:rPr>
          <w:rFonts w:ascii="Arial" w:hAnsi="Arial" w:cs="Arial"/>
          <w:sz w:val="22"/>
          <w:szCs w:val="22"/>
        </w:rPr>
        <w:t xml:space="preserve"> Despite Google claiming their lack of influence on autocomplete results that are solely predicted by computer algorithms based on searches from previous users, the BGH stated that the publication of autocomplete results infringes the personality right</w:t>
      </w:r>
      <w:r w:rsidRPr="00A14F11">
        <w:rPr>
          <w:rStyle w:val="Emphasis"/>
          <w:rFonts w:ascii="Arial" w:hAnsi="Arial" w:cs="Arial"/>
          <w:sz w:val="22"/>
          <w:szCs w:val="22"/>
        </w:rPr>
        <w:t xml:space="preserve">, </w:t>
      </w:r>
      <w:r w:rsidRPr="00A14F11">
        <w:rPr>
          <w:rFonts w:ascii="Arial" w:hAnsi="Arial" w:cs="Arial"/>
          <w:sz w:val="22"/>
          <w:szCs w:val="22"/>
        </w:rPr>
        <w:t xml:space="preserve">if they </w:t>
      </w:r>
      <w:r w:rsidR="0047444F" w:rsidRPr="00A14F11">
        <w:rPr>
          <w:rFonts w:ascii="Arial" w:hAnsi="Arial" w:cs="Arial"/>
          <w:sz w:val="22"/>
          <w:szCs w:val="22"/>
        </w:rPr>
        <w:t>make a</w:t>
      </w:r>
      <w:r w:rsidRPr="00A14F11">
        <w:rPr>
          <w:rFonts w:ascii="Arial" w:hAnsi="Arial" w:cs="Arial"/>
          <w:sz w:val="22"/>
          <w:szCs w:val="22"/>
        </w:rPr>
        <w:t xml:space="preserve"> statement that is untrue. However, the BGH clarified that Google could not be held liable for every violation of personality rights by its search engine as there was no general duty to examine the search results for potential infringements of third party rights prior to publication. Such a duty can only be imposed if and when an online operator becomes aware of a violation of third party rights. In this respect an online operator has to stop publishing the offending words after being notified by the affected person (“notice and take-down”). Only in the event that the internet search engine operator ignores the take-down request from the </w:t>
      </w:r>
      <w:r w:rsidR="00F2071E">
        <w:rPr>
          <w:rFonts w:ascii="Arial" w:hAnsi="Arial" w:cs="Arial"/>
          <w:sz w:val="22"/>
          <w:szCs w:val="22"/>
        </w:rPr>
        <w:t xml:space="preserve">victim of the alleged </w:t>
      </w:r>
      <w:r w:rsidR="00F2071E">
        <w:rPr>
          <w:rFonts w:ascii="Arial" w:hAnsi="Arial" w:cs="Arial"/>
          <w:sz w:val="22"/>
          <w:szCs w:val="22"/>
        </w:rPr>
        <w:lastRenderedPageBreak/>
        <w:t>infringement</w:t>
      </w:r>
      <w:r w:rsidRPr="00A14F11">
        <w:rPr>
          <w:rFonts w:ascii="Arial" w:hAnsi="Arial" w:cs="Arial"/>
          <w:sz w:val="22"/>
          <w:szCs w:val="22"/>
        </w:rPr>
        <w:t>, may the latter then apply for an injunction to prevent further infringements</w:t>
      </w:r>
      <w:r w:rsidR="00F2071E">
        <w:rPr>
          <w:rFonts w:ascii="Arial" w:hAnsi="Arial" w:cs="Arial"/>
          <w:sz w:val="22"/>
          <w:szCs w:val="22"/>
        </w:rPr>
        <w:t>, -</w:t>
      </w:r>
      <w:r w:rsidRPr="00A14F11">
        <w:rPr>
          <w:rFonts w:ascii="Arial" w:hAnsi="Arial" w:cs="Arial"/>
          <w:sz w:val="22"/>
          <w:szCs w:val="22"/>
        </w:rPr>
        <w:t>but not for damages.</w:t>
      </w:r>
      <w:r w:rsidR="0047444F" w:rsidRPr="00A14F11">
        <w:rPr>
          <w:rStyle w:val="FootnoteReference"/>
          <w:rFonts w:ascii="Arial" w:hAnsi="Arial" w:cs="Arial"/>
          <w:sz w:val="22"/>
          <w:szCs w:val="22"/>
        </w:rPr>
        <w:footnoteReference w:id="10"/>
      </w:r>
    </w:p>
    <w:p w:rsidR="00E32F29" w:rsidRPr="00A14F11" w:rsidRDefault="00E32F29" w:rsidP="00E32F29">
      <w:pPr>
        <w:pStyle w:val="NormalWeb"/>
        <w:jc w:val="both"/>
        <w:rPr>
          <w:rFonts w:ascii="Arial" w:hAnsi="Arial" w:cs="Arial"/>
          <w:b/>
          <w:sz w:val="22"/>
          <w:szCs w:val="22"/>
        </w:rPr>
      </w:pPr>
      <w:r w:rsidRPr="00A14F11">
        <w:rPr>
          <w:rFonts w:ascii="Arial" w:hAnsi="Arial" w:cs="Arial"/>
          <w:b/>
          <w:sz w:val="22"/>
          <w:szCs w:val="22"/>
        </w:rPr>
        <w:t>Argumentation of the BGH in light of earlier decisions</w:t>
      </w:r>
    </w:p>
    <w:p w:rsidR="00E32F29" w:rsidRPr="00A14F11" w:rsidRDefault="00E32F29" w:rsidP="00D62FA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Style w:val="Emphasis"/>
          <w:rFonts w:ascii="Arial" w:hAnsi="Arial" w:cs="Arial"/>
          <w:i w:val="0"/>
          <w:szCs w:val="22"/>
        </w:rPr>
      </w:pPr>
      <w:r w:rsidRPr="00A14F11">
        <w:rPr>
          <w:rFonts w:ascii="Arial" w:hAnsi="Arial" w:cs="Arial"/>
          <w:szCs w:val="22"/>
        </w:rPr>
        <w:t>Th</w:t>
      </w:r>
      <w:r w:rsidR="00F2071E">
        <w:rPr>
          <w:rFonts w:ascii="Arial" w:hAnsi="Arial" w:cs="Arial"/>
          <w:szCs w:val="22"/>
        </w:rPr>
        <w:t>is ruling</w:t>
      </w:r>
      <w:r w:rsidRPr="00A14F11">
        <w:rPr>
          <w:rFonts w:ascii="Arial" w:hAnsi="Arial" w:cs="Arial"/>
          <w:szCs w:val="22"/>
        </w:rPr>
        <w:t xml:space="preserve"> of the BGH is in line with its earlier decisions concerning the liability of online forum operators such as ebay or DENIC.</w:t>
      </w:r>
      <w:r w:rsidR="00844334" w:rsidRPr="00A14F11">
        <w:rPr>
          <w:rStyle w:val="FootnoteReference"/>
          <w:rFonts w:ascii="Arial" w:hAnsi="Arial" w:cs="Arial"/>
          <w:szCs w:val="22"/>
        </w:rPr>
        <w:footnoteReference w:id="11"/>
      </w:r>
      <w:r w:rsidRPr="00A14F11">
        <w:rPr>
          <w:rFonts w:ascii="Arial" w:hAnsi="Arial" w:cs="Arial"/>
          <w:szCs w:val="22"/>
        </w:rPr>
        <w:t xml:space="preserve"> The decision affirms the Federal Court’s rather logical and practical approach to imposing liability so that OSP’s can only be held responsible for </w:t>
      </w:r>
      <w:r w:rsidR="00F2071E">
        <w:rPr>
          <w:rFonts w:ascii="Arial" w:hAnsi="Arial" w:cs="Arial"/>
          <w:szCs w:val="22"/>
        </w:rPr>
        <w:t xml:space="preserve">a failure to act </w:t>
      </w:r>
      <w:r w:rsidRPr="00A14F11">
        <w:rPr>
          <w:rFonts w:ascii="Arial" w:hAnsi="Arial" w:cs="Arial"/>
          <w:szCs w:val="22"/>
        </w:rPr>
        <w:t xml:space="preserve">after being notified by the affected person. The extent of the duty to carry out appropriate preventive measures to exclude further violation of personality rights of third parties will then be determined on a case by case basis </w:t>
      </w:r>
      <w:r w:rsidRPr="00A14F11">
        <w:rPr>
          <w:rStyle w:val="Emphasis"/>
          <w:rFonts w:ascii="Arial" w:hAnsi="Arial" w:cs="Arial"/>
          <w:i w:val="0"/>
          <w:szCs w:val="22"/>
        </w:rPr>
        <w:t xml:space="preserve">and assessed within the limits of what is reasonable and possible. The </w:t>
      </w:r>
      <w:r w:rsidR="00F2071E">
        <w:rPr>
          <w:rStyle w:val="Emphasis"/>
          <w:rFonts w:ascii="Arial" w:hAnsi="Arial" w:cs="Arial"/>
          <w:i w:val="0"/>
          <w:szCs w:val="22"/>
        </w:rPr>
        <w:t>C</w:t>
      </w:r>
      <w:r w:rsidRPr="00A14F11">
        <w:rPr>
          <w:rStyle w:val="Emphasis"/>
          <w:rFonts w:ascii="Arial" w:hAnsi="Arial" w:cs="Arial"/>
          <w:i w:val="0"/>
          <w:szCs w:val="22"/>
        </w:rPr>
        <w:t>ourt mentions a possible prevention obligation in respect to certain</w:t>
      </w:r>
      <w:r w:rsidRPr="00A14F11">
        <w:rPr>
          <w:rStyle w:val="Emphasis"/>
          <w:rFonts w:ascii="Arial" w:hAnsi="Arial" w:cs="Arial"/>
          <w:szCs w:val="22"/>
        </w:rPr>
        <w:t xml:space="preserve"> </w:t>
      </w:r>
      <w:r w:rsidRPr="00A14F11">
        <w:rPr>
          <w:rStyle w:val="Emphasis"/>
          <w:rFonts w:ascii="Arial" w:hAnsi="Arial" w:cs="Arial"/>
          <w:i w:val="0"/>
          <w:szCs w:val="22"/>
        </w:rPr>
        <w:t>fields such as child pornography but leaves open how far-reaching this duty should be in the individual case.</w:t>
      </w:r>
      <w:r w:rsidRPr="00A14F11">
        <w:rPr>
          <w:rStyle w:val="FootnoteReference"/>
          <w:rFonts w:ascii="Arial" w:hAnsi="Arial" w:cs="Arial"/>
          <w:iCs/>
          <w:szCs w:val="22"/>
        </w:rPr>
        <w:footnoteReference w:id="12"/>
      </w:r>
    </w:p>
    <w:p w:rsidR="00E32F29" w:rsidRPr="00A14F11" w:rsidRDefault="00E32F29" w:rsidP="00E32F2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Style w:val="Emphasis"/>
          <w:rFonts w:ascii="Arial" w:hAnsi="Arial" w:cs="Arial"/>
          <w:b/>
          <w:i w:val="0"/>
          <w:szCs w:val="22"/>
        </w:rPr>
      </w:pPr>
      <w:r w:rsidRPr="00A14F11">
        <w:rPr>
          <w:rStyle w:val="Emphasis"/>
          <w:rFonts w:ascii="Arial" w:hAnsi="Arial" w:cs="Arial"/>
          <w:b/>
          <w:i w:val="0"/>
          <w:szCs w:val="22"/>
        </w:rPr>
        <w:t>Critique of the judgment</w:t>
      </w:r>
    </w:p>
    <w:p w:rsidR="00E32F29" w:rsidRPr="00A14F11" w:rsidRDefault="00E32F29" w:rsidP="00D62FAD">
      <w:pPr>
        <w:spacing w:line="360" w:lineRule="auto"/>
        <w:jc w:val="both"/>
        <w:rPr>
          <w:rFonts w:ascii="Arial" w:hAnsi="Arial" w:cs="Arial"/>
          <w:szCs w:val="22"/>
        </w:rPr>
      </w:pPr>
      <w:r w:rsidRPr="00A14F11">
        <w:rPr>
          <w:rStyle w:val="Emphasis"/>
          <w:rFonts w:ascii="Arial" w:hAnsi="Arial" w:cs="Arial"/>
          <w:i w:val="0"/>
          <w:szCs w:val="22"/>
        </w:rPr>
        <w:t>T</w:t>
      </w:r>
      <w:r w:rsidRPr="00A14F11">
        <w:rPr>
          <w:rFonts w:ascii="Arial" w:hAnsi="Arial" w:cs="Arial"/>
          <w:szCs w:val="22"/>
        </w:rPr>
        <w:t>he clear intention behind this judgment of the BGH is certainly to limit OSP liability within an appropriate and legitimate parameter.</w:t>
      </w:r>
      <w:r w:rsidRPr="00A14F11">
        <w:rPr>
          <w:rStyle w:val="FootnoteReference"/>
          <w:rFonts w:ascii="Arial" w:hAnsi="Arial" w:cs="Arial"/>
          <w:szCs w:val="22"/>
        </w:rPr>
        <w:footnoteReference w:id="13"/>
      </w:r>
      <w:r w:rsidRPr="00A14F11">
        <w:rPr>
          <w:rFonts w:ascii="Arial" w:hAnsi="Arial" w:cs="Arial"/>
          <w:szCs w:val="22"/>
        </w:rPr>
        <w:t xml:space="preserve"> </w:t>
      </w:r>
      <w:r w:rsidR="004A28BF" w:rsidRPr="00A14F11">
        <w:rPr>
          <w:rFonts w:ascii="Arial" w:hAnsi="Arial" w:cs="Arial"/>
          <w:szCs w:val="22"/>
        </w:rPr>
        <w:t>It would be undesirable to require search operators to ensure that an indefinite number of people were not harmed by the results of an internet search.</w:t>
      </w:r>
      <w:r w:rsidRPr="00A14F11">
        <w:rPr>
          <w:rFonts w:ascii="Arial" w:hAnsi="Arial" w:cs="Arial"/>
          <w:szCs w:val="22"/>
        </w:rPr>
        <w:t xml:space="preserve"> On the other hand, the harm to someone’s reputation as a public figure well-known at home and </w:t>
      </w:r>
      <w:r w:rsidRPr="00A14F11">
        <w:rPr>
          <w:rFonts w:ascii="Arial" w:hAnsi="Arial" w:cs="Arial"/>
          <w:szCs w:val="22"/>
        </w:rPr>
        <w:lastRenderedPageBreak/>
        <w:t>abroad can be grave and long-lasting as seen in the Bettina Wulff case. Her name being unlawfully associated with the search term “prostitute” would immediately catch attention, jeopardise her honour as a woman and be highly prejudicial to her standing as a public figure. In previous defamation cases German courts have repeatedly stressed that a person’s personal honour must prevail if the factual information has been identified as false.</w:t>
      </w:r>
      <w:r w:rsidRPr="00A14F11">
        <w:rPr>
          <w:rStyle w:val="FootnoteReference"/>
          <w:rFonts w:ascii="Arial" w:hAnsi="Arial" w:cs="Arial"/>
          <w:szCs w:val="22"/>
        </w:rPr>
        <w:footnoteReference w:id="14"/>
      </w:r>
      <w:r w:rsidRPr="00A14F11">
        <w:rPr>
          <w:rFonts w:ascii="Arial" w:hAnsi="Arial" w:cs="Arial"/>
          <w:szCs w:val="22"/>
        </w:rPr>
        <w:t xml:space="preserve"> This principle must apply uniformly to online defamation cases. It is therefore recommended that an online operator’s duty to prevent further infringements should begin at an earlier point of time, namely once the operator has had the opportunity of obtaining the necessary knowledge of a potential infringement of personality rights in a reasonable way and without significant difficulty. This interpretation of knowledge</w:t>
      </w:r>
      <w:r w:rsidR="00F2071E">
        <w:rPr>
          <w:rFonts w:ascii="Arial" w:hAnsi="Arial" w:cs="Arial"/>
          <w:szCs w:val="22"/>
        </w:rPr>
        <w:t xml:space="preserve"> should</w:t>
      </w:r>
      <w:r w:rsidRPr="00A14F11">
        <w:rPr>
          <w:rFonts w:ascii="Arial" w:hAnsi="Arial" w:cs="Arial"/>
          <w:szCs w:val="22"/>
        </w:rPr>
        <w:t xml:space="preserve"> for example apply when the online operators effectively close their eyes in the face of unavoidable knowledge which could be easily obtained via twitter, online reports or other media channels. It </w:t>
      </w:r>
      <w:r w:rsidR="00F2071E">
        <w:rPr>
          <w:rFonts w:ascii="Arial" w:hAnsi="Arial" w:cs="Arial"/>
          <w:szCs w:val="22"/>
        </w:rPr>
        <w:t>might also</w:t>
      </w:r>
      <w:r w:rsidRPr="00A14F11">
        <w:rPr>
          <w:rFonts w:ascii="Arial" w:hAnsi="Arial" w:cs="Arial"/>
          <w:szCs w:val="22"/>
        </w:rPr>
        <w:t xml:space="preserve"> apply where the online operator neglects to use a rather obvious opportunity for knowledge and where claiming the lack of knowledge as a defence appears to be mere formalism. The relevant point of time can be assessed by asking whether any other person in the position of the online operator would have had the knowledge under the same concrete circumstances. Survey evidence can be used to show whether obtaining or having that knowledge would have been possible. Finally, this approach would avoid – as the BGH stressed in its recent judgment - imposing a too far-reaching preventive duty on the online forum operators to filter out bad words in general.</w:t>
      </w:r>
    </w:p>
    <w:p w:rsidR="00E32F29" w:rsidRPr="00A14F11" w:rsidRDefault="00E32F29" w:rsidP="0025778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Fonts w:ascii="Arial" w:hAnsi="Arial" w:cs="Arial"/>
          <w:b/>
          <w:szCs w:val="22"/>
        </w:rPr>
      </w:pPr>
      <w:r w:rsidRPr="00A14F11">
        <w:rPr>
          <w:rFonts w:ascii="Arial" w:hAnsi="Arial" w:cs="Arial"/>
          <w:b/>
          <w:szCs w:val="22"/>
        </w:rPr>
        <w:t>Responsibility of OSP’s for defamatory content in other countries</w:t>
      </w:r>
    </w:p>
    <w:p w:rsidR="00E32F29" w:rsidRPr="00A14F11" w:rsidRDefault="00E32F29" w:rsidP="00E32F2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Fonts w:ascii="Arial" w:hAnsi="Arial" w:cs="Arial"/>
          <w:szCs w:val="22"/>
        </w:rPr>
      </w:pPr>
      <w:r w:rsidRPr="00A14F11">
        <w:rPr>
          <w:rFonts w:ascii="Arial" w:hAnsi="Arial" w:cs="Arial"/>
          <w:szCs w:val="22"/>
        </w:rPr>
        <w:t>In its judgment, the BGH has taken a middle-path between the divergent opinions of other nationa</w:t>
      </w:r>
      <w:r w:rsidR="00C257A3" w:rsidRPr="00A14F11">
        <w:rPr>
          <w:rFonts w:ascii="Arial" w:hAnsi="Arial" w:cs="Arial"/>
          <w:szCs w:val="22"/>
        </w:rPr>
        <w:t>l courts in this matter. France and</w:t>
      </w:r>
      <w:r w:rsidRPr="00A14F11">
        <w:rPr>
          <w:rFonts w:ascii="Arial" w:hAnsi="Arial" w:cs="Arial"/>
          <w:szCs w:val="22"/>
        </w:rPr>
        <w:t xml:space="preserve"> the UK</w:t>
      </w:r>
      <w:r w:rsidR="00C257A3" w:rsidRPr="00A14F11">
        <w:rPr>
          <w:rFonts w:ascii="Arial" w:hAnsi="Arial" w:cs="Arial"/>
          <w:szCs w:val="22"/>
        </w:rPr>
        <w:t xml:space="preserve"> </w:t>
      </w:r>
      <w:r w:rsidRPr="00A14F11">
        <w:rPr>
          <w:rFonts w:ascii="Arial" w:hAnsi="Arial" w:cs="Arial"/>
          <w:szCs w:val="22"/>
        </w:rPr>
        <w:t xml:space="preserve">have so far taken the narrowest view on the liability of </w:t>
      </w:r>
      <w:r w:rsidRPr="00A14F11">
        <w:rPr>
          <w:rFonts w:ascii="Arial" w:hAnsi="Arial" w:cs="Arial"/>
          <w:szCs w:val="22"/>
        </w:rPr>
        <w:lastRenderedPageBreak/>
        <w:t>OSPs</w:t>
      </w:r>
      <w:r w:rsidR="00C257A3" w:rsidRPr="00A14F11">
        <w:rPr>
          <w:rFonts w:ascii="Arial" w:hAnsi="Arial" w:cs="Arial"/>
          <w:szCs w:val="22"/>
        </w:rPr>
        <w:t xml:space="preserve">, whilst </w:t>
      </w:r>
      <w:r w:rsidR="00F2071E">
        <w:rPr>
          <w:rFonts w:ascii="Arial" w:hAnsi="Arial" w:cs="Arial"/>
          <w:szCs w:val="22"/>
        </w:rPr>
        <w:t xml:space="preserve">a </w:t>
      </w:r>
      <w:r w:rsidR="00C257A3" w:rsidRPr="00A14F11">
        <w:rPr>
          <w:rFonts w:ascii="Arial" w:hAnsi="Arial" w:cs="Arial"/>
          <w:szCs w:val="22"/>
        </w:rPr>
        <w:t>recent Australian decision</w:t>
      </w:r>
      <w:r w:rsidR="00F2071E">
        <w:rPr>
          <w:rFonts w:ascii="Arial" w:hAnsi="Arial" w:cs="Arial"/>
          <w:szCs w:val="22"/>
        </w:rPr>
        <w:t>s</w:t>
      </w:r>
      <w:r w:rsidR="00C257A3" w:rsidRPr="00A14F11">
        <w:rPr>
          <w:rFonts w:ascii="Arial" w:hAnsi="Arial" w:cs="Arial"/>
          <w:szCs w:val="22"/>
        </w:rPr>
        <w:t xml:space="preserve"> ha</w:t>
      </w:r>
      <w:r w:rsidR="00F2071E">
        <w:rPr>
          <w:rFonts w:ascii="Arial" w:hAnsi="Arial" w:cs="Arial"/>
          <w:szCs w:val="22"/>
        </w:rPr>
        <w:t>s</w:t>
      </w:r>
      <w:r w:rsidRPr="00A14F11">
        <w:rPr>
          <w:rFonts w:ascii="Arial" w:hAnsi="Arial" w:cs="Arial"/>
          <w:szCs w:val="22"/>
        </w:rPr>
        <w:t xml:space="preserve"> ruled in favour of the defamed claimant</w:t>
      </w:r>
      <w:r w:rsidR="002A5650" w:rsidRPr="00A14F11">
        <w:rPr>
          <w:rFonts w:ascii="Arial" w:hAnsi="Arial" w:cs="Arial"/>
          <w:szCs w:val="22"/>
        </w:rPr>
        <w:t xml:space="preserve"> and awarded injunctions and </w:t>
      </w:r>
      <w:r w:rsidRPr="00A14F11">
        <w:rPr>
          <w:rFonts w:ascii="Arial" w:hAnsi="Arial" w:cs="Arial"/>
          <w:szCs w:val="22"/>
        </w:rPr>
        <w:t>damages.</w:t>
      </w:r>
    </w:p>
    <w:p w:rsidR="00E32F29" w:rsidRPr="00A14F11" w:rsidRDefault="00E32F29" w:rsidP="00E32F2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Fonts w:ascii="Arial" w:hAnsi="Arial" w:cs="Arial"/>
          <w:b/>
          <w:szCs w:val="22"/>
        </w:rPr>
      </w:pPr>
      <w:r w:rsidRPr="00A14F11">
        <w:rPr>
          <w:rFonts w:ascii="Arial" w:hAnsi="Arial" w:cs="Arial"/>
          <w:b/>
          <w:szCs w:val="22"/>
        </w:rPr>
        <w:t>UK</w:t>
      </w:r>
    </w:p>
    <w:p w:rsidR="00E32F29" w:rsidRPr="00A14F11" w:rsidRDefault="00E32F29" w:rsidP="0025778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Fonts w:ascii="Arial" w:hAnsi="Arial" w:cs="Arial"/>
          <w:b/>
          <w:szCs w:val="22"/>
        </w:rPr>
      </w:pPr>
      <w:r w:rsidRPr="00A14F11">
        <w:rPr>
          <w:rFonts w:ascii="Arial" w:hAnsi="Arial" w:cs="Arial"/>
          <w:szCs w:val="22"/>
        </w:rPr>
        <w:t xml:space="preserve">In 2009 the High Court in </w:t>
      </w:r>
      <w:r w:rsidR="00F2071E">
        <w:rPr>
          <w:rFonts w:ascii="Arial" w:hAnsi="Arial" w:cs="Arial"/>
          <w:szCs w:val="22"/>
        </w:rPr>
        <w:t>England</w:t>
      </w:r>
      <w:r w:rsidRPr="00A14F11">
        <w:rPr>
          <w:rFonts w:ascii="Arial" w:hAnsi="Arial" w:cs="Arial"/>
          <w:szCs w:val="22"/>
        </w:rPr>
        <w:t xml:space="preserve"> ruled that Google could not be held liable for defamatory comments that appear in news articles, blogs and forums displayed in its search results.</w:t>
      </w:r>
      <w:r w:rsidRPr="00A14F11">
        <w:rPr>
          <w:rStyle w:val="FootnoteReference"/>
          <w:rFonts w:ascii="Arial" w:hAnsi="Arial" w:cs="Arial"/>
          <w:szCs w:val="22"/>
        </w:rPr>
        <w:footnoteReference w:id="15"/>
      </w:r>
      <w:r w:rsidRPr="00A14F11">
        <w:rPr>
          <w:rFonts w:ascii="Arial" w:hAnsi="Arial" w:cs="Arial"/>
          <w:szCs w:val="22"/>
        </w:rPr>
        <w:t> The claimants, the Metropolitan International Schools, who offer distance learning courses in games development, took legal action over comments on the forum of a website that they found defamatory and that appeared in Google's search results. The company was of the opinion that Google was liable as a publisher of defamatory comments. Mr Justice Eady rejected the claim, arguing that Google was a "facilitator" and not a publisher of the content. It is interesting to note that the ruling excluded Google’s liability as a publisher of defamatory comments even in cases where it had been notified of potentially libellous comments in their search results. However, under such circumstances and in line with the BGH position, the court acknowledged the duty of the defendant to block or take down content if it is alerted to a complaint about a potential defamatory material in the search results.</w:t>
      </w:r>
      <w:r w:rsidR="00DC5457" w:rsidRPr="00A14F11">
        <w:rPr>
          <w:rStyle w:val="FootnoteReference"/>
          <w:rFonts w:ascii="Arial" w:hAnsi="Arial" w:cs="Arial"/>
          <w:szCs w:val="22"/>
        </w:rPr>
        <w:footnoteReference w:id="16"/>
      </w:r>
    </w:p>
    <w:p w:rsidR="00502708" w:rsidRPr="00A14F11" w:rsidRDefault="00E32F29" w:rsidP="008A6027">
      <w:pPr>
        <w:spacing w:line="360" w:lineRule="auto"/>
        <w:jc w:val="both"/>
        <w:rPr>
          <w:rFonts w:ascii="Arial" w:hAnsi="Arial" w:cs="Arial"/>
          <w:szCs w:val="22"/>
          <w:lang w:eastAsia="en-GB"/>
        </w:rPr>
      </w:pPr>
      <w:r w:rsidRPr="00A14F11">
        <w:rPr>
          <w:rFonts w:ascii="Arial" w:hAnsi="Arial" w:cs="Arial"/>
          <w:szCs w:val="22"/>
          <w:lang w:eastAsia="en-GB"/>
        </w:rPr>
        <w:t xml:space="preserve">In </w:t>
      </w:r>
      <w:r w:rsidRPr="00A14F11">
        <w:rPr>
          <w:rFonts w:ascii="Arial" w:hAnsi="Arial" w:cs="Arial"/>
          <w:i/>
          <w:iCs/>
          <w:szCs w:val="22"/>
          <w:lang w:eastAsia="en-GB"/>
        </w:rPr>
        <w:t>Payam Tamiz v Google Inc</w:t>
      </w:r>
      <w:r w:rsidRPr="00A14F11">
        <w:rPr>
          <w:rFonts w:ascii="Arial" w:hAnsi="Arial" w:cs="Arial"/>
          <w:szCs w:val="22"/>
          <w:lang w:eastAsia="en-GB"/>
        </w:rPr>
        <w:t>, the Court of Appeal recently had to decide on a libel claim arising from allegedly defamatory comments on a blog.</w:t>
      </w:r>
      <w:r w:rsidRPr="00A14F11">
        <w:rPr>
          <w:rStyle w:val="FootnoteReference"/>
          <w:rFonts w:ascii="Arial" w:hAnsi="Arial" w:cs="Arial"/>
          <w:szCs w:val="22"/>
          <w:lang w:eastAsia="en-GB"/>
        </w:rPr>
        <w:footnoteReference w:id="17"/>
      </w:r>
      <w:r w:rsidR="00E72181" w:rsidRPr="00A14F11">
        <w:rPr>
          <w:rFonts w:ascii="Arial" w:hAnsi="Arial" w:cs="Arial"/>
          <w:szCs w:val="22"/>
          <w:lang w:eastAsia="en-GB"/>
        </w:rPr>
        <w:t xml:space="preserve"> The claimant, Payam Tamiz, alleged that he was defamed by eight specific comments on a blog named “London Muslim” hosted by Blogger.com, operated by Google Inc.</w:t>
      </w:r>
      <w:r w:rsidR="00187DDD" w:rsidRPr="00A14F11">
        <w:rPr>
          <w:rFonts w:ascii="Arial" w:hAnsi="Arial" w:cs="Arial"/>
          <w:szCs w:val="22"/>
          <w:lang w:eastAsia="en-GB"/>
        </w:rPr>
        <w:t xml:space="preserve"> Mr Tamiz first notified his complaint in April 2011 using </w:t>
      </w:r>
      <w:r w:rsidR="00187DDD" w:rsidRPr="00A14F11">
        <w:rPr>
          <w:rFonts w:ascii="Arial" w:hAnsi="Arial" w:cs="Arial"/>
          <w:szCs w:val="22"/>
          <w:lang w:eastAsia="en-GB"/>
        </w:rPr>
        <w:lastRenderedPageBreak/>
        <w:t>the “Report abuse”</w:t>
      </w:r>
      <w:r w:rsidR="006B1E57" w:rsidRPr="00A14F11">
        <w:rPr>
          <w:rFonts w:ascii="Arial" w:hAnsi="Arial" w:cs="Arial"/>
          <w:szCs w:val="22"/>
          <w:lang w:eastAsia="en-GB"/>
        </w:rPr>
        <w:t xml:space="preserve"> function</w:t>
      </w:r>
      <w:r w:rsidR="00907FB8" w:rsidRPr="00A14F11">
        <w:rPr>
          <w:rFonts w:ascii="Arial" w:hAnsi="Arial" w:cs="Arial"/>
          <w:szCs w:val="22"/>
        </w:rPr>
        <w:t xml:space="preserve"> on the relevant web page.</w:t>
      </w:r>
      <w:r w:rsidR="006B1E57" w:rsidRPr="00A14F11">
        <w:rPr>
          <w:rFonts w:ascii="Arial" w:hAnsi="Arial" w:cs="Arial"/>
          <w:szCs w:val="22"/>
          <w:lang w:eastAsia="en-GB"/>
        </w:rPr>
        <w:t xml:space="preserve"> </w:t>
      </w:r>
      <w:r w:rsidR="00907FB8" w:rsidRPr="00A14F11">
        <w:rPr>
          <w:rFonts w:ascii="Arial" w:hAnsi="Arial" w:cs="Arial"/>
          <w:szCs w:val="22"/>
        </w:rPr>
        <w:t>A letter of claim was sent on 29 June</w:t>
      </w:r>
      <w:r w:rsidR="00C845CC">
        <w:rPr>
          <w:rFonts w:ascii="Arial" w:hAnsi="Arial" w:cs="Arial"/>
          <w:szCs w:val="22"/>
        </w:rPr>
        <w:t xml:space="preserve"> 2011</w:t>
      </w:r>
      <w:r w:rsidR="00907FB8" w:rsidRPr="00A14F11">
        <w:rPr>
          <w:rFonts w:ascii="Arial" w:hAnsi="Arial" w:cs="Arial"/>
          <w:szCs w:val="22"/>
        </w:rPr>
        <w:t xml:space="preserve"> to Google UK Ltd, which was received on 5 July</w:t>
      </w:r>
      <w:r w:rsidR="00C845CC">
        <w:rPr>
          <w:rFonts w:ascii="Arial" w:hAnsi="Arial" w:cs="Arial"/>
          <w:szCs w:val="22"/>
        </w:rPr>
        <w:t xml:space="preserve"> 2011</w:t>
      </w:r>
      <w:r w:rsidR="00907FB8" w:rsidRPr="00A14F11">
        <w:rPr>
          <w:rFonts w:ascii="Arial" w:hAnsi="Arial" w:cs="Arial"/>
          <w:szCs w:val="22"/>
        </w:rPr>
        <w:t>.</w:t>
      </w:r>
      <w:r w:rsidR="002F2A18" w:rsidRPr="00A14F11">
        <w:rPr>
          <w:rFonts w:ascii="Arial" w:hAnsi="Arial" w:cs="Arial"/>
          <w:szCs w:val="22"/>
        </w:rPr>
        <w:t xml:space="preserve"> </w:t>
      </w:r>
      <w:r w:rsidR="00907FB8" w:rsidRPr="00A14F11">
        <w:rPr>
          <w:rFonts w:ascii="Arial" w:hAnsi="Arial" w:cs="Arial"/>
          <w:szCs w:val="22"/>
        </w:rPr>
        <w:t>After consi</w:t>
      </w:r>
      <w:r w:rsidR="00BE3569">
        <w:rPr>
          <w:rFonts w:ascii="Arial" w:hAnsi="Arial" w:cs="Arial"/>
          <w:szCs w:val="22"/>
        </w:rPr>
        <w:t>derable delay, Google</w:t>
      </w:r>
      <w:r w:rsidR="002F2A18" w:rsidRPr="00A14F11">
        <w:rPr>
          <w:rFonts w:ascii="Arial" w:hAnsi="Arial" w:cs="Arial"/>
          <w:szCs w:val="22"/>
        </w:rPr>
        <w:t xml:space="preserve"> wrote to the blogger with a request to remove the comments on 11 August 2011, which the blogger did three days later</w:t>
      </w:r>
      <w:bookmarkStart w:id="1" w:name="para15"/>
      <w:r w:rsidR="002F2A18" w:rsidRPr="00A14F11">
        <w:rPr>
          <w:rFonts w:ascii="Arial" w:hAnsi="Arial" w:cs="Arial"/>
          <w:szCs w:val="22"/>
        </w:rPr>
        <w:t xml:space="preserve">. </w:t>
      </w:r>
      <w:bookmarkEnd w:id="1"/>
      <w:r w:rsidR="007C1B10" w:rsidRPr="00A14F11">
        <w:rPr>
          <w:rFonts w:ascii="Arial" w:hAnsi="Arial" w:cs="Arial"/>
          <w:szCs w:val="22"/>
          <w:lang w:eastAsia="en-GB"/>
        </w:rPr>
        <w:t>Mr Tamiz sought</w:t>
      </w:r>
      <w:r w:rsidR="00187DDD" w:rsidRPr="00A14F11">
        <w:rPr>
          <w:rFonts w:ascii="Arial" w:hAnsi="Arial" w:cs="Arial"/>
          <w:szCs w:val="22"/>
          <w:lang w:eastAsia="en-GB"/>
        </w:rPr>
        <w:t xml:space="preserve"> to bring a claim in libel against Google in respect of the publication of the allegedly defamatory comments during the</w:t>
      </w:r>
      <w:r w:rsidR="00502708" w:rsidRPr="00A14F11">
        <w:rPr>
          <w:rFonts w:ascii="Arial" w:hAnsi="Arial" w:cs="Arial"/>
          <w:szCs w:val="22"/>
          <w:lang w:eastAsia="en-GB"/>
        </w:rPr>
        <w:t xml:space="preserve"> period prior to their removal.</w:t>
      </w:r>
    </w:p>
    <w:p w:rsidR="00502708" w:rsidRPr="00A14F11" w:rsidRDefault="007C1B10" w:rsidP="0025778B">
      <w:pPr>
        <w:spacing w:before="100" w:beforeAutospacing="1" w:after="100" w:afterAutospacing="1" w:line="360" w:lineRule="auto"/>
        <w:jc w:val="both"/>
        <w:rPr>
          <w:rFonts w:ascii="Arial" w:hAnsi="Arial" w:cs="Arial"/>
          <w:b/>
          <w:szCs w:val="22"/>
          <w:lang w:eastAsia="en-GB"/>
        </w:rPr>
      </w:pPr>
      <w:r w:rsidRPr="00A14F11">
        <w:rPr>
          <w:rFonts w:ascii="Arial" w:hAnsi="Arial" w:cs="Arial"/>
          <w:b/>
          <w:szCs w:val="22"/>
          <w:lang w:eastAsia="en-GB"/>
        </w:rPr>
        <w:t>First instance</w:t>
      </w:r>
    </w:p>
    <w:p w:rsidR="00A461B9" w:rsidRDefault="007C1B10" w:rsidP="008A6027">
      <w:pPr>
        <w:spacing w:line="360" w:lineRule="auto"/>
        <w:jc w:val="both"/>
        <w:rPr>
          <w:rFonts w:ascii="Arial" w:hAnsi="Arial" w:cs="Arial"/>
          <w:b/>
          <w:szCs w:val="22"/>
        </w:rPr>
      </w:pPr>
      <w:r w:rsidRPr="00A14F11">
        <w:rPr>
          <w:rFonts w:ascii="Arial" w:hAnsi="Arial" w:cs="Arial"/>
          <w:szCs w:val="22"/>
        </w:rPr>
        <w:t xml:space="preserve">Eady J. found that three of the comments were arguably defamatory but that </w:t>
      </w:r>
      <w:r w:rsidR="00502708" w:rsidRPr="00A14F11">
        <w:rPr>
          <w:rFonts w:ascii="Arial" w:hAnsi="Arial" w:cs="Arial"/>
          <w:szCs w:val="22"/>
        </w:rPr>
        <w:t>Google had not published them. </w:t>
      </w:r>
      <w:r w:rsidRPr="00A14F11">
        <w:rPr>
          <w:rFonts w:ascii="Arial" w:hAnsi="Arial" w:cs="Arial"/>
          <w:szCs w:val="22"/>
        </w:rPr>
        <w:t>Even if Google was a publish</w:t>
      </w:r>
      <w:r w:rsidR="00502708" w:rsidRPr="00A14F11">
        <w:rPr>
          <w:rFonts w:ascii="Arial" w:hAnsi="Arial" w:cs="Arial"/>
          <w:szCs w:val="22"/>
        </w:rPr>
        <w:t>er, the court found that s.1 of the Defamation Act 1996</w:t>
      </w:r>
      <w:r w:rsidR="00FC34E2" w:rsidRPr="00A14F11">
        <w:rPr>
          <w:rFonts w:ascii="Arial" w:hAnsi="Arial" w:cs="Arial"/>
          <w:szCs w:val="22"/>
        </w:rPr>
        <w:t>, according to which publishers can avoid liability if they can claim that they did not know of the publication,</w:t>
      </w:r>
      <w:r w:rsidR="00502708" w:rsidRPr="00A14F11">
        <w:rPr>
          <w:rFonts w:ascii="Arial" w:hAnsi="Arial" w:cs="Arial"/>
          <w:szCs w:val="22"/>
        </w:rPr>
        <w:t xml:space="preserve"> </w:t>
      </w:r>
      <w:r w:rsidR="00FC34E2" w:rsidRPr="00A14F11">
        <w:rPr>
          <w:rFonts w:ascii="Arial" w:hAnsi="Arial" w:cs="Arial"/>
          <w:szCs w:val="22"/>
        </w:rPr>
        <w:t>would provide it with a defence.</w:t>
      </w:r>
      <w:r w:rsidR="00DC5457" w:rsidRPr="00A14F11">
        <w:rPr>
          <w:rStyle w:val="FootnoteReference"/>
          <w:rFonts w:ascii="Arial" w:hAnsi="Arial" w:cs="Arial"/>
          <w:szCs w:val="22"/>
        </w:rPr>
        <w:footnoteReference w:id="18"/>
      </w:r>
      <w:r w:rsidR="00FA2E6E" w:rsidRPr="00A14F11">
        <w:rPr>
          <w:rFonts w:ascii="Arial" w:hAnsi="Arial" w:cs="Arial"/>
          <w:szCs w:val="22"/>
        </w:rPr>
        <w:t xml:space="preserve"> S. 1 of the Defamat</w:t>
      </w:r>
      <w:r w:rsidR="00BE3569">
        <w:rPr>
          <w:rFonts w:ascii="Arial" w:hAnsi="Arial" w:cs="Arial"/>
          <w:szCs w:val="22"/>
        </w:rPr>
        <w:t>ion Act 1996 would</w:t>
      </w:r>
      <w:r w:rsidR="00FA2E6E" w:rsidRPr="00A14F11">
        <w:rPr>
          <w:rFonts w:ascii="Arial" w:hAnsi="Arial" w:cs="Arial"/>
          <w:szCs w:val="22"/>
        </w:rPr>
        <w:t xml:space="preserve"> apply because</w:t>
      </w:r>
      <w:r w:rsidR="00FC34E2" w:rsidRPr="00A14F11">
        <w:rPr>
          <w:rFonts w:ascii="Arial" w:hAnsi="Arial" w:cs="Arial"/>
          <w:szCs w:val="22"/>
        </w:rPr>
        <w:t xml:space="preserve"> Google</w:t>
      </w:r>
      <w:r w:rsidRPr="00A14F11">
        <w:rPr>
          <w:rFonts w:ascii="Arial" w:hAnsi="Arial" w:cs="Arial"/>
          <w:szCs w:val="22"/>
        </w:rPr>
        <w:t xml:space="preserve"> had taken reasonable care in relation to Tamiz</w:t>
      </w:r>
      <w:r w:rsidR="00A461B9" w:rsidRPr="00A14F11">
        <w:rPr>
          <w:rFonts w:ascii="Arial" w:hAnsi="Arial" w:cs="Arial"/>
          <w:szCs w:val="22"/>
        </w:rPr>
        <w:t>’s complaint, despite the</w:t>
      </w:r>
      <w:r w:rsidRPr="00A14F11">
        <w:rPr>
          <w:rFonts w:ascii="Arial" w:hAnsi="Arial" w:cs="Arial"/>
          <w:szCs w:val="22"/>
        </w:rPr>
        <w:t xml:space="preserve"> four months</w:t>
      </w:r>
      <w:r w:rsidR="00A461B9" w:rsidRPr="00A14F11">
        <w:rPr>
          <w:rFonts w:ascii="Arial" w:hAnsi="Arial" w:cs="Arial"/>
          <w:szCs w:val="22"/>
        </w:rPr>
        <w:t xml:space="preserve"> delay in removing the blog</w:t>
      </w:r>
      <w:r w:rsidR="00502708" w:rsidRPr="00A14F11">
        <w:rPr>
          <w:rFonts w:ascii="Arial" w:hAnsi="Arial" w:cs="Arial"/>
          <w:szCs w:val="22"/>
        </w:rPr>
        <w:t>.</w:t>
      </w:r>
      <w:r w:rsidRPr="00A14F11">
        <w:rPr>
          <w:rFonts w:ascii="Arial" w:hAnsi="Arial" w:cs="Arial"/>
          <w:szCs w:val="22"/>
        </w:rPr>
        <w:t xml:space="preserve"> Moreover, </w:t>
      </w:r>
      <w:r w:rsidR="00A461B9" w:rsidRPr="00A14F11">
        <w:rPr>
          <w:rFonts w:ascii="Arial" w:hAnsi="Arial" w:cs="Arial"/>
          <w:szCs w:val="22"/>
        </w:rPr>
        <w:t>Google was</w:t>
      </w:r>
      <w:r w:rsidRPr="00A14F11">
        <w:rPr>
          <w:rFonts w:ascii="Arial" w:hAnsi="Arial" w:cs="Arial"/>
          <w:szCs w:val="22"/>
        </w:rPr>
        <w:t xml:space="preserve"> not liable because the statements were only on the blog for a short period of time and “too trivial” to justif</w:t>
      </w:r>
      <w:r w:rsidR="00C845CC">
        <w:rPr>
          <w:rFonts w:ascii="Arial" w:hAnsi="Arial" w:cs="Arial"/>
          <w:szCs w:val="22"/>
        </w:rPr>
        <w:t>y legal action</w:t>
      </w:r>
      <w:r w:rsidRPr="00A14F11">
        <w:rPr>
          <w:rFonts w:ascii="Arial" w:hAnsi="Arial" w:cs="Arial"/>
          <w:b/>
          <w:szCs w:val="22"/>
        </w:rPr>
        <w:t>.</w:t>
      </w:r>
    </w:p>
    <w:p w:rsidR="00A461B9" w:rsidRPr="00A14F11" w:rsidRDefault="00A461B9" w:rsidP="0025778B">
      <w:pPr>
        <w:spacing w:before="100" w:beforeAutospacing="1" w:after="100" w:afterAutospacing="1" w:line="360" w:lineRule="auto"/>
        <w:jc w:val="both"/>
        <w:rPr>
          <w:rFonts w:ascii="Arial" w:hAnsi="Arial" w:cs="Arial"/>
          <w:b/>
          <w:szCs w:val="22"/>
          <w:lang w:eastAsia="en-GB"/>
        </w:rPr>
      </w:pPr>
      <w:r w:rsidRPr="00A14F11">
        <w:rPr>
          <w:rFonts w:ascii="Arial" w:hAnsi="Arial" w:cs="Arial"/>
          <w:b/>
          <w:szCs w:val="22"/>
          <w:lang w:eastAsia="en-GB"/>
        </w:rPr>
        <w:t>Court of Appeal decision</w:t>
      </w:r>
    </w:p>
    <w:p w:rsidR="008A6027" w:rsidRPr="00A14F11" w:rsidRDefault="00A461B9" w:rsidP="008A6027">
      <w:pPr>
        <w:spacing w:line="360" w:lineRule="auto"/>
        <w:jc w:val="both"/>
        <w:rPr>
          <w:rFonts w:ascii="Arial" w:hAnsi="Arial" w:cs="Arial"/>
          <w:b/>
          <w:szCs w:val="22"/>
        </w:rPr>
      </w:pPr>
      <w:r w:rsidRPr="00A14F11">
        <w:rPr>
          <w:rFonts w:ascii="Arial" w:hAnsi="Arial" w:cs="Arial"/>
          <w:szCs w:val="22"/>
        </w:rPr>
        <w:t xml:space="preserve">On appeal, </w:t>
      </w:r>
      <w:r w:rsidR="002A5650" w:rsidRPr="00A14F11">
        <w:rPr>
          <w:rFonts w:ascii="Arial" w:hAnsi="Arial" w:cs="Arial"/>
          <w:szCs w:val="22"/>
        </w:rPr>
        <w:t>t</w:t>
      </w:r>
      <w:r w:rsidR="008A6027" w:rsidRPr="00A14F11">
        <w:rPr>
          <w:rFonts w:ascii="Arial" w:hAnsi="Arial" w:cs="Arial"/>
          <w:szCs w:val="22"/>
        </w:rPr>
        <w:t xml:space="preserve">he </w:t>
      </w:r>
      <w:r w:rsidR="00F2071E">
        <w:rPr>
          <w:rFonts w:ascii="Arial" w:hAnsi="Arial" w:cs="Arial"/>
          <w:szCs w:val="22"/>
        </w:rPr>
        <w:t>Court of Appeal</w:t>
      </w:r>
      <w:r w:rsidR="00E32F29" w:rsidRPr="00A14F11">
        <w:rPr>
          <w:rFonts w:ascii="Arial" w:hAnsi="Arial" w:cs="Arial"/>
          <w:szCs w:val="22"/>
        </w:rPr>
        <w:t xml:space="preserve"> held that once Google had notice of the defamatory statements it could be classed as a publisher of those statements.</w:t>
      </w:r>
      <w:r w:rsidR="00E72181" w:rsidRPr="00A14F11">
        <w:rPr>
          <w:rFonts w:ascii="Arial" w:hAnsi="Arial" w:cs="Arial"/>
          <w:b/>
          <w:szCs w:val="22"/>
        </w:rPr>
        <w:t xml:space="preserve"> </w:t>
      </w:r>
      <w:r w:rsidR="00E72181" w:rsidRPr="00A14F11">
        <w:rPr>
          <w:rFonts w:ascii="Arial" w:hAnsi="Arial" w:cs="Arial"/>
          <w:szCs w:val="22"/>
        </w:rPr>
        <w:t xml:space="preserve">The court found that the provision of a platform for blogs was equivalent to the provision of a notice board. Google provided </w:t>
      </w:r>
      <w:r w:rsidR="00F2071E">
        <w:rPr>
          <w:rFonts w:ascii="Arial" w:hAnsi="Arial" w:cs="Arial"/>
          <w:szCs w:val="22"/>
        </w:rPr>
        <w:t>tools</w:t>
      </w:r>
      <w:r w:rsidR="00E72181" w:rsidRPr="00A14F11">
        <w:rPr>
          <w:rFonts w:ascii="Arial" w:hAnsi="Arial" w:cs="Arial"/>
          <w:szCs w:val="22"/>
        </w:rPr>
        <w:t xml:space="preserve"> to help a blogger design the layout of his part of the notice board and provided</w:t>
      </w:r>
      <w:r w:rsidR="00C845CC">
        <w:rPr>
          <w:rFonts w:ascii="Arial" w:hAnsi="Arial" w:cs="Arial"/>
          <w:szCs w:val="22"/>
        </w:rPr>
        <w:t xml:space="preserve"> a</w:t>
      </w:r>
      <w:r w:rsidR="00E72181" w:rsidRPr="00A14F11">
        <w:rPr>
          <w:rFonts w:ascii="Arial" w:hAnsi="Arial" w:cs="Arial"/>
          <w:szCs w:val="22"/>
        </w:rPr>
        <w:t xml:space="preserve"> service that enabled a blogger to display advertisements alongside the notices. Google made the notice board available to bloggers on terms of its own choice and it could readily remove or block access to any notice that did not comply with thos</w:t>
      </w:r>
      <w:r w:rsidR="002A5650" w:rsidRPr="00A14F11">
        <w:rPr>
          <w:rFonts w:ascii="Arial" w:hAnsi="Arial" w:cs="Arial"/>
          <w:szCs w:val="22"/>
        </w:rPr>
        <w:t xml:space="preserve">e terms. </w:t>
      </w:r>
      <w:r w:rsidR="002A5650" w:rsidRPr="00A14F11">
        <w:rPr>
          <w:rFonts w:ascii="Arial" w:hAnsi="Arial" w:cs="Arial"/>
          <w:b/>
          <w:szCs w:val="22"/>
        </w:rPr>
        <w:t xml:space="preserve"> </w:t>
      </w:r>
    </w:p>
    <w:p w:rsidR="00D06483" w:rsidRDefault="002A5650" w:rsidP="003E76F7">
      <w:pPr>
        <w:pStyle w:val="NoSpacing"/>
        <w:spacing w:before="100" w:beforeAutospacing="1" w:after="100" w:afterAutospacing="1" w:line="360" w:lineRule="auto"/>
        <w:jc w:val="both"/>
        <w:rPr>
          <w:rFonts w:ascii="Arial" w:hAnsi="Arial" w:cs="Arial"/>
          <w:szCs w:val="22"/>
        </w:rPr>
      </w:pPr>
      <w:r w:rsidRPr="00A14F11">
        <w:rPr>
          <w:rFonts w:ascii="Arial" w:hAnsi="Arial" w:cs="Arial"/>
          <w:szCs w:val="22"/>
        </w:rPr>
        <w:lastRenderedPageBreak/>
        <w:t>As for</w:t>
      </w:r>
      <w:r w:rsidR="00FC34E2" w:rsidRPr="00A14F11">
        <w:rPr>
          <w:rFonts w:ascii="Arial" w:hAnsi="Arial" w:cs="Arial"/>
          <w:szCs w:val="22"/>
        </w:rPr>
        <w:t xml:space="preserve"> the defence </w:t>
      </w:r>
      <w:r w:rsidR="00F2071E">
        <w:rPr>
          <w:rFonts w:ascii="Arial" w:hAnsi="Arial" w:cs="Arial"/>
          <w:szCs w:val="22"/>
        </w:rPr>
        <w:t xml:space="preserve">provided by </w:t>
      </w:r>
      <w:r w:rsidRPr="00A14F11">
        <w:rPr>
          <w:rFonts w:ascii="Arial" w:hAnsi="Arial" w:cs="Arial"/>
          <w:szCs w:val="22"/>
        </w:rPr>
        <w:t xml:space="preserve">s. </w:t>
      </w:r>
      <w:r w:rsidR="00F2071E">
        <w:rPr>
          <w:rFonts w:ascii="Arial" w:hAnsi="Arial" w:cs="Arial"/>
          <w:szCs w:val="22"/>
        </w:rPr>
        <w:t>1</w:t>
      </w:r>
      <w:r w:rsidR="00E32F29" w:rsidRPr="00A14F11">
        <w:rPr>
          <w:rFonts w:ascii="Arial" w:hAnsi="Arial" w:cs="Arial"/>
          <w:szCs w:val="22"/>
        </w:rPr>
        <w:t xml:space="preserve"> </w:t>
      </w:r>
      <w:r w:rsidRPr="00A14F11">
        <w:rPr>
          <w:rFonts w:ascii="Arial" w:hAnsi="Arial" w:cs="Arial"/>
          <w:szCs w:val="22"/>
        </w:rPr>
        <w:t>of the Defamation Act 1996</w:t>
      </w:r>
      <w:r w:rsidR="00FC34E2" w:rsidRPr="00A14F11">
        <w:rPr>
          <w:rFonts w:ascii="Arial" w:hAnsi="Arial" w:cs="Arial"/>
          <w:szCs w:val="22"/>
        </w:rPr>
        <w:t xml:space="preserve">, </w:t>
      </w:r>
      <w:r w:rsidRPr="00A14F11">
        <w:rPr>
          <w:rFonts w:ascii="Arial" w:hAnsi="Arial" w:cs="Arial"/>
          <w:szCs w:val="22"/>
        </w:rPr>
        <w:t>the question was whether in the period after the notification of the complaint Google did not know, and had no reason to believe, that what it did caused or contributed to the publication of a defamatory statement</w:t>
      </w:r>
      <w:r w:rsidR="00F2071E">
        <w:rPr>
          <w:rFonts w:ascii="Arial" w:hAnsi="Arial" w:cs="Arial"/>
          <w:szCs w:val="22"/>
        </w:rPr>
        <w:t xml:space="preserve">: S.1(1)(c). </w:t>
      </w:r>
      <w:r w:rsidR="00FC34E2" w:rsidRPr="00A14F11">
        <w:rPr>
          <w:rFonts w:ascii="Arial" w:hAnsi="Arial" w:cs="Arial"/>
          <w:szCs w:val="22"/>
        </w:rPr>
        <w:t xml:space="preserve">Contrary to the position of Eady J., the Court of Appeal found that Google did indeed know or had reason to believe that its actions caused or contributed to the continued publication of the comments. Therefore, if Google were found </w:t>
      </w:r>
      <w:r w:rsidR="008A6027" w:rsidRPr="00A14F11">
        <w:rPr>
          <w:rFonts w:ascii="Arial" w:hAnsi="Arial" w:cs="Arial"/>
          <w:szCs w:val="22"/>
        </w:rPr>
        <w:t xml:space="preserve">to be a publisher </w:t>
      </w:r>
      <w:r w:rsidR="00FC34E2" w:rsidRPr="00A14F11">
        <w:rPr>
          <w:rFonts w:ascii="Arial" w:hAnsi="Arial" w:cs="Arial"/>
          <w:szCs w:val="22"/>
        </w:rPr>
        <w:t>of the defamatory comments, s. 1</w:t>
      </w:r>
      <w:r w:rsidR="008A6027" w:rsidRPr="00A14F11">
        <w:rPr>
          <w:rFonts w:ascii="Arial" w:hAnsi="Arial" w:cs="Arial"/>
          <w:szCs w:val="22"/>
        </w:rPr>
        <w:t xml:space="preserve"> of the Defamation Act 1996</w:t>
      </w:r>
      <w:r w:rsidR="00E149C6" w:rsidRPr="00A14F11">
        <w:rPr>
          <w:rFonts w:ascii="Arial" w:hAnsi="Arial" w:cs="Arial"/>
          <w:szCs w:val="22"/>
        </w:rPr>
        <w:t xml:space="preserve"> </w:t>
      </w:r>
      <w:r w:rsidR="00FC34E2" w:rsidRPr="00A14F11">
        <w:rPr>
          <w:rFonts w:ascii="Arial" w:hAnsi="Arial" w:cs="Arial"/>
          <w:szCs w:val="22"/>
        </w:rPr>
        <w:t>would</w:t>
      </w:r>
      <w:r w:rsidR="00E32F29" w:rsidRPr="00A14F11">
        <w:rPr>
          <w:rFonts w:ascii="Arial" w:hAnsi="Arial" w:cs="Arial"/>
          <w:szCs w:val="22"/>
        </w:rPr>
        <w:t xml:space="preserve"> not </w:t>
      </w:r>
      <w:r w:rsidR="00F2071E">
        <w:rPr>
          <w:rFonts w:ascii="Arial" w:hAnsi="Arial" w:cs="Arial"/>
          <w:szCs w:val="22"/>
        </w:rPr>
        <w:t>afford a defence</w:t>
      </w:r>
      <w:r w:rsidR="00E32F29" w:rsidRPr="00A14F11">
        <w:rPr>
          <w:rFonts w:ascii="Arial" w:hAnsi="Arial" w:cs="Arial"/>
          <w:szCs w:val="22"/>
        </w:rPr>
        <w:t>.</w:t>
      </w:r>
      <w:r w:rsidR="001846DC">
        <w:rPr>
          <w:rFonts w:ascii="Arial" w:hAnsi="Arial" w:cs="Arial"/>
          <w:szCs w:val="22"/>
        </w:rPr>
        <w:t xml:space="preserve">   </w:t>
      </w:r>
    </w:p>
    <w:p w:rsidR="006B1E57" w:rsidRPr="00A14F11" w:rsidRDefault="00FC34E2" w:rsidP="00D06483">
      <w:pPr>
        <w:pStyle w:val="NoSpacing"/>
        <w:spacing w:before="100" w:beforeAutospacing="1" w:after="100" w:afterAutospacing="1" w:line="360" w:lineRule="auto"/>
        <w:jc w:val="both"/>
        <w:rPr>
          <w:rFonts w:ascii="Arial" w:hAnsi="Arial" w:cs="Arial"/>
          <w:szCs w:val="22"/>
        </w:rPr>
      </w:pPr>
      <w:r w:rsidRPr="00A14F11">
        <w:rPr>
          <w:rFonts w:ascii="Arial" w:hAnsi="Arial" w:cs="Arial"/>
          <w:szCs w:val="22"/>
        </w:rPr>
        <w:t>However, t</w:t>
      </w:r>
      <w:r w:rsidR="006B1E57" w:rsidRPr="00A14F11">
        <w:rPr>
          <w:rFonts w:ascii="Arial" w:hAnsi="Arial" w:cs="Arial"/>
          <w:szCs w:val="22"/>
        </w:rPr>
        <w:t>he Court of Appeal agreed with Eady J</w:t>
      </w:r>
      <w:r w:rsidR="008A6027" w:rsidRPr="00A14F11">
        <w:rPr>
          <w:rFonts w:ascii="Arial" w:hAnsi="Arial" w:cs="Arial"/>
          <w:szCs w:val="22"/>
        </w:rPr>
        <w:t>.</w:t>
      </w:r>
      <w:r w:rsidR="006B1E57" w:rsidRPr="00A14F11">
        <w:rPr>
          <w:rFonts w:ascii="Arial" w:hAnsi="Arial" w:cs="Arial"/>
          <w:szCs w:val="22"/>
        </w:rPr>
        <w:t xml:space="preserve"> that on the facts, the case was too ‘trivial’ to be allo</w:t>
      </w:r>
      <w:r w:rsidR="00A461B9" w:rsidRPr="00A14F11">
        <w:rPr>
          <w:rFonts w:ascii="Arial" w:hAnsi="Arial" w:cs="Arial"/>
          <w:szCs w:val="22"/>
        </w:rPr>
        <w:t>wed to proceed</w:t>
      </w:r>
      <w:r w:rsidR="006B1E57" w:rsidRPr="00A14F11">
        <w:rPr>
          <w:rFonts w:ascii="Arial" w:hAnsi="Arial" w:cs="Arial"/>
          <w:szCs w:val="22"/>
        </w:rPr>
        <w:t>.</w:t>
      </w:r>
      <w:r w:rsidR="00D06483">
        <w:rPr>
          <w:rFonts w:ascii="Arial" w:hAnsi="Arial" w:cs="Arial"/>
          <w:szCs w:val="22"/>
        </w:rPr>
        <w:t xml:space="preserve"> In particular</w:t>
      </w:r>
      <w:r w:rsidR="00BB6338" w:rsidRPr="00A14F11">
        <w:rPr>
          <w:rFonts w:ascii="Arial" w:hAnsi="Arial" w:cs="Arial"/>
          <w:szCs w:val="22"/>
        </w:rPr>
        <w:t>, the c</w:t>
      </w:r>
      <w:r w:rsidRPr="00A14F11">
        <w:rPr>
          <w:rFonts w:ascii="Arial" w:hAnsi="Arial" w:cs="Arial"/>
          <w:szCs w:val="22"/>
        </w:rPr>
        <w:t>ourt raised doubts as to whether</w:t>
      </w:r>
      <w:r w:rsidR="006B1E57" w:rsidRPr="00A14F11">
        <w:rPr>
          <w:rFonts w:ascii="Arial" w:hAnsi="Arial" w:cs="Arial"/>
          <w:szCs w:val="22"/>
        </w:rPr>
        <w:t xml:space="preserve"> a significant number of people would have read the comments in question in the period between notification and r</w:t>
      </w:r>
      <w:r w:rsidR="00BB6338" w:rsidRPr="00A14F11">
        <w:rPr>
          <w:rFonts w:ascii="Arial" w:hAnsi="Arial" w:cs="Arial"/>
          <w:szCs w:val="22"/>
        </w:rPr>
        <w:t>emoval</w:t>
      </w:r>
      <w:r w:rsidR="006B1E57" w:rsidRPr="00A14F11">
        <w:rPr>
          <w:rFonts w:ascii="Arial" w:hAnsi="Arial" w:cs="Arial"/>
          <w:szCs w:val="22"/>
        </w:rPr>
        <w:t>.</w:t>
      </w:r>
    </w:p>
    <w:p w:rsidR="006B1E57" w:rsidRPr="00A14F11" w:rsidRDefault="008A6027" w:rsidP="008A6027">
      <w:pPr>
        <w:pStyle w:val="NormalWeb"/>
        <w:spacing w:line="360" w:lineRule="auto"/>
        <w:jc w:val="both"/>
        <w:rPr>
          <w:rFonts w:ascii="Arial" w:hAnsi="Arial" w:cs="Arial"/>
          <w:sz w:val="22"/>
          <w:szCs w:val="22"/>
        </w:rPr>
      </w:pPr>
      <w:r w:rsidRPr="00A14F11">
        <w:rPr>
          <w:rFonts w:ascii="Arial" w:hAnsi="Arial" w:cs="Arial"/>
          <w:sz w:val="22"/>
          <w:szCs w:val="22"/>
        </w:rPr>
        <w:t>Although Mr Tamiz lost</w:t>
      </w:r>
      <w:r w:rsidR="002A5650" w:rsidRPr="00A14F11">
        <w:rPr>
          <w:rFonts w:ascii="Arial" w:hAnsi="Arial" w:cs="Arial"/>
          <w:sz w:val="22"/>
          <w:szCs w:val="22"/>
        </w:rPr>
        <w:t xml:space="preserve"> the case</w:t>
      </w:r>
      <w:r w:rsidRPr="00A14F11">
        <w:rPr>
          <w:rFonts w:ascii="Arial" w:hAnsi="Arial" w:cs="Arial"/>
          <w:sz w:val="22"/>
          <w:szCs w:val="22"/>
        </w:rPr>
        <w:t xml:space="preserve">, the decision might be </w:t>
      </w:r>
      <w:r w:rsidR="002A5650" w:rsidRPr="00A14F11">
        <w:rPr>
          <w:rFonts w:ascii="Arial" w:hAnsi="Arial" w:cs="Arial"/>
          <w:sz w:val="22"/>
          <w:szCs w:val="22"/>
        </w:rPr>
        <w:t>helpful to other </w:t>
      </w:r>
      <w:r w:rsidR="006B1E57" w:rsidRPr="00A14F11">
        <w:rPr>
          <w:rFonts w:ascii="Arial" w:hAnsi="Arial" w:cs="Arial"/>
          <w:sz w:val="22"/>
          <w:szCs w:val="22"/>
        </w:rPr>
        <w:t>claimants hoping to r</w:t>
      </w:r>
      <w:r w:rsidRPr="00A14F11">
        <w:rPr>
          <w:rFonts w:ascii="Arial" w:hAnsi="Arial" w:cs="Arial"/>
          <w:sz w:val="22"/>
          <w:szCs w:val="22"/>
        </w:rPr>
        <w:t>emove defamatory material from b</w:t>
      </w:r>
      <w:r w:rsidR="006B1E57" w:rsidRPr="00A14F11">
        <w:rPr>
          <w:rFonts w:ascii="Arial" w:hAnsi="Arial" w:cs="Arial"/>
          <w:sz w:val="22"/>
          <w:szCs w:val="22"/>
        </w:rPr>
        <w:t>logger</w:t>
      </w:r>
      <w:r w:rsidRPr="00A14F11">
        <w:rPr>
          <w:rFonts w:ascii="Arial" w:hAnsi="Arial" w:cs="Arial"/>
          <w:sz w:val="22"/>
          <w:szCs w:val="22"/>
        </w:rPr>
        <w:t xml:space="preserve"> platforms. OSP</w:t>
      </w:r>
      <w:r w:rsidR="00F2071E">
        <w:rPr>
          <w:rFonts w:ascii="Arial" w:hAnsi="Arial" w:cs="Arial"/>
          <w:sz w:val="22"/>
          <w:szCs w:val="22"/>
        </w:rPr>
        <w:t>s</w:t>
      </w:r>
      <w:r w:rsidR="006B1E57" w:rsidRPr="00A14F11">
        <w:rPr>
          <w:rFonts w:ascii="Arial" w:hAnsi="Arial" w:cs="Arial"/>
          <w:sz w:val="22"/>
          <w:szCs w:val="22"/>
        </w:rPr>
        <w:t xml:space="preserve"> will have to react fast to notificatio</w:t>
      </w:r>
      <w:r w:rsidR="00947B88">
        <w:rPr>
          <w:rFonts w:ascii="Arial" w:hAnsi="Arial" w:cs="Arial"/>
          <w:sz w:val="22"/>
          <w:szCs w:val="22"/>
        </w:rPr>
        <w:t>n</w:t>
      </w:r>
      <w:r w:rsidRPr="00A14F11">
        <w:rPr>
          <w:rFonts w:ascii="Arial" w:hAnsi="Arial" w:cs="Arial"/>
          <w:sz w:val="22"/>
          <w:szCs w:val="22"/>
        </w:rPr>
        <w:t xml:space="preserve"> to avoid</w:t>
      </w:r>
      <w:r w:rsidR="006B1E57" w:rsidRPr="00A14F11">
        <w:rPr>
          <w:rFonts w:ascii="Arial" w:hAnsi="Arial" w:cs="Arial"/>
          <w:sz w:val="22"/>
          <w:szCs w:val="22"/>
        </w:rPr>
        <w:t xml:space="preserve"> liability as a publisher of users’ defamatory postings.</w:t>
      </w:r>
    </w:p>
    <w:p w:rsidR="00E32F29" w:rsidRPr="00A14F11" w:rsidRDefault="00DC5457" w:rsidP="0025778B">
      <w:pPr>
        <w:pStyle w:val="NormalWeb"/>
        <w:spacing w:line="360" w:lineRule="auto"/>
        <w:jc w:val="both"/>
        <w:rPr>
          <w:rFonts w:ascii="Arial" w:hAnsi="Arial" w:cs="Arial"/>
          <w:sz w:val="22"/>
          <w:szCs w:val="22"/>
        </w:rPr>
      </w:pPr>
      <w:r w:rsidRPr="00A14F11">
        <w:rPr>
          <w:rFonts w:ascii="Arial" w:hAnsi="Arial" w:cs="Arial"/>
          <w:sz w:val="22"/>
          <w:szCs w:val="22"/>
        </w:rPr>
        <w:t>H</w:t>
      </w:r>
      <w:r w:rsidR="008A6027" w:rsidRPr="00A14F11">
        <w:rPr>
          <w:rFonts w:ascii="Arial" w:hAnsi="Arial" w:cs="Arial"/>
          <w:sz w:val="22"/>
          <w:szCs w:val="22"/>
        </w:rPr>
        <w:t xml:space="preserve">owever, </w:t>
      </w:r>
      <w:r w:rsidR="005B3689" w:rsidRPr="00A14F11">
        <w:rPr>
          <w:rFonts w:ascii="Arial" w:hAnsi="Arial" w:cs="Arial"/>
          <w:sz w:val="22"/>
          <w:szCs w:val="22"/>
        </w:rPr>
        <w:t xml:space="preserve">it should be noted that </w:t>
      </w:r>
      <w:r w:rsidR="006B1E57" w:rsidRPr="00A14F11">
        <w:rPr>
          <w:rFonts w:ascii="Arial" w:hAnsi="Arial" w:cs="Arial"/>
          <w:sz w:val="22"/>
          <w:szCs w:val="22"/>
        </w:rPr>
        <w:t>Google’s role as a search engine was not affected by the Tamiz de</w:t>
      </w:r>
      <w:r w:rsidR="00844334" w:rsidRPr="00A14F11">
        <w:rPr>
          <w:rFonts w:ascii="Arial" w:hAnsi="Arial" w:cs="Arial"/>
          <w:sz w:val="22"/>
          <w:szCs w:val="22"/>
        </w:rPr>
        <w:t xml:space="preserve">cision. </w:t>
      </w:r>
      <w:r w:rsidR="008A6027" w:rsidRPr="00A14F11">
        <w:rPr>
          <w:rFonts w:ascii="Arial" w:hAnsi="Arial" w:cs="Arial"/>
          <w:sz w:val="22"/>
          <w:szCs w:val="22"/>
        </w:rPr>
        <w:t>As stated above</w:t>
      </w:r>
      <w:r w:rsidR="00352779">
        <w:rPr>
          <w:rFonts w:ascii="Arial" w:hAnsi="Arial" w:cs="Arial"/>
          <w:sz w:val="22"/>
          <w:szCs w:val="22"/>
        </w:rPr>
        <w:t>,</w:t>
      </w:r>
      <w:r w:rsidR="008A6027" w:rsidRPr="00A14F11">
        <w:rPr>
          <w:rFonts w:ascii="Arial" w:hAnsi="Arial" w:cs="Arial"/>
          <w:sz w:val="22"/>
          <w:szCs w:val="22"/>
        </w:rPr>
        <w:t xml:space="preserve"> in </w:t>
      </w:r>
      <w:r w:rsidR="006B1E57" w:rsidRPr="00A14F11">
        <w:rPr>
          <w:rFonts w:ascii="Arial" w:hAnsi="Arial" w:cs="Arial"/>
          <w:i/>
          <w:sz w:val="22"/>
          <w:szCs w:val="22"/>
        </w:rPr>
        <w:t>Metropolitan International Schools Ltd v (1) Designtechnica Corporation (2) Google UK Ltd &amp; (3) Google Inc</w:t>
      </w:r>
      <w:r w:rsidR="00352779">
        <w:rPr>
          <w:rFonts w:ascii="Arial" w:hAnsi="Arial" w:cs="Arial"/>
          <w:sz w:val="22"/>
          <w:szCs w:val="22"/>
        </w:rPr>
        <w:t>.</w:t>
      </w:r>
      <w:r w:rsidR="006B1E57" w:rsidRPr="00A14F11">
        <w:rPr>
          <w:rFonts w:ascii="Arial" w:hAnsi="Arial" w:cs="Arial"/>
          <w:sz w:val="22"/>
          <w:szCs w:val="22"/>
        </w:rPr>
        <w:t xml:space="preserve"> the court held Google was not a publisher of defamatory </w:t>
      </w:r>
      <w:r w:rsidR="008A6027" w:rsidRPr="00A14F11">
        <w:rPr>
          <w:rFonts w:ascii="Arial" w:hAnsi="Arial" w:cs="Arial"/>
          <w:sz w:val="22"/>
          <w:szCs w:val="22"/>
        </w:rPr>
        <w:t>material in search results.</w:t>
      </w:r>
      <w:r w:rsidR="00352779">
        <w:rPr>
          <w:rStyle w:val="FootnoteReference"/>
          <w:rFonts w:ascii="Arial" w:hAnsi="Arial" w:cs="Arial"/>
          <w:sz w:val="22"/>
          <w:szCs w:val="22"/>
        </w:rPr>
        <w:footnoteReference w:id="19"/>
      </w:r>
      <w:r w:rsidR="008A6027" w:rsidRPr="00A14F11">
        <w:rPr>
          <w:rFonts w:ascii="Arial" w:hAnsi="Arial" w:cs="Arial"/>
          <w:sz w:val="22"/>
          <w:szCs w:val="22"/>
        </w:rPr>
        <w:t xml:space="preserve"> Hence</w:t>
      </w:r>
      <w:r w:rsidR="00C257A3" w:rsidRPr="00A14F11">
        <w:rPr>
          <w:rFonts w:ascii="Arial" w:hAnsi="Arial" w:cs="Arial"/>
          <w:sz w:val="22"/>
          <w:szCs w:val="22"/>
        </w:rPr>
        <w:t>,</w:t>
      </w:r>
      <w:r w:rsidR="008A6027" w:rsidRPr="00A14F11">
        <w:rPr>
          <w:rFonts w:ascii="Arial" w:hAnsi="Arial" w:cs="Arial"/>
          <w:sz w:val="22"/>
          <w:szCs w:val="22"/>
        </w:rPr>
        <w:t xml:space="preserve"> this</w:t>
      </w:r>
      <w:r w:rsidR="00CB2CE8" w:rsidRPr="00A14F11">
        <w:rPr>
          <w:rFonts w:ascii="Arial" w:hAnsi="Arial" w:cs="Arial"/>
          <w:sz w:val="22"/>
          <w:szCs w:val="22"/>
        </w:rPr>
        <w:t xml:space="preserve"> rule still stands and</w:t>
      </w:r>
      <w:r w:rsidR="00D06483">
        <w:rPr>
          <w:rFonts w:ascii="Arial" w:hAnsi="Arial" w:cs="Arial"/>
          <w:sz w:val="22"/>
          <w:szCs w:val="22"/>
        </w:rPr>
        <w:t xml:space="preserve"> will be </w:t>
      </w:r>
      <w:r w:rsidR="00F2071E">
        <w:rPr>
          <w:rFonts w:ascii="Arial" w:hAnsi="Arial" w:cs="Arial"/>
          <w:sz w:val="22"/>
          <w:szCs w:val="22"/>
        </w:rPr>
        <w:t>followed</w:t>
      </w:r>
      <w:r w:rsidR="00D06483">
        <w:rPr>
          <w:rFonts w:ascii="Arial" w:hAnsi="Arial" w:cs="Arial"/>
          <w:sz w:val="22"/>
          <w:szCs w:val="22"/>
        </w:rPr>
        <w:t xml:space="preserve"> in future cases regarding the liability of search engines for defamatory content. </w:t>
      </w:r>
    </w:p>
    <w:p w:rsidR="00E32F29" w:rsidRPr="00A14F11" w:rsidRDefault="00E32F29" w:rsidP="00E32F29">
      <w:pPr>
        <w:spacing w:line="360" w:lineRule="auto"/>
        <w:jc w:val="both"/>
        <w:rPr>
          <w:rFonts w:ascii="Arial" w:hAnsi="Arial" w:cs="Arial"/>
          <w:b/>
          <w:szCs w:val="22"/>
        </w:rPr>
      </w:pPr>
      <w:r w:rsidRPr="00A14F11">
        <w:rPr>
          <w:rFonts w:ascii="Arial" w:hAnsi="Arial" w:cs="Arial"/>
          <w:b/>
          <w:szCs w:val="22"/>
        </w:rPr>
        <w:t>France</w:t>
      </w:r>
    </w:p>
    <w:p w:rsidR="004B58F6" w:rsidRPr="00A14F11" w:rsidRDefault="00E32F29" w:rsidP="0025778B">
      <w:pPr>
        <w:pStyle w:val="NormalWeb"/>
        <w:spacing w:line="360" w:lineRule="auto"/>
        <w:jc w:val="both"/>
        <w:rPr>
          <w:rFonts w:ascii="Arial" w:hAnsi="Arial" w:cs="Arial"/>
          <w:sz w:val="22"/>
          <w:szCs w:val="22"/>
        </w:rPr>
      </w:pPr>
      <w:r w:rsidRPr="00A14F11">
        <w:rPr>
          <w:rFonts w:ascii="Arial" w:hAnsi="Arial" w:cs="Arial"/>
          <w:sz w:val="22"/>
          <w:szCs w:val="22"/>
        </w:rPr>
        <w:lastRenderedPageBreak/>
        <w:t xml:space="preserve">The French </w:t>
      </w:r>
      <w:r w:rsidR="008A6027" w:rsidRPr="00A14F11">
        <w:rPr>
          <w:rFonts w:ascii="Arial" w:hAnsi="Arial" w:cs="Arial"/>
          <w:sz w:val="22"/>
          <w:szCs w:val="22"/>
        </w:rPr>
        <w:t>Cour de Cassation e</w:t>
      </w:r>
      <w:r w:rsidRPr="00A14F11">
        <w:rPr>
          <w:rFonts w:ascii="Arial" w:hAnsi="Arial" w:cs="Arial"/>
          <w:sz w:val="22"/>
          <w:szCs w:val="22"/>
        </w:rPr>
        <w:t>qually denied Google’s liability for predictions that appear when users type words, arguing that they do not reflect the will of the search tool.</w:t>
      </w:r>
      <w:r w:rsidRPr="00A14F11">
        <w:rPr>
          <w:rStyle w:val="FootnoteReference"/>
          <w:rFonts w:ascii="Arial" w:hAnsi="Arial" w:cs="Arial"/>
          <w:sz w:val="22"/>
          <w:szCs w:val="22"/>
        </w:rPr>
        <w:footnoteReference w:id="20"/>
      </w:r>
      <w:r w:rsidRPr="00A14F11">
        <w:rPr>
          <w:rFonts w:ascii="Arial" w:hAnsi="Arial" w:cs="Arial"/>
          <w:sz w:val="22"/>
          <w:szCs w:val="22"/>
        </w:rPr>
        <w:t xml:space="preserve"> The court stated that Google, in devising its algorithm, did not knowingly intend to publish false statements of fact and therefore a violation of French press laws could not be assumed. The limited liability of Google should be seen in the light of Article 6-I-2° of law n° 2004-575 dated June 21, 2004 for confidence in the digital economy (“LCEN”) which established a system of limited liability for internet hosting servers or providers. It should be noted, that the decision of the French Supreme Court is consistent with the interpretation adopted by the Court of Justice of the European Union (CJEU) on 23 March 2010 in the AdWords case where the Court decided that Google is only an information service provider </w:t>
      </w:r>
      <w:r w:rsidR="00D06483">
        <w:rPr>
          <w:rFonts w:ascii="Arial" w:hAnsi="Arial" w:cs="Arial"/>
          <w:sz w:val="22"/>
          <w:szCs w:val="22"/>
        </w:rPr>
        <w:t xml:space="preserve">and does not infringe any trade </w:t>
      </w:r>
      <w:r w:rsidRPr="00A14F11">
        <w:rPr>
          <w:rFonts w:ascii="Arial" w:hAnsi="Arial" w:cs="Arial"/>
          <w:sz w:val="22"/>
          <w:szCs w:val="22"/>
        </w:rPr>
        <w:t xml:space="preserve">marks; it only creates the environment in which trade mark owners and advertisers do business. </w:t>
      </w:r>
    </w:p>
    <w:p w:rsidR="004B58F6" w:rsidRPr="00A14F11" w:rsidRDefault="004B58F6" w:rsidP="0025778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Fonts w:ascii="Arial" w:hAnsi="Arial" w:cs="Arial"/>
          <w:szCs w:val="22"/>
          <w:lang w:eastAsia="en-GB"/>
        </w:rPr>
      </w:pPr>
      <w:r w:rsidRPr="00A14F11">
        <w:rPr>
          <w:rFonts w:ascii="Arial" w:hAnsi="Arial" w:cs="Arial"/>
          <w:szCs w:val="22"/>
          <w:lang w:eastAsia="en-GB"/>
        </w:rPr>
        <w:t xml:space="preserve">The case which has prompted the reference to the ECJ is that of </w:t>
      </w:r>
      <w:r w:rsidRPr="00A14F11">
        <w:rPr>
          <w:rFonts w:ascii="Arial" w:hAnsi="Arial" w:cs="Arial"/>
          <w:i/>
          <w:iCs/>
          <w:szCs w:val="22"/>
          <w:lang w:eastAsia="en-GB"/>
        </w:rPr>
        <w:t>Louis</w:t>
      </w:r>
      <w:r w:rsidR="00F52448" w:rsidRPr="00A14F11">
        <w:rPr>
          <w:rFonts w:ascii="Arial" w:hAnsi="Arial" w:cs="Arial"/>
          <w:i/>
          <w:iCs/>
          <w:szCs w:val="22"/>
          <w:lang w:eastAsia="en-GB"/>
        </w:rPr>
        <w:t xml:space="preserve"> </w:t>
      </w:r>
      <w:r w:rsidR="00D06483">
        <w:rPr>
          <w:rFonts w:ascii="Arial" w:hAnsi="Arial" w:cs="Arial"/>
          <w:i/>
          <w:iCs/>
          <w:szCs w:val="22"/>
          <w:lang w:eastAsia="en-GB"/>
        </w:rPr>
        <w:t xml:space="preserve">Vuitton Malletier </w:t>
      </w:r>
      <w:r w:rsidR="00352779">
        <w:rPr>
          <w:rFonts w:ascii="Arial" w:hAnsi="Arial" w:cs="Arial"/>
          <w:i/>
          <w:iCs/>
          <w:szCs w:val="22"/>
          <w:lang w:eastAsia="en-GB"/>
        </w:rPr>
        <w:t xml:space="preserve">v </w:t>
      </w:r>
      <w:r w:rsidRPr="00A14F11">
        <w:rPr>
          <w:rFonts w:ascii="Arial" w:hAnsi="Arial" w:cs="Arial"/>
          <w:i/>
          <w:iCs/>
          <w:szCs w:val="22"/>
          <w:lang w:eastAsia="en-GB"/>
        </w:rPr>
        <w:t>Google.</w:t>
      </w:r>
      <w:r w:rsidRPr="00A14F11">
        <w:rPr>
          <w:rFonts w:ascii="Arial" w:hAnsi="Arial" w:cs="Arial"/>
          <w:szCs w:val="22"/>
          <w:lang w:eastAsia="en-GB"/>
        </w:rPr>
        <w:t xml:space="preserve"> </w:t>
      </w:r>
      <w:r w:rsidR="00F52448" w:rsidRPr="00A14F11">
        <w:rPr>
          <w:rStyle w:val="FootnoteReference"/>
          <w:rFonts w:ascii="Arial" w:hAnsi="Arial" w:cs="Arial"/>
          <w:szCs w:val="22"/>
          <w:lang w:eastAsia="en-GB"/>
        </w:rPr>
        <w:footnoteReference w:id="21"/>
      </w:r>
      <w:r w:rsidR="00D06483">
        <w:rPr>
          <w:rFonts w:ascii="Arial" w:hAnsi="Arial" w:cs="Arial"/>
          <w:szCs w:val="22"/>
          <w:lang w:eastAsia="en-GB"/>
        </w:rPr>
        <w:t xml:space="preserve"> </w:t>
      </w:r>
      <w:r w:rsidRPr="00A14F11">
        <w:rPr>
          <w:rFonts w:ascii="Arial" w:hAnsi="Arial" w:cs="Arial"/>
          <w:szCs w:val="22"/>
          <w:lang w:eastAsia="en-GB"/>
        </w:rPr>
        <w:t xml:space="preserve">It followed a complaint from Louis Vuitton about the use of its trade marks </w:t>
      </w:r>
      <w:r w:rsidRPr="00A14F11">
        <w:rPr>
          <w:rFonts w:ascii="Arial" w:hAnsi="Arial" w:cs="Arial"/>
          <w:i/>
          <w:iCs/>
          <w:szCs w:val="22"/>
          <w:lang w:eastAsia="en-GB"/>
        </w:rPr>
        <w:t>Louis</w:t>
      </w:r>
      <w:r w:rsidR="00CB2CE8" w:rsidRPr="00A14F11">
        <w:rPr>
          <w:rFonts w:ascii="Arial" w:hAnsi="Arial" w:cs="Arial"/>
          <w:i/>
          <w:iCs/>
          <w:szCs w:val="22"/>
          <w:lang w:eastAsia="en-GB"/>
        </w:rPr>
        <w:t xml:space="preserve"> </w:t>
      </w:r>
      <w:r w:rsidRPr="00A14F11">
        <w:rPr>
          <w:rFonts w:ascii="Arial" w:hAnsi="Arial" w:cs="Arial"/>
          <w:i/>
          <w:iCs/>
          <w:szCs w:val="22"/>
          <w:lang w:eastAsia="en-GB"/>
        </w:rPr>
        <w:t>Vuitton</w:t>
      </w:r>
      <w:r w:rsidRPr="00A14F11">
        <w:rPr>
          <w:rFonts w:ascii="Arial" w:hAnsi="Arial" w:cs="Arial"/>
          <w:szCs w:val="22"/>
          <w:lang w:eastAsia="en-GB"/>
        </w:rPr>
        <w:t xml:space="preserve"> and </w:t>
      </w:r>
      <w:r w:rsidRPr="00A14F11">
        <w:rPr>
          <w:rFonts w:ascii="Arial" w:hAnsi="Arial" w:cs="Arial"/>
          <w:i/>
          <w:iCs/>
          <w:szCs w:val="22"/>
          <w:lang w:eastAsia="en-GB"/>
        </w:rPr>
        <w:t>LV</w:t>
      </w:r>
      <w:r w:rsidR="00F52448" w:rsidRPr="00A14F11">
        <w:rPr>
          <w:rFonts w:ascii="Arial" w:hAnsi="Arial" w:cs="Arial"/>
          <w:szCs w:val="22"/>
          <w:lang w:eastAsia="en-GB"/>
        </w:rPr>
        <w:t xml:space="preserve"> by </w:t>
      </w:r>
      <w:r w:rsidR="00C845CC">
        <w:rPr>
          <w:rFonts w:ascii="Arial" w:hAnsi="Arial" w:cs="Arial"/>
          <w:szCs w:val="22"/>
          <w:lang w:eastAsia="en-GB"/>
        </w:rPr>
        <w:t xml:space="preserve">Google's AdWords program. </w:t>
      </w:r>
      <w:r w:rsidRPr="00A14F11">
        <w:rPr>
          <w:rFonts w:ascii="Arial" w:hAnsi="Arial" w:cs="Arial"/>
          <w:szCs w:val="22"/>
          <w:lang w:eastAsia="en-GB"/>
        </w:rPr>
        <w:t xml:space="preserve">Louis </w:t>
      </w:r>
      <w:r w:rsidR="00297E26" w:rsidRPr="00A14F11">
        <w:rPr>
          <w:rFonts w:ascii="Arial" w:hAnsi="Arial" w:cs="Arial"/>
          <w:szCs w:val="22"/>
          <w:lang w:eastAsia="en-GB"/>
        </w:rPr>
        <w:t>Vuitton claimed</w:t>
      </w:r>
      <w:r w:rsidRPr="00A14F11">
        <w:rPr>
          <w:rFonts w:ascii="Arial" w:hAnsi="Arial" w:cs="Arial"/>
          <w:szCs w:val="22"/>
          <w:lang w:eastAsia="en-GB"/>
        </w:rPr>
        <w:t xml:space="preserve"> that when its trade marks </w:t>
      </w:r>
      <w:r w:rsidR="00F52448" w:rsidRPr="00A14F11">
        <w:rPr>
          <w:rFonts w:ascii="Arial" w:hAnsi="Arial" w:cs="Arial"/>
          <w:szCs w:val="22"/>
          <w:lang w:eastAsia="en-GB"/>
        </w:rPr>
        <w:t xml:space="preserve">were used as search terms in a </w:t>
      </w:r>
      <w:r w:rsidRPr="00A14F11">
        <w:rPr>
          <w:rFonts w:ascii="Arial" w:hAnsi="Arial" w:cs="Arial"/>
          <w:szCs w:val="22"/>
          <w:lang w:eastAsia="en-GB"/>
        </w:rPr>
        <w:t xml:space="preserve">Google search, the results that appeared included links and </w:t>
      </w:r>
      <w:r w:rsidR="00F52448" w:rsidRPr="00A14F11">
        <w:rPr>
          <w:rFonts w:ascii="Arial" w:hAnsi="Arial" w:cs="Arial"/>
          <w:szCs w:val="22"/>
          <w:lang w:eastAsia="en-GB"/>
        </w:rPr>
        <w:t xml:space="preserve">advertisements for counterfeit </w:t>
      </w:r>
      <w:r w:rsidRPr="00A14F11">
        <w:rPr>
          <w:rFonts w:ascii="Arial" w:hAnsi="Arial" w:cs="Arial"/>
          <w:szCs w:val="22"/>
          <w:lang w:eastAsia="en-GB"/>
        </w:rPr>
        <w:t>Louis</w:t>
      </w:r>
      <w:r w:rsidR="00297E26" w:rsidRPr="00A14F11">
        <w:rPr>
          <w:rFonts w:ascii="Arial" w:hAnsi="Arial" w:cs="Arial"/>
          <w:szCs w:val="22"/>
          <w:lang w:eastAsia="en-GB"/>
        </w:rPr>
        <w:t xml:space="preserve"> </w:t>
      </w:r>
      <w:r w:rsidR="00C845CC">
        <w:rPr>
          <w:rFonts w:ascii="Arial" w:hAnsi="Arial" w:cs="Arial"/>
          <w:szCs w:val="22"/>
          <w:lang w:eastAsia="en-GB"/>
        </w:rPr>
        <w:t xml:space="preserve">Vuitton products. </w:t>
      </w:r>
      <w:r w:rsidRPr="00A14F11">
        <w:rPr>
          <w:rFonts w:ascii="Arial" w:hAnsi="Arial" w:cs="Arial"/>
          <w:szCs w:val="22"/>
          <w:lang w:eastAsia="en-GB"/>
        </w:rPr>
        <w:t>Louis Vuitton</w:t>
      </w:r>
      <w:r w:rsidR="00F52448" w:rsidRPr="00A14F11">
        <w:rPr>
          <w:rFonts w:ascii="Arial" w:hAnsi="Arial" w:cs="Arial"/>
          <w:szCs w:val="22"/>
          <w:lang w:eastAsia="en-GB"/>
        </w:rPr>
        <w:t xml:space="preserve"> sued </w:t>
      </w:r>
      <w:r w:rsidRPr="00A14F11">
        <w:rPr>
          <w:rFonts w:ascii="Arial" w:hAnsi="Arial" w:cs="Arial"/>
          <w:szCs w:val="22"/>
          <w:lang w:eastAsia="en-GB"/>
        </w:rPr>
        <w:t>Google for trade mark infringement, unfair competition and unfair advertising practices.</w:t>
      </w:r>
    </w:p>
    <w:p w:rsidR="00E149C6" w:rsidRPr="00C10489" w:rsidRDefault="002718A0" w:rsidP="00C1048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autoSpaceDE w:val="0"/>
        <w:autoSpaceDN w:val="0"/>
        <w:adjustRightInd w:val="0"/>
        <w:spacing w:before="0" w:after="0" w:line="360" w:lineRule="auto"/>
        <w:jc w:val="both"/>
        <w:rPr>
          <w:rFonts w:ascii="Arial" w:hAnsi="Arial" w:cs="Arial"/>
          <w:szCs w:val="22"/>
        </w:rPr>
      </w:pPr>
      <w:r>
        <w:rPr>
          <w:rFonts w:ascii="Arial" w:hAnsi="Arial" w:cs="Arial"/>
          <w:szCs w:val="22"/>
        </w:rPr>
        <w:lastRenderedPageBreak/>
        <w:t>Apart from specific trade mark issues, the Court ruling also</w:t>
      </w:r>
      <w:r w:rsidR="00C10489">
        <w:rPr>
          <w:rFonts w:ascii="Arial" w:hAnsi="Arial" w:cs="Arial"/>
          <w:szCs w:val="22"/>
        </w:rPr>
        <w:t xml:space="preserve"> analysed the</w:t>
      </w:r>
      <w:r w:rsidR="00C10489" w:rsidRPr="00C10489">
        <w:rPr>
          <w:rFonts w:ascii="Arial" w:hAnsi="Arial" w:cs="Arial"/>
          <w:szCs w:val="22"/>
        </w:rPr>
        <w:t xml:space="preserve"> possibility of applying Article 14 of the E-Commerce Directive to Google AdWords.</w:t>
      </w:r>
      <w:r w:rsidR="00297E26" w:rsidRPr="00C10489">
        <w:rPr>
          <w:rStyle w:val="FootnoteReference"/>
          <w:rFonts w:ascii="Arial" w:hAnsi="Arial" w:cs="Arial"/>
          <w:szCs w:val="22"/>
        </w:rPr>
        <w:footnoteReference w:id="22"/>
      </w:r>
      <w:r w:rsidR="005B3689" w:rsidRPr="00C10489">
        <w:rPr>
          <w:rFonts w:ascii="Arial" w:hAnsi="Arial" w:cs="Arial"/>
          <w:szCs w:val="22"/>
        </w:rPr>
        <w:t xml:space="preserve"> </w:t>
      </w:r>
      <w:r w:rsidR="00DE78C0" w:rsidRPr="00DE78C0">
        <w:rPr>
          <w:rFonts w:ascii="Arial" w:hAnsi="Arial" w:cs="Arial"/>
          <w:szCs w:val="22"/>
        </w:rPr>
        <w:t>According to Article 14, providers that store third party content on their servers may not be held liable for damages, unless they fail to block access to the information upon obtaining actual knowledge of the illegal activity or information or upon becoming aware of facts or circumstances from which illegal activity or information is apparent</w:t>
      </w:r>
      <w:r w:rsidR="00DE78C0">
        <w:rPr>
          <w:rFonts w:ascii="Verdana" w:hAnsi="Verdana"/>
          <w:sz w:val="20"/>
        </w:rPr>
        <w:t xml:space="preserve"> </w:t>
      </w:r>
      <w:r w:rsidR="00E149C6" w:rsidRPr="00C10489">
        <w:rPr>
          <w:rFonts w:ascii="Arial" w:hAnsi="Arial" w:cs="Arial"/>
          <w:szCs w:val="22"/>
        </w:rPr>
        <w:t>(“safe harbour provision”).</w:t>
      </w:r>
    </w:p>
    <w:p w:rsidR="00C257A3" w:rsidRPr="00A14F11" w:rsidRDefault="005B3689" w:rsidP="0025778B">
      <w:pPr>
        <w:pStyle w:val="NormalWeb"/>
        <w:spacing w:line="360" w:lineRule="auto"/>
        <w:jc w:val="both"/>
        <w:rPr>
          <w:rFonts w:ascii="Arial" w:hAnsi="Arial" w:cs="Arial"/>
          <w:sz w:val="22"/>
          <w:szCs w:val="22"/>
        </w:rPr>
      </w:pPr>
      <w:r w:rsidRPr="00A14F11">
        <w:rPr>
          <w:rFonts w:ascii="Arial" w:hAnsi="Arial" w:cs="Arial"/>
          <w:sz w:val="22"/>
          <w:szCs w:val="22"/>
        </w:rPr>
        <w:t xml:space="preserve">Specifically, the question was whether </w:t>
      </w:r>
      <w:r w:rsidR="00CB2CE8" w:rsidRPr="00A14F11">
        <w:rPr>
          <w:rFonts w:ascii="Arial" w:hAnsi="Arial" w:cs="Arial"/>
          <w:sz w:val="22"/>
          <w:szCs w:val="22"/>
        </w:rPr>
        <w:t>Google’s AdWords</w:t>
      </w:r>
      <w:r w:rsidRPr="00A14F11">
        <w:rPr>
          <w:rFonts w:ascii="Arial" w:hAnsi="Arial" w:cs="Arial"/>
          <w:sz w:val="22"/>
          <w:szCs w:val="22"/>
        </w:rPr>
        <w:t xml:space="preserve"> service</w:t>
      </w:r>
      <w:r w:rsidR="00CB2CE8" w:rsidRPr="00A14F11">
        <w:rPr>
          <w:rFonts w:ascii="Arial" w:hAnsi="Arial" w:cs="Arial"/>
          <w:sz w:val="22"/>
          <w:szCs w:val="22"/>
        </w:rPr>
        <w:t xml:space="preserve"> could be regarded as</w:t>
      </w:r>
      <w:r w:rsidRPr="00A14F11">
        <w:rPr>
          <w:rFonts w:ascii="Arial" w:hAnsi="Arial" w:cs="Arial"/>
          <w:sz w:val="22"/>
          <w:szCs w:val="22"/>
        </w:rPr>
        <w:t xml:space="preserve"> an information society service</w:t>
      </w:r>
      <w:r w:rsidR="00CB2CE8" w:rsidRPr="00A14F11">
        <w:rPr>
          <w:rFonts w:ascii="Arial" w:hAnsi="Arial" w:cs="Arial"/>
          <w:sz w:val="22"/>
          <w:szCs w:val="22"/>
        </w:rPr>
        <w:t xml:space="preserve"> as defined by Art 2(a)</w:t>
      </w:r>
      <w:r w:rsidR="00D06483">
        <w:rPr>
          <w:rFonts w:ascii="Arial" w:hAnsi="Arial" w:cs="Arial"/>
          <w:sz w:val="22"/>
          <w:szCs w:val="22"/>
        </w:rPr>
        <w:t xml:space="preserve"> of the E-Commerce Directive</w:t>
      </w:r>
      <w:r w:rsidR="00CB2CE8" w:rsidRPr="00A14F11">
        <w:rPr>
          <w:rFonts w:ascii="Arial" w:hAnsi="Arial" w:cs="Arial"/>
          <w:sz w:val="22"/>
          <w:szCs w:val="22"/>
        </w:rPr>
        <w:t>, so that Google</w:t>
      </w:r>
      <w:r w:rsidRPr="00A14F11">
        <w:rPr>
          <w:rFonts w:ascii="Arial" w:hAnsi="Arial" w:cs="Arial"/>
          <w:sz w:val="22"/>
          <w:szCs w:val="22"/>
        </w:rPr>
        <w:t xml:space="preserve"> cannot incur liability until it has been notified by the trade mark proprietor of the unlawful use</w:t>
      </w:r>
      <w:r w:rsidR="00833174" w:rsidRPr="00A14F11">
        <w:rPr>
          <w:rFonts w:ascii="Arial" w:hAnsi="Arial" w:cs="Arial"/>
          <w:sz w:val="22"/>
          <w:szCs w:val="22"/>
        </w:rPr>
        <w:t xml:space="preserve"> of the sign by the advertiser.</w:t>
      </w:r>
    </w:p>
    <w:p w:rsidR="00C257A3" w:rsidRPr="00A14F11" w:rsidRDefault="00C257A3" w:rsidP="0083317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Fonts w:ascii="Arial" w:hAnsi="Arial" w:cs="Arial"/>
          <w:szCs w:val="22"/>
          <w:lang w:eastAsia="en-GB"/>
        </w:rPr>
      </w:pPr>
      <w:r w:rsidRPr="00A14F11">
        <w:rPr>
          <w:rFonts w:ascii="Arial" w:hAnsi="Arial" w:cs="Arial"/>
          <w:szCs w:val="22"/>
          <w:lang w:eastAsia="en-GB"/>
        </w:rPr>
        <w:t xml:space="preserve">According to the Court, in order to establish whether the liability of a referencing service provider like Google may be limited under Article 14 of </w:t>
      </w:r>
      <w:r w:rsidR="00833174" w:rsidRPr="00A14F11">
        <w:rPr>
          <w:rFonts w:ascii="Arial" w:hAnsi="Arial" w:cs="Arial"/>
          <w:szCs w:val="22"/>
          <w:lang w:eastAsia="en-GB"/>
        </w:rPr>
        <w:t>the E-Commerce Directive</w:t>
      </w:r>
      <w:r w:rsidRPr="00A14F11">
        <w:rPr>
          <w:rFonts w:ascii="Arial" w:hAnsi="Arial" w:cs="Arial"/>
          <w:szCs w:val="22"/>
          <w:lang w:eastAsia="en-GB"/>
        </w:rPr>
        <w:t>, the national court will have to examine whether the role played by th</w:t>
      </w:r>
      <w:r w:rsidR="00BB5F33">
        <w:rPr>
          <w:rFonts w:ascii="Arial" w:hAnsi="Arial" w:cs="Arial"/>
          <w:szCs w:val="22"/>
          <w:lang w:eastAsia="en-GB"/>
        </w:rPr>
        <w:t>at service is neutral. Such a neutral role of the provider can be assumed if</w:t>
      </w:r>
      <w:r w:rsidRPr="00A14F11">
        <w:rPr>
          <w:rFonts w:ascii="Arial" w:hAnsi="Arial" w:cs="Arial"/>
          <w:szCs w:val="22"/>
          <w:lang w:eastAsia="en-GB"/>
        </w:rPr>
        <w:t xml:space="preserve"> its conduct is merely technical, automatic and passive, pointing to a lack of knowledge or control of the data which it stores.</w:t>
      </w:r>
    </w:p>
    <w:p w:rsidR="005B3689" w:rsidRDefault="00BB5F33" w:rsidP="0025778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line="360" w:lineRule="auto"/>
        <w:jc w:val="both"/>
        <w:rPr>
          <w:rFonts w:ascii="Arial" w:hAnsi="Arial" w:cs="Arial"/>
          <w:szCs w:val="22"/>
        </w:rPr>
      </w:pPr>
      <w:r>
        <w:rPr>
          <w:rFonts w:ascii="Arial" w:hAnsi="Arial" w:cs="Arial"/>
          <w:szCs w:val="22"/>
        </w:rPr>
        <w:t>If the national court concludes</w:t>
      </w:r>
      <w:r w:rsidR="00C257A3" w:rsidRPr="00A14F11">
        <w:rPr>
          <w:rFonts w:ascii="Arial" w:hAnsi="Arial" w:cs="Arial"/>
          <w:szCs w:val="22"/>
        </w:rPr>
        <w:t xml:space="preserve"> that this is the case, Google should not be held liable for the data which it has stored at the request of an advertiser unless, having obtained knowledge of the unlawful nature of those data or of that advertiser’s activities</w:t>
      </w:r>
      <w:r>
        <w:rPr>
          <w:rFonts w:ascii="Arial" w:hAnsi="Arial" w:cs="Arial"/>
          <w:szCs w:val="22"/>
        </w:rPr>
        <w:t>, it failed</w:t>
      </w:r>
      <w:r w:rsidR="00C257A3" w:rsidRPr="00A14F11">
        <w:rPr>
          <w:rFonts w:ascii="Arial" w:hAnsi="Arial" w:cs="Arial"/>
          <w:szCs w:val="22"/>
        </w:rPr>
        <w:t xml:space="preserve"> to remove or to disable access to the data concerned.</w:t>
      </w:r>
    </w:p>
    <w:p w:rsidR="00CC6B95" w:rsidRPr="00C10489" w:rsidRDefault="00C10489" w:rsidP="00C1048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autoSpaceDE w:val="0"/>
        <w:autoSpaceDN w:val="0"/>
        <w:adjustRightInd w:val="0"/>
        <w:spacing w:before="0" w:after="0" w:line="360" w:lineRule="auto"/>
        <w:jc w:val="both"/>
        <w:rPr>
          <w:rFonts w:ascii="Arial" w:hAnsi="Arial" w:cs="Arial"/>
          <w:szCs w:val="22"/>
        </w:rPr>
      </w:pPr>
      <w:r w:rsidRPr="00C10489">
        <w:rPr>
          <w:rFonts w:ascii="Arial" w:hAnsi="Arial" w:cs="Arial"/>
          <w:szCs w:val="22"/>
        </w:rPr>
        <w:t>In summar</w:t>
      </w:r>
      <w:r w:rsidR="00DE78C0">
        <w:rPr>
          <w:rFonts w:ascii="Arial" w:hAnsi="Arial" w:cs="Arial"/>
          <w:szCs w:val="22"/>
        </w:rPr>
        <w:t>y, the Court has under certain conditions extended</w:t>
      </w:r>
      <w:r w:rsidRPr="00C10489">
        <w:rPr>
          <w:rFonts w:ascii="Arial" w:hAnsi="Arial" w:cs="Arial"/>
          <w:szCs w:val="22"/>
        </w:rPr>
        <w:t xml:space="preserve"> the sphere of application of</w:t>
      </w:r>
      <w:r>
        <w:rPr>
          <w:rFonts w:ascii="Arial" w:hAnsi="Arial" w:cs="Arial"/>
          <w:szCs w:val="22"/>
        </w:rPr>
        <w:t xml:space="preserve"> </w:t>
      </w:r>
      <w:r w:rsidRPr="00C10489">
        <w:rPr>
          <w:rFonts w:ascii="Arial" w:hAnsi="Arial" w:cs="Arial"/>
          <w:szCs w:val="22"/>
        </w:rPr>
        <w:t>Article 14</w:t>
      </w:r>
      <w:r w:rsidR="009C3E64">
        <w:rPr>
          <w:rFonts w:ascii="Arial" w:hAnsi="Arial" w:cs="Arial"/>
          <w:szCs w:val="22"/>
        </w:rPr>
        <w:t xml:space="preserve"> of the E-Commerce Directive</w:t>
      </w:r>
      <w:r w:rsidRPr="00C10489">
        <w:rPr>
          <w:rFonts w:ascii="Arial" w:hAnsi="Arial" w:cs="Arial"/>
          <w:szCs w:val="22"/>
        </w:rPr>
        <w:t xml:space="preserve"> to sponsored links servic</w:t>
      </w:r>
      <w:r>
        <w:rPr>
          <w:rFonts w:ascii="Arial" w:hAnsi="Arial" w:cs="Arial"/>
          <w:szCs w:val="22"/>
        </w:rPr>
        <w:t xml:space="preserve">es. This is an important judgment as </w:t>
      </w:r>
      <w:r>
        <w:rPr>
          <w:rFonts w:ascii="Arial" w:hAnsi="Arial" w:cs="Arial"/>
          <w:szCs w:val="22"/>
        </w:rPr>
        <w:lastRenderedPageBreak/>
        <w:t xml:space="preserve">many </w:t>
      </w:r>
      <w:r w:rsidRPr="00C10489">
        <w:rPr>
          <w:rFonts w:ascii="Arial" w:hAnsi="Arial" w:cs="Arial"/>
          <w:szCs w:val="22"/>
        </w:rPr>
        <w:t>content service providers</w:t>
      </w:r>
      <w:r>
        <w:rPr>
          <w:rFonts w:ascii="Arial" w:hAnsi="Arial" w:cs="Arial"/>
          <w:szCs w:val="22"/>
        </w:rPr>
        <w:t xml:space="preserve"> </w:t>
      </w:r>
      <w:r w:rsidRPr="00C10489">
        <w:rPr>
          <w:rFonts w:ascii="Arial" w:hAnsi="Arial" w:cs="Arial"/>
          <w:szCs w:val="22"/>
        </w:rPr>
        <w:t>will now be able to rely on the</w:t>
      </w:r>
      <w:r w:rsidR="00F2071E">
        <w:rPr>
          <w:rFonts w:ascii="Arial" w:hAnsi="Arial" w:cs="Arial"/>
          <w:szCs w:val="22"/>
        </w:rPr>
        <w:t>ir</w:t>
      </w:r>
      <w:r w:rsidRPr="00C10489">
        <w:rPr>
          <w:rFonts w:ascii="Arial" w:hAnsi="Arial" w:cs="Arial"/>
          <w:szCs w:val="22"/>
        </w:rPr>
        <w:t xml:space="preserve"> lack of knowledge or control over data </w:t>
      </w:r>
      <w:r w:rsidR="00F2071E">
        <w:rPr>
          <w:rFonts w:ascii="Arial" w:hAnsi="Arial" w:cs="Arial"/>
          <w:szCs w:val="22"/>
        </w:rPr>
        <w:t>argument</w:t>
      </w:r>
      <w:r w:rsidRPr="00C10489">
        <w:rPr>
          <w:rFonts w:ascii="Arial" w:hAnsi="Arial" w:cs="Arial"/>
          <w:szCs w:val="22"/>
        </w:rPr>
        <w:t xml:space="preserve"> to avoid legal liability.</w:t>
      </w:r>
      <w:r w:rsidR="00947B88">
        <w:rPr>
          <w:rStyle w:val="FootnoteReference"/>
          <w:rFonts w:ascii="Arial" w:hAnsi="Arial" w:cs="Arial"/>
          <w:szCs w:val="22"/>
        </w:rPr>
        <w:footnoteReference w:id="23"/>
      </w:r>
    </w:p>
    <w:p w:rsidR="00E32F29" w:rsidRPr="00A14F11" w:rsidRDefault="00E32F29" w:rsidP="0025778B">
      <w:pPr>
        <w:pStyle w:val="NormalWeb"/>
        <w:spacing w:line="360" w:lineRule="auto"/>
        <w:jc w:val="both"/>
        <w:rPr>
          <w:rFonts w:ascii="Arial" w:hAnsi="Arial" w:cs="Arial"/>
          <w:b/>
          <w:sz w:val="22"/>
          <w:szCs w:val="22"/>
          <w:lang w:eastAsia="en-US"/>
        </w:rPr>
      </w:pPr>
      <w:r w:rsidRPr="00A14F11">
        <w:rPr>
          <w:rFonts w:ascii="Arial" w:hAnsi="Arial" w:cs="Arial"/>
          <w:b/>
          <w:sz w:val="22"/>
          <w:szCs w:val="22"/>
          <w:lang w:eastAsia="en-US"/>
        </w:rPr>
        <w:t>USA</w:t>
      </w:r>
    </w:p>
    <w:p w:rsidR="00E32F29" w:rsidRPr="00A14F11" w:rsidRDefault="00E32F29" w:rsidP="00E32F29">
      <w:pPr>
        <w:pStyle w:val="NormalWeb"/>
        <w:spacing w:line="360" w:lineRule="auto"/>
        <w:jc w:val="both"/>
        <w:rPr>
          <w:rFonts w:ascii="Arial" w:hAnsi="Arial" w:cs="Arial"/>
          <w:sz w:val="22"/>
          <w:szCs w:val="22"/>
        </w:rPr>
      </w:pPr>
      <w:r w:rsidRPr="00A14F11">
        <w:rPr>
          <w:rFonts w:ascii="Arial" w:hAnsi="Arial" w:cs="Arial"/>
          <w:sz w:val="22"/>
          <w:szCs w:val="22"/>
          <w:lang w:eastAsia="en-US"/>
        </w:rPr>
        <w:t xml:space="preserve">The US Supreme Court has yet to make a landmark decision on the issue of Google’s autocomplete results. However, it is very likely that, in the US, Google would be protected under section 230 of the Communications Decency Act of 1996 (CDA) which prohibits online service providers from being treated as the publisher of user-generated defamatory content. </w:t>
      </w:r>
      <w:r w:rsidRPr="00A14F11">
        <w:rPr>
          <w:rFonts w:ascii="Arial" w:hAnsi="Arial" w:cs="Arial"/>
          <w:sz w:val="22"/>
          <w:szCs w:val="22"/>
        </w:rPr>
        <w:t>In similar cases concerning the liability of OSP</w:t>
      </w:r>
      <w:r w:rsidR="00F2071E">
        <w:rPr>
          <w:rFonts w:ascii="Arial" w:hAnsi="Arial" w:cs="Arial"/>
          <w:sz w:val="22"/>
          <w:szCs w:val="22"/>
        </w:rPr>
        <w:t>’</w:t>
      </w:r>
      <w:r w:rsidRPr="00A14F11">
        <w:rPr>
          <w:rFonts w:ascii="Arial" w:hAnsi="Arial" w:cs="Arial"/>
          <w:sz w:val="22"/>
          <w:szCs w:val="22"/>
        </w:rPr>
        <w:t>s courts have generally applied a three-step test.</w:t>
      </w:r>
      <w:r w:rsidRPr="00A14F11">
        <w:rPr>
          <w:rStyle w:val="FootnoteReference"/>
          <w:rFonts w:ascii="Arial" w:hAnsi="Arial" w:cs="Arial"/>
          <w:sz w:val="22"/>
          <w:szCs w:val="22"/>
        </w:rPr>
        <w:footnoteReference w:id="24"/>
      </w:r>
      <w:r w:rsidRPr="00A14F11">
        <w:rPr>
          <w:rFonts w:ascii="Arial" w:hAnsi="Arial" w:cs="Arial"/>
          <w:sz w:val="22"/>
          <w:szCs w:val="22"/>
        </w:rPr>
        <w:t xml:space="preserve"> An OSP must satisfy each of the three steps to gain the benefit of the immunity of section 230 CDA.</w:t>
      </w:r>
    </w:p>
    <w:p w:rsidR="00E32F29" w:rsidRPr="00A14F11" w:rsidRDefault="00E32F29" w:rsidP="00E32F29">
      <w:pPr>
        <w:pStyle w:val="NormalWeb"/>
        <w:spacing w:line="360" w:lineRule="auto"/>
        <w:jc w:val="both"/>
        <w:rPr>
          <w:rFonts w:ascii="Arial" w:hAnsi="Arial" w:cs="Arial"/>
          <w:sz w:val="22"/>
          <w:szCs w:val="22"/>
        </w:rPr>
      </w:pPr>
      <w:r w:rsidRPr="00A14F11">
        <w:rPr>
          <w:rFonts w:ascii="Arial" w:hAnsi="Arial" w:cs="Arial"/>
          <w:sz w:val="22"/>
          <w:szCs w:val="22"/>
        </w:rPr>
        <w:t>1. The defendant must be a "provider or user" of an "interactive computer service."</w:t>
      </w:r>
    </w:p>
    <w:p w:rsidR="00E32F29" w:rsidRPr="00A14F11" w:rsidRDefault="00E32F29" w:rsidP="00E32F29">
      <w:pPr>
        <w:pStyle w:val="NormalWeb"/>
        <w:spacing w:line="360" w:lineRule="auto"/>
        <w:jc w:val="both"/>
        <w:rPr>
          <w:rFonts w:ascii="Arial" w:hAnsi="Arial" w:cs="Arial"/>
          <w:sz w:val="22"/>
          <w:szCs w:val="22"/>
        </w:rPr>
      </w:pPr>
      <w:r w:rsidRPr="00A14F11">
        <w:rPr>
          <w:rFonts w:ascii="Arial" w:hAnsi="Arial" w:cs="Arial"/>
          <w:sz w:val="22"/>
          <w:szCs w:val="22"/>
        </w:rPr>
        <w:t>2. The content at issue was posted or contributed by a third party; and</w:t>
      </w:r>
    </w:p>
    <w:p w:rsidR="00947B88" w:rsidRDefault="00E32F29" w:rsidP="00947B88">
      <w:pPr>
        <w:pStyle w:val="NormalWeb"/>
        <w:spacing w:line="360" w:lineRule="auto"/>
        <w:jc w:val="both"/>
        <w:rPr>
          <w:rFonts w:ascii="Arial" w:hAnsi="Arial" w:cs="Arial"/>
          <w:sz w:val="22"/>
          <w:szCs w:val="22"/>
        </w:rPr>
      </w:pPr>
      <w:r w:rsidRPr="00A14F11">
        <w:rPr>
          <w:rFonts w:ascii="Arial" w:hAnsi="Arial" w:cs="Arial"/>
          <w:sz w:val="22"/>
          <w:szCs w:val="22"/>
        </w:rPr>
        <w:t>3. The plaintiff’s cause of action attempts to treat the defendant as the speaker/provider of the content at issue</w:t>
      </w:r>
      <w:r w:rsidR="00947B88">
        <w:rPr>
          <w:rFonts w:ascii="Arial" w:hAnsi="Arial" w:cs="Arial"/>
          <w:sz w:val="22"/>
          <w:szCs w:val="22"/>
        </w:rPr>
        <w:t>.</w:t>
      </w:r>
    </w:p>
    <w:p w:rsidR="00F2071E" w:rsidRDefault="00E32F29" w:rsidP="0025778B">
      <w:pPr>
        <w:pStyle w:val="NormalWeb"/>
        <w:spacing w:line="360" w:lineRule="auto"/>
        <w:jc w:val="both"/>
        <w:rPr>
          <w:rFonts w:ascii="Arial" w:hAnsi="Arial" w:cs="Arial"/>
          <w:sz w:val="22"/>
          <w:szCs w:val="22"/>
        </w:rPr>
      </w:pPr>
      <w:r w:rsidRPr="00947B88">
        <w:rPr>
          <w:rFonts w:ascii="Arial" w:hAnsi="Arial" w:cs="Arial"/>
          <w:sz w:val="22"/>
          <w:szCs w:val="22"/>
        </w:rPr>
        <w:t>Applying the above principles it is almost certain that the courts would deny Google’s role as a responsible content creator.</w:t>
      </w:r>
      <w:r w:rsidRPr="00947B88">
        <w:rPr>
          <w:rStyle w:val="FootnoteReference"/>
          <w:rFonts w:ascii="Arial" w:hAnsi="Arial" w:cs="Arial"/>
          <w:sz w:val="22"/>
          <w:szCs w:val="22"/>
        </w:rPr>
        <w:footnoteReference w:id="25"/>
      </w:r>
    </w:p>
    <w:p w:rsidR="00F2071E" w:rsidRDefault="00F2071E" w:rsidP="0025778B">
      <w:pPr>
        <w:pStyle w:val="NormalWeb"/>
        <w:spacing w:line="360" w:lineRule="auto"/>
        <w:jc w:val="both"/>
        <w:rPr>
          <w:rFonts w:ascii="Arial" w:hAnsi="Arial" w:cs="Arial"/>
          <w:sz w:val="22"/>
          <w:szCs w:val="22"/>
        </w:rPr>
      </w:pPr>
    </w:p>
    <w:p w:rsidR="00F2071E" w:rsidRPr="00F2071E" w:rsidRDefault="00F2071E" w:rsidP="0025778B">
      <w:pPr>
        <w:pStyle w:val="NormalWeb"/>
        <w:spacing w:line="360" w:lineRule="auto"/>
        <w:jc w:val="both"/>
        <w:rPr>
          <w:rFonts w:ascii="Arial" w:hAnsi="Arial" w:cs="Arial"/>
          <w:sz w:val="22"/>
          <w:szCs w:val="22"/>
        </w:rPr>
      </w:pPr>
    </w:p>
    <w:p w:rsidR="00E32F29" w:rsidRPr="00947B88" w:rsidRDefault="00E32F29" w:rsidP="0025778B">
      <w:pPr>
        <w:pStyle w:val="NormalWeb"/>
        <w:spacing w:line="360" w:lineRule="auto"/>
        <w:jc w:val="both"/>
        <w:rPr>
          <w:rFonts w:ascii="Arial" w:hAnsi="Arial" w:cs="Arial"/>
          <w:b/>
          <w:sz w:val="22"/>
          <w:szCs w:val="22"/>
        </w:rPr>
      </w:pPr>
      <w:r w:rsidRPr="00947B88">
        <w:rPr>
          <w:rFonts w:ascii="Arial" w:hAnsi="Arial" w:cs="Arial"/>
          <w:b/>
          <w:sz w:val="22"/>
          <w:szCs w:val="22"/>
        </w:rPr>
        <w:t>Australia</w:t>
      </w:r>
    </w:p>
    <w:p w:rsidR="001D0D5B" w:rsidRPr="001D0D5B" w:rsidRDefault="00E32F29" w:rsidP="003E76F7">
      <w:pPr>
        <w:pStyle w:val="NormalWeb"/>
        <w:spacing w:line="360" w:lineRule="auto"/>
        <w:jc w:val="both"/>
        <w:rPr>
          <w:rFonts w:ascii="Arial" w:hAnsi="Arial" w:cs="Arial"/>
          <w:sz w:val="22"/>
          <w:szCs w:val="22"/>
        </w:rPr>
      </w:pPr>
      <w:r w:rsidRPr="001D0D5B">
        <w:rPr>
          <w:rFonts w:ascii="Arial" w:hAnsi="Arial" w:cs="Arial"/>
          <w:sz w:val="22"/>
          <w:szCs w:val="22"/>
        </w:rPr>
        <w:t xml:space="preserve">As noted, apart from injunctive relief most </w:t>
      </w:r>
      <w:r w:rsidR="00F2071E">
        <w:rPr>
          <w:rFonts w:ascii="Arial" w:hAnsi="Arial" w:cs="Arial"/>
          <w:sz w:val="22"/>
          <w:szCs w:val="22"/>
        </w:rPr>
        <w:t>jurisdictions</w:t>
      </w:r>
      <w:r w:rsidRPr="001D0D5B">
        <w:rPr>
          <w:rFonts w:ascii="Arial" w:hAnsi="Arial" w:cs="Arial"/>
          <w:sz w:val="22"/>
          <w:szCs w:val="22"/>
        </w:rPr>
        <w:t xml:space="preserve"> are currently hesitant to grant damages to avoid a flood of claims against OSP</w:t>
      </w:r>
      <w:r w:rsidR="00F2071E">
        <w:rPr>
          <w:rFonts w:ascii="Arial" w:hAnsi="Arial" w:cs="Arial"/>
          <w:sz w:val="22"/>
          <w:szCs w:val="22"/>
        </w:rPr>
        <w:t>’</w:t>
      </w:r>
      <w:r w:rsidRPr="001D0D5B">
        <w:rPr>
          <w:rFonts w:ascii="Arial" w:hAnsi="Arial" w:cs="Arial"/>
          <w:sz w:val="22"/>
          <w:szCs w:val="22"/>
        </w:rPr>
        <w:t xml:space="preserve">s. The Supreme Court of Victoria in Australia, however, recently </w:t>
      </w:r>
      <w:r w:rsidR="00C234DC" w:rsidRPr="001D0D5B">
        <w:rPr>
          <w:rStyle w:val="Strong"/>
          <w:rFonts w:ascii="Arial" w:hAnsi="Arial" w:cs="Arial"/>
          <w:b w:val="0"/>
          <w:sz w:val="22"/>
          <w:szCs w:val="22"/>
        </w:rPr>
        <w:t xml:space="preserve">awarded a </w:t>
      </w:r>
      <w:r w:rsidR="00F2071E">
        <w:rPr>
          <w:rStyle w:val="Strong"/>
          <w:rFonts w:ascii="Arial" w:hAnsi="Arial" w:cs="Arial"/>
          <w:b w:val="0"/>
          <w:sz w:val="22"/>
          <w:szCs w:val="22"/>
        </w:rPr>
        <w:t>claimant</w:t>
      </w:r>
      <w:r w:rsidR="00BB5F33" w:rsidRPr="001D0D5B">
        <w:rPr>
          <w:rStyle w:val="Strong"/>
          <w:rFonts w:ascii="Arial" w:hAnsi="Arial" w:cs="Arial"/>
          <w:b w:val="0"/>
          <w:sz w:val="22"/>
          <w:szCs w:val="22"/>
        </w:rPr>
        <w:t xml:space="preserve"> a total of</w:t>
      </w:r>
      <w:r w:rsidRPr="001D0D5B">
        <w:rPr>
          <w:rStyle w:val="Strong"/>
          <w:rFonts w:ascii="Arial" w:hAnsi="Arial" w:cs="Arial"/>
          <w:b w:val="0"/>
          <w:sz w:val="22"/>
          <w:szCs w:val="22"/>
        </w:rPr>
        <w:t xml:space="preserve"> </w:t>
      </w:r>
      <w:r w:rsidR="00C234DC" w:rsidRPr="001D0D5B">
        <w:rPr>
          <w:rStyle w:val="Strong"/>
          <w:rFonts w:ascii="Arial" w:hAnsi="Arial" w:cs="Arial"/>
          <w:b w:val="0"/>
          <w:sz w:val="22"/>
          <w:szCs w:val="22"/>
        </w:rPr>
        <w:t>AU</w:t>
      </w:r>
      <w:r w:rsidRPr="001D0D5B">
        <w:rPr>
          <w:rStyle w:val="Strong"/>
          <w:rFonts w:ascii="Arial" w:hAnsi="Arial" w:cs="Arial"/>
          <w:b w:val="0"/>
          <w:sz w:val="22"/>
          <w:szCs w:val="22"/>
        </w:rPr>
        <w:t>$425,000 in damages after Google and Yahoo linked his photograph to one of Australia's most famous underworld figures.</w:t>
      </w:r>
      <w:r w:rsidRPr="001D0D5B">
        <w:rPr>
          <w:rStyle w:val="FootnoteReference"/>
          <w:rFonts w:ascii="Arial" w:hAnsi="Arial" w:cs="Arial"/>
          <w:bCs/>
          <w:sz w:val="22"/>
          <w:szCs w:val="22"/>
        </w:rPr>
        <w:footnoteReference w:id="26"/>
      </w:r>
      <w:r w:rsidRPr="001D0D5B">
        <w:rPr>
          <w:rStyle w:val="Strong"/>
          <w:rFonts w:ascii="Arial" w:hAnsi="Arial" w:cs="Arial"/>
          <w:sz w:val="22"/>
          <w:szCs w:val="22"/>
        </w:rPr>
        <w:t xml:space="preserve"> </w:t>
      </w:r>
      <w:r w:rsidR="001D0D5B" w:rsidRPr="001D0D5B">
        <w:rPr>
          <w:rStyle w:val="Strong"/>
          <w:rFonts w:ascii="Arial" w:hAnsi="Arial" w:cs="Arial"/>
          <w:b w:val="0"/>
          <w:sz w:val="22"/>
          <w:szCs w:val="22"/>
        </w:rPr>
        <w:t>In the Google case</w:t>
      </w:r>
      <w:r w:rsidR="001D0D5B" w:rsidRPr="001D0D5B">
        <w:rPr>
          <w:rStyle w:val="Strong"/>
          <w:rFonts w:ascii="Arial" w:hAnsi="Arial" w:cs="Arial"/>
          <w:sz w:val="22"/>
          <w:szCs w:val="22"/>
        </w:rPr>
        <w:t xml:space="preserve">, </w:t>
      </w:r>
      <w:r w:rsidR="001D0D5B" w:rsidRPr="001D0D5B">
        <w:rPr>
          <w:rFonts w:ascii="Arial" w:hAnsi="Arial" w:cs="Arial"/>
          <w:sz w:val="22"/>
          <w:szCs w:val="22"/>
        </w:rPr>
        <w:t xml:space="preserve">the jury had to deal with two separate issues: the first was the publication of a photo of the </w:t>
      </w:r>
      <w:r w:rsidR="00F2071E">
        <w:rPr>
          <w:rFonts w:ascii="Arial" w:hAnsi="Arial" w:cs="Arial"/>
          <w:sz w:val="22"/>
          <w:szCs w:val="22"/>
        </w:rPr>
        <w:t>claimant</w:t>
      </w:r>
      <w:r w:rsidR="001D0D5B" w:rsidRPr="001D0D5B">
        <w:rPr>
          <w:rFonts w:ascii="Arial" w:hAnsi="Arial" w:cs="Arial"/>
          <w:sz w:val="22"/>
          <w:szCs w:val="22"/>
        </w:rPr>
        <w:t xml:space="preserve"> that appeared on Google's image search. The second concerned a URL that appeared on Google's web search that linked to a web page containing the defamatory content, which included </w:t>
      </w:r>
      <w:r w:rsidR="00F2071E">
        <w:rPr>
          <w:rFonts w:ascii="Arial" w:hAnsi="Arial" w:cs="Arial"/>
          <w:sz w:val="22"/>
          <w:szCs w:val="22"/>
        </w:rPr>
        <w:t>his</w:t>
      </w:r>
      <w:r w:rsidR="001D0D5B" w:rsidRPr="001D0D5B">
        <w:rPr>
          <w:rFonts w:ascii="Arial" w:hAnsi="Arial" w:cs="Arial"/>
          <w:sz w:val="22"/>
          <w:szCs w:val="22"/>
        </w:rPr>
        <w:t xml:space="preserve"> image. As for t</w:t>
      </w:r>
      <w:r w:rsidR="00F2071E">
        <w:rPr>
          <w:rFonts w:ascii="Arial" w:hAnsi="Arial" w:cs="Arial"/>
          <w:sz w:val="22"/>
          <w:szCs w:val="22"/>
        </w:rPr>
        <w:t>he URL, the jury found that the claimant had not followed</w:t>
      </w:r>
      <w:r w:rsidR="001D0D5B" w:rsidRPr="001D0D5B">
        <w:rPr>
          <w:rFonts w:ascii="Arial" w:hAnsi="Arial" w:cs="Arial"/>
          <w:sz w:val="22"/>
          <w:szCs w:val="22"/>
        </w:rPr>
        <w:t xml:space="preserve"> the proper process of reporting offensive content by Google - which can </w:t>
      </w:r>
      <w:r w:rsidR="00870502">
        <w:rPr>
          <w:rFonts w:ascii="Arial" w:hAnsi="Arial" w:cs="Arial"/>
          <w:sz w:val="22"/>
          <w:szCs w:val="22"/>
        </w:rPr>
        <w:t>be done</w:t>
      </w:r>
      <w:r w:rsidR="001D0D5B" w:rsidRPr="001D0D5B">
        <w:rPr>
          <w:rFonts w:ascii="Arial" w:hAnsi="Arial" w:cs="Arial"/>
          <w:sz w:val="22"/>
          <w:szCs w:val="22"/>
        </w:rPr>
        <w:t xml:space="preserve"> by filling out a form on its website and that Google was therefore not liable.</w:t>
      </w:r>
    </w:p>
    <w:p w:rsidR="00BD4A1F" w:rsidRPr="00411650" w:rsidRDefault="001D0D5B" w:rsidP="00411650">
      <w:pPr>
        <w:pStyle w:val="NormalWeb"/>
        <w:spacing w:line="360" w:lineRule="auto"/>
        <w:jc w:val="both"/>
        <w:rPr>
          <w:rFonts w:ascii="Arial" w:hAnsi="Arial" w:cs="Arial"/>
          <w:sz w:val="22"/>
          <w:szCs w:val="22"/>
        </w:rPr>
      </w:pPr>
      <w:r w:rsidRPr="00EC2106">
        <w:rPr>
          <w:rFonts w:ascii="Arial" w:hAnsi="Arial" w:cs="Arial"/>
          <w:sz w:val="22"/>
          <w:szCs w:val="22"/>
        </w:rPr>
        <w:t>With regard to the photo of the</w:t>
      </w:r>
      <w:r w:rsidR="00F2071E">
        <w:rPr>
          <w:rFonts w:ascii="Arial" w:hAnsi="Arial" w:cs="Arial"/>
          <w:sz w:val="22"/>
          <w:szCs w:val="22"/>
        </w:rPr>
        <w:t xml:space="preserve"> claimant</w:t>
      </w:r>
      <w:r w:rsidRPr="00EC2106">
        <w:rPr>
          <w:rFonts w:ascii="Arial" w:hAnsi="Arial" w:cs="Arial"/>
          <w:sz w:val="22"/>
          <w:szCs w:val="22"/>
        </w:rPr>
        <w:t xml:space="preserve"> on Google’s image search,</w:t>
      </w:r>
      <w:r w:rsidR="00BD4A1F">
        <w:rPr>
          <w:rFonts w:ascii="Arial" w:hAnsi="Arial" w:cs="Arial"/>
          <w:sz w:val="22"/>
          <w:szCs w:val="22"/>
        </w:rPr>
        <w:t xml:space="preserve"> </w:t>
      </w:r>
      <w:r w:rsidR="00BD4A1F" w:rsidRPr="006C3F63">
        <w:rPr>
          <w:rFonts w:ascii="Arial" w:hAnsi="Arial" w:cs="Arial"/>
          <w:sz w:val="22"/>
          <w:szCs w:val="22"/>
        </w:rPr>
        <w:t xml:space="preserve">the claimant’s solicitors </w:t>
      </w:r>
      <w:r w:rsidR="00BD4A1F" w:rsidRPr="008E727B">
        <w:rPr>
          <w:rFonts w:ascii="Arial" w:hAnsi="Arial" w:cs="Arial"/>
          <w:sz w:val="22"/>
          <w:szCs w:val="22"/>
        </w:rPr>
        <w:t xml:space="preserve">had made </w:t>
      </w:r>
      <w:r w:rsidR="008E727B" w:rsidRPr="008E727B">
        <w:rPr>
          <w:rFonts w:ascii="Arial" w:hAnsi="Arial" w:cs="Arial"/>
          <w:sz w:val="22"/>
          <w:szCs w:val="22"/>
        </w:rPr>
        <w:t>a take</w:t>
      </w:r>
      <w:r w:rsidR="00BD4A1F" w:rsidRPr="00411650">
        <w:rPr>
          <w:rFonts w:ascii="Arial" w:hAnsi="Arial" w:cs="Arial"/>
          <w:sz w:val="22"/>
          <w:szCs w:val="22"/>
        </w:rPr>
        <w:t xml:space="preserve">down request </w:t>
      </w:r>
      <w:r w:rsidR="006C3F63" w:rsidRPr="00411650">
        <w:rPr>
          <w:rFonts w:ascii="Arial" w:hAnsi="Arial" w:cs="Arial"/>
          <w:sz w:val="22"/>
          <w:szCs w:val="22"/>
        </w:rPr>
        <w:t>by letter on</w:t>
      </w:r>
      <w:r w:rsidR="00BD4A1F" w:rsidRPr="00411650">
        <w:rPr>
          <w:rFonts w:ascii="Arial" w:hAnsi="Arial" w:cs="Arial"/>
          <w:sz w:val="22"/>
          <w:szCs w:val="22"/>
        </w:rPr>
        <w:t xml:space="preserve"> 22 September 2009. The letter requested Google to remove the</w:t>
      </w:r>
      <w:r w:rsidR="00422699" w:rsidRPr="00411650">
        <w:rPr>
          <w:rFonts w:ascii="Arial" w:hAnsi="Arial" w:cs="Arial"/>
          <w:sz w:val="22"/>
          <w:szCs w:val="22"/>
        </w:rPr>
        <w:t xml:space="preserve"> defamatory</w:t>
      </w:r>
      <w:r w:rsidR="00BD4A1F" w:rsidRPr="00411650">
        <w:rPr>
          <w:rFonts w:ascii="Arial" w:hAnsi="Arial" w:cs="Arial"/>
          <w:sz w:val="22"/>
          <w:szCs w:val="22"/>
        </w:rPr>
        <w:t xml:space="preserve"> material resulting from search results returned against the claimant by</w:t>
      </w:r>
      <w:r w:rsidR="008E727B">
        <w:rPr>
          <w:rFonts w:ascii="Arial" w:hAnsi="Arial" w:cs="Arial"/>
          <w:sz w:val="22"/>
          <w:szCs w:val="22"/>
        </w:rPr>
        <w:t xml:space="preserve"> </w:t>
      </w:r>
      <w:r w:rsidR="00BD4A1F" w:rsidRPr="00411650">
        <w:rPr>
          <w:rFonts w:ascii="Arial" w:hAnsi="Arial" w:cs="Arial"/>
          <w:sz w:val="22"/>
          <w:szCs w:val="22"/>
        </w:rPr>
        <w:t>28 September 2009.  On 10 October 2009 an email was sent from “help @ Google.com”, in which it was stated:</w:t>
      </w:r>
    </w:p>
    <w:p w:rsidR="00BD4A1F" w:rsidRPr="00411650" w:rsidRDefault="00BD4A1F" w:rsidP="00411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after="100" w:line="360" w:lineRule="auto"/>
        <w:jc w:val="both"/>
        <w:rPr>
          <w:rFonts w:ascii="Arial" w:hAnsi="Arial" w:cs="Arial"/>
          <w:szCs w:val="22"/>
          <w:lang w:eastAsia="en-GB"/>
        </w:rPr>
      </w:pPr>
      <w:r w:rsidRPr="00411650">
        <w:rPr>
          <w:rFonts w:ascii="Arial" w:hAnsi="Arial" w:cs="Arial"/>
          <w:szCs w:val="22"/>
          <w:lang w:eastAsia="en-GB"/>
        </w:rPr>
        <w:t>“At this time, Google has decided not to take action based on our policies concerning content removal. Please contact the webmaster of the page in question to have your client’s name removed from the page.”</w:t>
      </w:r>
    </w:p>
    <w:p w:rsidR="00422699" w:rsidRPr="00411650" w:rsidRDefault="00422699" w:rsidP="00411650">
      <w:pPr>
        <w:pStyle w:val="NormalWeb"/>
        <w:spacing w:line="360" w:lineRule="auto"/>
        <w:jc w:val="both"/>
        <w:rPr>
          <w:rFonts w:ascii="Arial" w:hAnsi="Arial" w:cs="Arial"/>
          <w:szCs w:val="22"/>
        </w:rPr>
      </w:pPr>
      <w:r w:rsidRPr="00411650">
        <w:rPr>
          <w:rFonts w:ascii="Arial" w:hAnsi="Arial" w:cs="Arial"/>
          <w:sz w:val="22"/>
          <w:szCs w:val="22"/>
        </w:rPr>
        <w:lastRenderedPageBreak/>
        <w:t>G</w:t>
      </w:r>
      <w:r w:rsidRPr="00411650">
        <w:rPr>
          <w:rFonts w:ascii="Arial" w:hAnsi="Arial" w:cs="Arial"/>
          <w:sz w:val="22"/>
          <w:szCs w:val="22"/>
          <w:lang w:eastAsia="en-US"/>
        </w:rPr>
        <w:t>oo</w:t>
      </w:r>
      <w:r w:rsidR="00BC2EF0" w:rsidRPr="00411650">
        <w:rPr>
          <w:rFonts w:ascii="Arial" w:hAnsi="Arial" w:cs="Arial"/>
          <w:sz w:val="22"/>
          <w:szCs w:val="22"/>
          <w:lang w:eastAsia="en-US"/>
        </w:rPr>
        <w:t>gle</w:t>
      </w:r>
      <w:r w:rsidR="00340221" w:rsidRPr="00411650">
        <w:rPr>
          <w:rFonts w:ascii="Arial" w:hAnsi="Arial" w:cs="Arial"/>
          <w:sz w:val="22"/>
          <w:szCs w:val="22"/>
          <w:lang w:eastAsia="en-US"/>
        </w:rPr>
        <w:t xml:space="preserve"> denied publication and pleaded de</w:t>
      </w:r>
      <w:r w:rsidR="00BC2EF0" w:rsidRPr="00411650">
        <w:rPr>
          <w:rFonts w:ascii="Arial" w:hAnsi="Arial" w:cs="Arial"/>
          <w:sz w:val="22"/>
          <w:szCs w:val="22"/>
          <w:lang w:eastAsia="en-US"/>
        </w:rPr>
        <w:t>fence</w:t>
      </w:r>
      <w:r w:rsidR="00340221" w:rsidRPr="00411650">
        <w:rPr>
          <w:rFonts w:ascii="Arial" w:hAnsi="Arial" w:cs="Arial"/>
          <w:sz w:val="22"/>
          <w:szCs w:val="22"/>
          <w:lang w:eastAsia="en-US"/>
        </w:rPr>
        <w:t xml:space="preserve"> of innocent</w:t>
      </w:r>
      <w:r w:rsidR="00BC2EF0" w:rsidRPr="00411650">
        <w:rPr>
          <w:rFonts w:ascii="Arial" w:hAnsi="Arial" w:cs="Arial"/>
          <w:sz w:val="22"/>
          <w:szCs w:val="22"/>
          <w:lang w:eastAsia="en-US"/>
        </w:rPr>
        <w:t xml:space="preserve"> dissemination</w:t>
      </w:r>
      <w:r w:rsidR="00340221" w:rsidRPr="00411650">
        <w:rPr>
          <w:rFonts w:ascii="Arial" w:hAnsi="Arial" w:cs="Arial"/>
          <w:sz w:val="22"/>
          <w:szCs w:val="22"/>
          <w:lang w:eastAsia="en-US"/>
        </w:rPr>
        <w:t xml:space="preserve"> pursuant to </w:t>
      </w:r>
      <w:hyperlink r:id="rId8" w:history="1">
        <w:r w:rsidR="00340221" w:rsidRPr="00F2071E">
          <w:rPr>
            <w:rFonts w:ascii="Arial" w:hAnsi="Arial" w:cs="Arial"/>
            <w:sz w:val="22"/>
            <w:szCs w:val="22"/>
            <w:lang w:eastAsia="en-US"/>
          </w:rPr>
          <w:t>s</w:t>
        </w:r>
        <w:r w:rsidR="00BD4A1F" w:rsidRPr="00F2071E">
          <w:rPr>
            <w:rFonts w:ascii="Arial" w:hAnsi="Arial" w:cs="Arial"/>
            <w:sz w:val="22"/>
            <w:szCs w:val="22"/>
            <w:lang w:eastAsia="en-US"/>
          </w:rPr>
          <w:t>.</w:t>
        </w:r>
        <w:r w:rsidR="00340221" w:rsidRPr="00F2071E">
          <w:rPr>
            <w:rFonts w:ascii="Arial" w:hAnsi="Arial" w:cs="Arial"/>
            <w:sz w:val="22"/>
            <w:szCs w:val="22"/>
            <w:lang w:eastAsia="en-US"/>
          </w:rPr>
          <w:t xml:space="preserve"> 32</w:t>
        </w:r>
      </w:hyperlink>
      <w:r w:rsidR="00340221" w:rsidRPr="00F2071E">
        <w:rPr>
          <w:rFonts w:ascii="Arial" w:hAnsi="Arial" w:cs="Arial"/>
          <w:sz w:val="22"/>
          <w:szCs w:val="22"/>
          <w:lang w:eastAsia="en-US"/>
        </w:rPr>
        <w:t xml:space="preserve"> </w:t>
      </w:r>
      <w:r w:rsidR="00340221" w:rsidRPr="00411650">
        <w:rPr>
          <w:rFonts w:ascii="Arial" w:hAnsi="Arial" w:cs="Arial"/>
          <w:sz w:val="22"/>
          <w:szCs w:val="22"/>
          <w:lang w:eastAsia="en-US"/>
        </w:rPr>
        <w:t xml:space="preserve">of the </w:t>
      </w:r>
      <w:hyperlink r:id="rId9" w:history="1">
        <w:r w:rsidR="00340221" w:rsidRPr="00F2071E">
          <w:rPr>
            <w:rFonts w:ascii="Arial" w:hAnsi="Arial" w:cs="Arial"/>
            <w:sz w:val="22"/>
            <w:szCs w:val="22"/>
            <w:lang w:eastAsia="en-US"/>
          </w:rPr>
          <w:t>Defamation Act 2005</w:t>
        </w:r>
      </w:hyperlink>
      <w:r w:rsidR="00340221" w:rsidRPr="00411650">
        <w:rPr>
          <w:rFonts w:ascii="Arial" w:hAnsi="Arial" w:cs="Arial"/>
          <w:sz w:val="22"/>
          <w:szCs w:val="22"/>
          <w:lang w:eastAsia="en-US"/>
        </w:rPr>
        <w:t xml:space="preserve">. </w:t>
      </w:r>
      <w:r w:rsidR="00BC2EF0" w:rsidRPr="00411650">
        <w:rPr>
          <w:rFonts w:ascii="Arial" w:hAnsi="Arial" w:cs="Arial"/>
          <w:sz w:val="22"/>
          <w:szCs w:val="22"/>
        </w:rPr>
        <w:t>T</w:t>
      </w:r>
      <w:r w:rsidR="00E14F4E" w:rsidRPr="00411650">
        <w:rPr>
          <w:rFonts w:ascii="Arial" w:hAnsi="Arial" w:cs="Arial"/>
          <w:sz w:val="22"/>
          <w:szCs w:val="22"/>
        </w:rPr>
        <w:t>h</w:t>
      </w:r>
      <w:r w:rsidR="008E727B">
        <w:rPr>
          <w:rFonts w:ascii="Arial" w:hAnsi="Arial" w:cs="Arial"/>
          <w:sz w:val="22"/>
          <w:szCs w:val="22"/>
        </w:rPr>
        <w:t>is defence</w:t>
      </w:r>
      <w:r w:rsidR="00340221" w:rsidRPr="00411650">
        <w:rPr>
          <w:rFonts w:ascii="Arial" w:hAnsi="Arial" w:cs="Arial"/>
          <w:sz w:val="22"/>
          <w:szCs w:val="22"/>
        </w:rPr>
        <w:t xml:space="preserve"> protects a person from liability provided</w:t>
      </w:r>
      <w:r w:rsidR="00D352F5" w:rsidRPr="00411650">
        <w:rPr>
          <w:rFonts w:ascii="Arial" w:hAnsi="Arial" w:cs="Arial"/>
          <w:sz w:val="22"/>
          <w:szCs w:val="22"/>
        </w:rPr>
        <w:t xml:space="preserve"> the defendant “neither knew, nor ought reasonably to have known, that the matter was defamatory</w:t>
      </w:r>
      <w:bookmarkStart w:id="2" w:name="Heading278"/>
      <w:bookmarkEnd w:id="2"/>
      <w:r w:rsidR="00D352F5" w:rsidRPr="00411650">
        <w:rPr>
          <w:rFonts w:ascii="Arial" w:hAnsi="Arial" w:cs="Arial"/>
          <w:sz w:val="22"/>
          <w:szCs w:val="22"/>
        </w:rPr>
        <w:t>”.</w:t>
      </w:r>
      <w:r w:rsidR="00D352F5" w:rsidRPr="00411650">
        <w:rPr>
          <w:rStyle w:val="FootnoteReference"/>
          <w:rFonts w:ascii="Arial" w:hAnsi="Arial" w:cs="Arial"/>
          <w:sz w:val="22"/>
          <w:szCs w:val="22"/>
        </w:rPr>
        <w:t xml:space="preserve"> </w:t>
      </w:r>
      <w:r w:rsidR="00D352F5" w:rsidRPr="00411650">
        <w:rPr>
          <w:rStyle w:val="FootnoteReference"/>
          <w:rFonts w:ascii="Arial" w:hAnsi="Arial" w:cs="Arial"/>
          <w:sz w:val="22"/>
          <w:szCs w:val="22"/>
        </w:rPr>
        <w:footnoteReference w:id="27"/>
      </w:r>
    </w:p>
    <w:p w:rsidR="00E14F4E" w:rsidRPr="00411650" w:rsidRDefault="00BC2EF0" w:rsidP="00411650">
      <w:pPr>
        <w:pStyle w:val="NormalWeb"/>
        <w:spacing w:line="360" w:lineRule="auto"/>
        <w:jc w:val="both"/>
        <w:rPr>
          <w:rFonts w:ascii="Arial" w:hAnsi="Arial" w:cs="Arial"/>
          <w:sz w:val="22"/>
          <w:szCs w:val="22"/>
        </w:rPr>
      </w:pPr>
      <w:r w:rsidRPr="00411650">
        <w:rPr>
          <w:rFonts w:ascii="Arial" w:hAnsi="Arial" w:cs="Arial"/>
          <w:sz w:val="22"/>
          <w:szCs w:val="22"/>
        </w:rPr>
        <w:t xml:space="preserve"> </w:t>
      </w:r>
      <w:r w:rsidR="00340221" w:rsidRPr="00411650">
        <w:rPr>
          <w:rFonts w:ascii="Arial" w:hAnsi="Arial" w:cs="Arial"/>
          <w:sz w:val="22"/>
          <w:szCs w:val="22"/>
        </w:rPr>
        <w:t>The jury at the Supreme Court of Victoria agreed tha</w:t>
      </w:r>
      <w:r w:rsidR="00422699" w:rsidRPr="00411650">
        <w:rPr>
          <w:rFonts w:ascii="Arial" w:hAnsi="Arial" w:cs="Arial"/>
          <w:sz w:val="22"/>
          <w:szCs w:val="22"/>
        </w:rPr>
        <w:t>t s. 32 of the Defamation Act would indeed provide a defence</w:t>
      </w:r>
      <w:r w:rsidR="00340221" w:rsidRPr="00411650">
        <w:rPr>
          <w:rFonts w:ascii="Arial" w:hAnsi="Arial" w:cs="Arial"/>
          <w:sz w:val="22"/>
          <w:szCs w:val="22"/>
        </w:rPr>
        <w:t>, but only up to the point when the claimant’s solicitors had contacted Google</w:t>
      </w:r>
      <w:r w:rsidR="00D352F5" w:rsidRPr="00411650">
        <w:rPr>
          <w:rFonts w:ascii="Arial" w:hAnsi="Arial" w:cs="Arial"/>
          <w:sz w:val="22"/>
          <w:szCs w:val="22"/>
        </w:rPr>
        <w:t xml:space="preserve"> on 22 September 2009</w:t>
      </w:r>
      <w:r w:rsidR="00340221" w:rsidRPr="00411650">
        <w:rPr>
          <w:rFonts w:ascii="Arial" w:hAnsi="Arial" w:cs="Arial"/>
          <w:sz w:val="22"/>
          <w:szCs w:val="22"/>
        </w:rPr>
        <w:t xml:space="preserve"> to have the image removed.</w:t>
      </w:r>
      <w:r w:rsidR="00422699" w:rsidRPr="00411650">
        <w:rPr>
          <w:rFonts w:ascii="Arial" w:hAnsi="Arial" w:cs="Arial"/>
          <w:sz w:val="22"/>
          <w:szCs w:val="22"/>
        </w:rPr>
        <w:t xml:space="preserve"> </w:t>
      </w:r>
      <w:r w:rsidR="00340221" w:rsidRPr="00411650">
        <w:rPr>
          <w:rFonts w:ascii="Arial" w:hAnsi="Arial" w:cs="Arial"/>
          <w:sz w:val="22"/>
          <w:szCs w:val="22"/>
        </w:rPr>
        <w:t>It concluded that the content should have been removed at that point,</w:t>
      </w:r>
      <w:r w:rsidR="008E727B" w:rsidRPr="008E727B">
        <w:rPr>
          <w:rFonts w:ascii="Arial" w:hAnsi="Arial" w:cs="Arial"/>
          <w:sz w:val="22"/>
          <w:szCs w:val="22"/>
        </w:rPr>
        <w:t xml:space="preserve"> and as a result </w:t>
      </w:r>
      <w:r w:rsidR="008E727B">
        <w:rPr>
          <w:rFonts w:ascii="Arial" w:hAnsi="Arial" w:cs="Arial"/>
          <w:sz w:val="22"/>
          <w:szCs w:val="22"/>
        </w:rPr>
        <w:t>Google</w:t>
      </w:r>
      <w:r w:rsidR="00340221" w:rsidRPr="00411650">
        <w:rPr>
          <w:rFonts w:ascii="Arial" w:hAnsi="Arial" w:cs="Arial"/>
          <w:sz w:val="22"/>
          <w:szCs w:val="22"/>
        </w:rPr>
        <w:t xml:space="preserve"> was liable for defamation.</w:t>
      </w:r>
    </w:p>
    <w:p w:rsidR="00EC2106" w:rsidRPr="00C26565" w:rsidRDefault="00EC2106" w:rsidP="0025778B">
      <w:pPr>
        <w:pStyle w:val="NormalWeb"/>
        <w:spacing w:line="360" w:lineRule="auto"/>
        <w:jc w:val="both"/>
        <w:rPr>
          <w:rFonts w:ascii="Arial" w:hAnsi="Arial" w:cs="Arial"/>
          <w:i/>
          <w:sz w:val="22"/>
          <w:szCs w:val="22"/>
        </w:rPr>
      </w:pPr>
      <w:r w:rsidRPr="00EC2106">
        <w:rPr>
          <w:rFonts w:ascii="Arial" w:hAnsi="Arial" w:cs="Arial"/>
          <w:sz w:val="22"/>
          <w:szCs w:val="22"/>
        </w:rPr>
        <w:t xml:space="preserve">Moreover, </w:t>
      </w:r>
      <w:r w:rsidR="00787217" w:rsidRPr="00EC2106">
        <w:rPr>
          <w:rFonts w:ascii="Arial" w:hAnsi="Arial" w:cs="Arial"/>
          <w:sz w:val="22"/>
          <w:szCs w:val="22"/>
        </w:rPr>
        <w:t>Justice Beach of the Victorian Supreme Court found</w:t>
      </w:r>
      <w:r w:rsidR="00E32F29" w:rsidRPr="00EC2106">
        <w:rPr>
          <w:rStyle w:val="Strong"/>
          <w:rFonts w:ascii="Arial" w:hAnsi="Arial" w:cs="Arial"/>
          <w:b w:val="0"/>
          <w:sz w:val="22"/>
          <w:szCs w:val="22"/>
        </w:rPr>
        <w:t xml:space="preserve"> that Google Inc. was a publisher even before it had any notice from anybody acting on behalf of the</w:t>
      </w:r>
      <w:r w:rsidR="00F2071E">
        <w:rPr>
          <w:rStyle w:val="Strong"/>
          <w:rFonts w:ascii="Arial" w:hAnsi="Arial" w:cs="Arial"/>
          <w:b w:val="0"/>
          <w:sz w:val="22"/>
          <w:szCs w:val="22"/>
        </w:rPr>
        <w:t xml:space="preserve"> claimant</w:t>
      </w:r>
      <w:r w:rsidR="00E32F29" w:rsidRPr="00EC2106">
        <w:rPr>
          <w:rStyle w:val="Strong"/>
          <w:rFonts w:ascii="Arial" w:hAnsi="Arial" w:cs="Arial"/>
          <w:sz w:val="22"/>
          <w:szCs w:val="22"/>
        </w:rPr>
        <w:t>.</w:t>
      </w:r>
      <w:r w:rsidR="00E32F29" w:rsidRPr="00EC2106">
        <w:rPr>
          <w:rFonts w:ascii="Arial" w:hAnsi="Arial" w:cs="Arial"/>
          <w:sz w:val="22"/>
          <w:szCs w:val="22"/>
        </w:rPr>
        <w:t xml:space="preserve"> </w:t>
      </w:r>
      <w:r w:rsidR="00870502" w:rsidRPr="00EC2106">
        <w:rPr>
          <w:rFonts w:ascii="Arial" w:hAnsi="Arial" w:cs="Arial"/>
          <w:sz w:val="22"/>
          <w:szCs w:val="22"/>
        </w:rPr>
        <w:t>The judge</w:t>
      </w:r>
      <w:r w:rsidR="00787217" w:rsidRPr="00EC2106">
        <w:rPr>
          <w:rFonts w:ascii="Arial" w:hAnsi="Arial" w:cs="Arial"/>
          <w:sz w:val="22"/>
          <w:szCs w:val="22"/>
        </w:rPr>
        <w:t xml:space="preserve"> argued that</w:t>
      </w:r>
      <w:r w:rsidR="00870502" w:rsidRPr="00EC2106">
        <w:rPr>
          <w:rFonts w:ascii="Arial" w:hAnsi="Arial" w:cs="Arial"/>
          <w:i/>
          <w:iCs/>
          <w:sz w:val="22"/>
          <w:szCs w:val="22"/>
          <w:lang w:eastAsia="en-US"/>
        </w:rPr>
        <w:t xml:space="preserve"> </w:t>
      </w:r>
      <w:r w:rsidR="00870502" w:rsidRPr="00EC2106">
        <w:rPr>
          <w:rFonts w:ascii="Arial" w:hAnsi="Arial" w:cs="Arial"/>
          <w:iCs/>
          <w:sz w:val="22"/>
          <w:szCs w:val="22"/>
          <w:lang w:eastAsia="en-US"/>
        </w:rPr>
        <w:t>Eady</w:t>
      </w:r>
      <w:r w:rsidR="00870502" w:rsidRPr="00EC2106">
        <w:rPr>
          <w:rFonts w:ascii="Arial" w:hAnsi="Arial" w:cs="Arial"/>
          <w:i/>
          <w:iCs/>
          <w:sz w:val="22"/>
          <w:szCs w:val="22"/>
          <w:lang w:eastAsia="en-US"/>
        </w:rPr>
        <w:t xml:space="preserve"> </w:t>
      </w:r>
      <w:r w:rsidR="00870502" w:rsidRPr="00EC2106">
        <w:rPr>
          <w:rFonts w:ascii="Arial" w:hAnsi="Arial" w:cs="Arial"/>
          <w:iCs/>
          <w:sz w:val="22"/>
          <w:szCs w:val="22"/>
          <w:lang w:eastAsia="en-US"/>
        </w:rPr>
        <w:t xml:space="preserve">J's statements in </w:t>
      </w:r>
      <w:r w:rsidR="00870502" w:rsidRPr="00EC2106">
        <w:rPr>
          <w:rFonts w:ascii="Arial" w:hAnsi="Arial" w:cs="Arial"/>
          <w:i/>
          <w:iCs/>
          <w:sz w:val="22"/>
          <w:szCs w:val="22"/>
          <w:lang w:eastAsia="en-US"/>
        </w:rPr>
        <w:t>Tamiz</w:t>
      </w:r>
      <w:r w:rsidR="00870502" w:rsidRPr="00EC2106">
        <w:rPr>
          <w:rFonts w:ascii="Arial" w:hAnsi="Arial" w:cs="Arial"/>
          <w:sz w:val="22"/>
          <w:szCs w:val="22"/>
          <w:lang w:eastAsia="en-US"/>
        </w:rPr>
        <w:t xml:space="preserve"> </w:t>
      </w:r>
      <w:r w:rsidR="00870502" w:rsidRPr="00EC2106">
        <w:rPr>
          <w:rFonts w:ascii="Arial" w:hAnsi="Arial" w:cs="Arial"/>
          <w:iCs/>
          <w:sz w:val="22"/>
          <w:szCs w:val="22"/>
          <w:lang w:eastAsia="en-US"/>
        </w:rPr>
        <w:t>that an internet service provider</w:t>
      </w:r>
      <w:r w:rsidR="002718A0">
        <w:rPr>
          <w:rFonts w:ascii="Arial" w:hAnsi="Arial" w:cs="Arial"/>
          <w:iCs/>
          <w:sz w:val="22"/>
          <w:szCs w:val="22"/>
          <w:lang w:eastAsia="en-US"/>
        </w:rPr>
        <w:t>,</w:t>
      </w:r>
      <w:r w:rsidR="00870502" w:rsidRPr="00EC2106">
        <w:rPr>
          <w:rFonts w:ascii="Arial" w:hAnsi="Arial" w:cs="Arial"/>
          <w:iCs/>
          <w:sz w:val="22"/>
          <w:szCs w:val="22"/>
          <w:lang w:eastAsia="en-US"/>
        </w:rPr>
        <w:t xml:space="preserve"> who performs no more than a passive role</w:t>
      </w:r>
      <w:r w:rsidR="002718A0">
        <w:rPr>
          <w:rFonts w:ascii="Arial" w:hAnsi="Arial" w:cs="Arial"/>
          <w:iCs/>
          <w:sz w:val="22"/>
          <w:szCs w:val="22"/>
          <w:lang w:eastAsia="en-US"/>
        </w:rPr>
        <w:t>,</w:t>
      </w:r>
      <w:r w:rsidR="00870502" w:rsidRPr="00EC2106">
        <w:rPr>
          <w:rFonts w:ascii="Arial" w:hAnsi="Arial" w:cs="Arial"/>
          <w:iCs/>
          <w:sz w:val="22"/>
          <w:szCs w:val="22"/>
          <w:lang w:eastAsia="en-US"/>
        </w:rPr>
        <w:t xml:space="preserve"> cannot be a publisher</w:t>
      </w:r>
      <w:r w:rsidR="002718A0">
        <w:rPr>
          <w:rFonts w:ascii="Arial" w:hAnsi="Arial" w:cs="Arial"/>
          <w:iCs/>
          <w:sz w:val="22"/>
          <w:szCs w:val="22"/>
          <w:lang w:eastAsia="en-US"/>
        </w:rPr>
        <w:t>,</w:t>
      </w:r>
      <w:r w:rsidR="00787217" w:rsidRPr="00EC2106">
        <w:rPr>
          <w:rFonts w:ascii="Arial" w:hAnsi="Arial" w:cs="Arial"/>
          <w:iCs/>
          <w:sz w:val="22"/>
          <w:szCs w:val="22"/>
          <w:lang w:eastAsia="en-US"/>
        </w:rPr>
        <w:t xml:space="preserve"> could not be generalised and</w:t>
      </w:r>
      <w:r w:rsidR="00870502" w:rsidRPr="00EC2106">
        <w:rPr>
          <w:rFonts w:ascii="Arial" w:hAnsi="Arial" w:cs="Arial"/>
          <w:iCs/>
          <w:sz w:val="22"/>
          <w:szCs w:val="22"/>
          <w:lang w:eastAsia="en-US"/>
        </w:rPr>
        <w:t xml:space="preserve"> that </w:t>
      </w:r>
      <w:r w:rsidR="00787217" w:rsidRPr="00EC2106">
        <w:rPr>
          <w:rFonts w:ascii="Arial" w:hAnsi="Arial" w:cs="Arial"/>
          <w:iCs/>
          <w:sz w:val="22"/>
          <w:szCs w:val="22"/>
          <w:lang w:eastAsia="en-US"/>
        </w:rPr>
        <w:t>those statements had</w:t>
      </w:r>
      <w:r w:rsidR="00870502" w:rsidRPr="00EC2106">
        <w:rPr>
          <w:rFonts w:ascii="Arial" w:hAnsi="Arial" w:cs="Arial"/>
          <w:iCs/>
          <w:sz w:val="22"/>
          <w:szCs w:val="22"/>
          <w:lang w:eastAsia="en-US"/>
        </w:rPr>
        <w:t xml:space="preserve"> to be seen</w:t>
      </w:r>
      <w:r w:rsidR="00870502" w:rsidRPr="00EC2106">
        <w:rPr>
          <w:rFonts w:ascii="Arial" w:hAnsi="Arial" w:cs="Arial"/>
          <w:i/>
          <w:iCs/>
          <w:sz w:val="22"/>
          <w:szCs w:val="22"/>
          <w:lang w:eastAsia="en-US"/>
        </w:rPr>
        <w:t xml:space="preserve"> </w:t>
      </w:r>
      <w:r w:rsidR="00870502" w:rsidRPr="00EC2106">
        <w:rPr>
          <w:rFonts w:ascii="Arial" w:hAnsi="Arial" w:cs="Arial"/>
          <w:iCs/>
          <w:sz w:val="22"/>
          <w:szCs w:val="22"/>
          <w:lang w:eastAsia="en-US"/>
        </w:rPr>
        <w:t>in the l</w:t>
      </w:r>
      <w:r>
        <w:rPr>
          <w:rFonts w:ascii="Arial" w:hAnsi="Arial" w:cs="Arial"/>
          <w:iCs/>
          <w:sz w:val="22"/>
          <w:szCs w:val="22"/>
          <w:lang w:eastAsia="en-US"/>
        </w:rPr>
        <w:t>ight of the facts in each case</w:t>
      </w:r>
      <w:r w:rsidR="00870502" w:rsidRPr="00EC2106">
        <w:rPr>
          <w:rFonts w:ascii="Arial" w:hAnsi="Arial" w:cs="Arial"/>
          <w:i/>
          <w:iCs/>
          <w:sz w:val="22"/>
          <w:szCs w:val="22"/>
          <w:lang w:eastAsia="en-US"/>
        </w:rPr>
        <w:t>.</w:t>
      </w:r>
      <w:r w:rsidR="00787217" w:rsidRPr="00EC2106">
        <w:rPr>
          <w:rStyle w:val="FootnoteReference"/>
          <w:rFonts w:ascii="Arial" w:hAnsi="Arial" w:cs="Arial"/>
          <w:i/>
          <w:iCs/>
          <w:sz w:val="22"/>
          <w:szCs w:val="22"/>
          <w:lang w:eastAsia="en-US"/>
        </w:rPr>
        <w:footnoteReference w:id="28"/>
      </w:r>
      <w:r w:rsidR="00870502" w:rsidRPr="00EC2106">
        <w:rPr>
          <w:rFonts w:ascii="Arial" w:hAnsi="Arial" w:cs="Arial"/>
          <w:i/>
          <w:iCs/>
          <w:sz w:val="22"/>
          <w:szCs w:val="22"/>
          <w:lang w:eastAsia="en-US"/>
        </w:rPr>
        <w:t xml:space="preserve"> </w:t>
      </w:r>
      <w:r w:rsidR="00870502" w:rsidRPr="00EC2106">
        <w:rPr>
          <w:rFonts w:ascii="Arial" w:hAnsi="Arial" w:cs="Arial"/>
          <w:sz w:val="22"/>
          <w:szCs w:val="22"/>
        </w:rPr>
        <w:t>Justice Beach stated that</w:t>
      </w:r>
      <w:r w:rsidR="00787217" w:rsidRPr="00EC2106">
        <w:rPr>
          <w:rFonts w:ascii="Arial" w:hAnsi="Arial" w:cs="Arial"/>
          <w:sz w:val="22"/>
          <w:szCs w:val="22"/>
        </w:rPr>
        <w:t xml:space="preserve"> in this case</w:t>
      </w:r>
      <w:r w:rsidR="00870502" w:rsidRPr="00EC2106">
        <w:rPr>
          <w:rFonts w:ascii="Arial" w:hAnsi="Arial" w:cs="Arial"/>
          <w:sz w:val="22"/>
          <w:szCs w:val="22"/>
        </w:rPr>
        <w:t xml:space="preserve"> t</w:t>
      </w:r>
      <w:r w:rsidR="00E32F29" w:rsidRPr="00EC2106">
        <w:rPr>
          <w:rFonts w:ascii="Arial" w:hAnsi="Arial" w:cs="Arial"/>
          <w:sz w:val="22"/>
          <w:szCs w:val="22"/>
        </w:rPr>
        <w:t>he jury were entitled to conclude that Google Inc. intended to publish the material that its automated systems produced, because that was what they were designed to do upon a search request being typed into one of Google Inc.’s search products. In that sense, the court compared Google Inc. to a newsagent that sells a newspaper containing a defamatory article.</w:t>
      </w:r>
      <w:r w:rsidR="00BB6338" w:rsidRPr="00EC2106">
        <w:rPr>
          <w:rStyle w:val="FootnoteReference"/>
          <w:rFonts w:ascii="Arial" w:hAnsi="Arial" w:cs="Arial"/>
          <w:sz w:val="22"/>
          <w:szCs w:val="22"/>
        </w:rPr>
        <w:footnoteReference w:id="29"/>
      </w:r>
      <w:r w:rsidR="00E32F29" w:rsidRPr="00EC2106">
        <w:rPr>
          <w:rFonts w:ascii="Arial" w:hAnsi="Arial" w:cs="Arial"/>
          <w:sz w:val="22"/>
          <w:szCs w:val="22"/>
        </w:rPr>
        <w:t xml:space="preserve"> </w:t>
      </w:r>
      <w:r w:rsidR="00BA29BC" w:rsidRPr="00411650">
        <w:rPr>
          <w:rFonts w:ascii="Arial" w:hAnsi="Arial" w:cs="Arial"/>
          <w:sz w:val="22"/>
          <w:szCs w:val="22"/>
        </w:rPr>
        <w:t xml:space="preserve">Whilst there might be no specific intention to publish defamatory material, there is a relevant intention by the newsagent to publish the newspaper for the purposes of the law of defamation. </w:t>
      </w:r>
      <w:r w:rsidR="00456AA5" w:rsidRPr="00BA29BC">
        <w:rPr>
          <w:rFonts w:ascii="Arial" w:hAnsi="Arial" w:cs="Arial"/>
          <w:sz w:val="22"/>
          <w:szCs w:val="22"/>
        </w:rPr>
        <w:t>Moreover,</w:t>
      </w:r>
      <w:r w:rsidR="00BA29BC" w:rsidRPr="00BA29BC">
        <w:rPr>
          <w:rFonts w:ascii="Arial" w:hAnsi="Arial" w:cs="Arial"/>
          <w:sz w:val="22"/>
          <w:szCs w:val="22"/>
        </w:rPr>
        <w:t xml:space="preserve"> Justice Beach stated that</w:t>
      </w:r>
      <w:r w:rsidR="00456AA5" w:rsidRPr="00BA29BC">
        <w:rPr>
          <w:rFonts w:ascii="Arial" w:hAnsi="Arial" w:cs="Arial"/>
          <w:sz w:val="22"/>
          <w:szCs w:val="22"/>
        </w:rPr>
        <w:t xml:space="preserve"> </w:t>
      </w:r>
      <w:r w:rsidR="00BA29BC" w:rsidRPr="00411650">
        <w:rPr>
          <w:rFonts w:ascii="Arial" w:hAnsi="Arial" w:cs="Arial"/>
          <w:sz w:val="22"/>
          <w:szCs w:val="22"/>
        </w:rPr>
        <w:t>it was open to the jury to conclude that when the email of 10 Oct</w:t>
      </w:r>
      <w:r w:rsidR="0085236A" w:rsidRPr="0085236A">
        <w:rPr>
          <w:rFonts w:ascii="Arial" w:hAnsi="Arial" w:cs="Arial"/>
          <w:sz w:val="22"/>
          <w:szCs w:val="22"/>
        </w:rPr>
        <w:t>ober 2009 was written Google</w:t>
      </w:r>
      <w:r w:rsidR="00BA29BC" w:rsidRPr="00411650">
        <w:rPr>
          <w:rFonts w:ascii="Arial" w:hAnsi="Arial" w:cs="Arial"/>
          <w:sz w:val="22"/>
          <w:szCs w:val="22"/>
        </w:rPr>
        <w:t xml:space="preserve"> was aware of the defamatory material which gave rise to the claim</w:t>
      </w:r>
      <w:r w:rsidR="00BA29BC">
        <w:t>.</w:t>
      </w:r>
      <w:r w:rsidR="00456AA5">
        <w:rPr>
          <w:rFonts w:ascii="Arial" w:hAnsi="Arial" w:cs="Arial"/>
          <w:sz w:val="22"/>
          <w:szCs w:val="22"/>
        </w:rPr>
        <w:t xml:space="preserve"> </w:t>
      </w:r>
      <w:r w:rsidR="00C26565" w:rsidRPr="00C26565">
        <w:rPr>
          <w:rFonts w:ascii="Arial" w:hAnsi="Arial" w:cs="Arial"/>
          <w:sz w:val="22"/>
          <w:szCs w:val="22"/>
        </w:rPr>
        <w:t xml:space="preserve">The Australian case </w:t>
      </w:r>
      <w:r w:rsidR="00C26565" w:rsidRPr="00C26565">
        <w:rPr>
          <w:rFonts w:ascii="Arial" w:hAnsi="Arial" w:cs="Arial"/>
          <w:sz w:val="22"/>
          <w:szCs w:val="22"/>
        </w:rPr>
        <w:lastRenderedPageBreak/>
        <w:t>can be seen as a</w:t>
      </w:r>
      <w:r w:rsidRPr="00C26565">
        <w:rPr>
          <w:rFonts w:ascii="Arial" w:hAnsi="Arial" w:cs="Arial"/>
          <w:sz w:val="22"/>
          <w:szCs w:val="22"/>
        </w:rPr>
        <w:t xml:space="preserve"> lan</w:t>
      </w:r>
      <w:r w:rsidR="002718A0" w:rsidRPr="00C26565">
        <w:rPr>
          <w:rFonts w:ascii="Arial" w:hAnsi="Arial" w:cs="Arial"/>
          <w:sz w:val="22"/>
          <w:szCs w:val="22"/>
        </w:rPr>
        <w:t>dmark case that could have a great impact on the liability of OSP for defamatory material on the Internet</w:t>
      </w:r>
      <w:r w:rsidRPr="00C26565">
        <w:rPr>
          <w:rFonts w:ascii="Arial" w:hAnsi="Arial" w:cs="Arial"/>
          <w:sz w:val="22"/>
          <w:szCs w:val="22"/>
        </w:rPr>
        <w:t xml:space="preserve">. </w:t>
      </w:r>
      <w:r w:rsidR="002718A0" w:rsidRPr="00C26565">
        <w:rPr>
          <w:rFonts w:ascii="Arial" w:hAnsi="Arial" w:cs="Arial"/>
          <w:sz w:val="22"/>
          <w:szCs w:val="22"/>
        </w:rPr>
        <w:t>T</w:t>
      </w:r>
      <w:r w:rsidRPr="00C26565">
        <w:rPr>
          <w:rFonts w:ascii="Arial" w:hAnsi="Arial" w:cs="Arial"/>
          <w:sz w:val="22"/>
          <w:szCs w:val="22"/>
        </w:rPr>
        <w:t xml:space="preserve">he case could open the floodgates to many others </w:t>
      </w:r>
      <w:r w:rsidR="00C26565" w:rsidRPr="00C26565">
        <w:rPr>
          <w:rFonts w:ascii="Arial" w:hAnsi="Arial" w:cs="Arial"/>
          <w:sz w:val="22"/>
          <w:szCs w:val="22"/>
        </w:rPr>
        <w:t>who want to protect</w:t>
      </w:r>
      <w:r w:rsidRPr="00C26565">
        <w:rPr>
          <w:rFonts w:ascii="Arial" w:hAnsi="Arial" w:cs="Arial"/>
          <w:sz w:val="22"/>
          <w:szCs w:val="22"/>
        </w:rPr>
        <w:t xml:space="preserve"> their good name on the Internet or social media</w:t>
      </w:r>
      <w:r w:rsidR="00C26565" w:rsidRPr="00C26565">
        <w:rPr>
          <w:rFonts w:ascii="Arial" w:hAnsi="Arial" w:cs="Arial"/>
          <w:sz w:val="22"/>
          <w:szCs w:val="22"/>
        </w:rPr>
        <w:t xml:space="preserve">. </w:t>
      </w:r>
      <w:r w:rsidRPr="00C26565">
        <w:rPr>
          <w:rFonts w:ascii="Arial" w:hAnsi="Arial" w:cs="Arial"/>
          <w:sz w:val="22"/>
          <w:szCs w:val="22"/>
        </w:rPr>
        <w:t>The case shows that as s</w:t>
      </w:r>
      <w:r w:rsidR="00C26565" w:rsidRPr="00C26565">
        <w:rPr>
          <w:rFonts w:ascii="Arial" w:hAnsi="Arial" w:cs="Arial"/>
          <w:sz w:val="22"/>
          <w:szCs w:val="22"/>
        </w:rPr>
        <w:t>oon as an OSP</w:t>
      </w:r>
      <w:r w:rsidRPr="00C26565">
        <w:rPr>
          <w:rFonts w:ascii="Arial" w:hAnsi="Arial" w:cs="Arial"/>
          <w:sz w:val="22"/>
          <w:szCs w:val="22"/>
        </w:rPr>
        <w:t xml:space="preserve"> knows about a defamation complaint it can be held liable for what it publishes in its search results.</w:t>
      </w:r>
      <w:r w:rsidR="00C26565" w:rsidRPr="00C26565">
        <w:rPr>
          <w:rFonts w:ascii="Arial" w:hAnsi="Arial" w:cs="Arial"/>
          <w:sz w:val="22"/>
          <w:szCs w:val="22"/>
        </w:rPr>
        <w:t xml:space="preserve"> </w:t>
      </w:r>
      <w:r w:rsidR="00C26565">
        <w:rPr>
          <w:rFonts w:ascii="Arial" w:hAnsi="Arial" w:cs="Arial"/>
          <w:sz w:val="22"/>
          <w:szCs w:val="22"/>
        </w:rPr>
        <w:t>It follows that s</w:t>
      </w:r>
      <w:r w:rsidR="00C26565" w:rsidRPr="00C26565">
        <w:rPr>
          <w:rFonts w:ascii="Arial" w:hAnsi="Arial" w:cs="Arial"/>
          <w:sz w:val="22"/>
          <w:szCs w:val="22"/>
        </w:rPr>
        <w:t xml:space="preserve">earch engines such as Google will have to be more responsive to takedown notices as </w:t>
      </w:r>
      <w:r w:rsidR="00C26565">
        <w:rPr>
          <w:rFonts w:ascii="Arial" w:hAnsi="Arial" w:cs="Arial"/>
          <w:sz w:val="22"/>
          <w:szCs w:val="22"/>
        </w:rPr>
        <w:t>their common</w:t>
      </w:r>
      <w:r w:rsidRPr="00C26565">
        <w:rPr>
          <w:rFonts w:ascii="Arial" w:hAnsi="Arial" w:cs="Arial"/>
          <w:sz w:val="22"/>
          <w:szCs w:val="22"/>
        </w:rPr>
        <w:t xml:space="preserve"> "not our responsibility,</w:t>
      </w:r>
      <w:r w:rsidR="00C26565" w:rsidRPr="00C26565">
        <w:rPr>
          <w:rFonts w:ascii="Arial" w:hAnsi="Arial" w:cs="Arial"/>
          <w:sz w:val="22"/>
          <w:szCs w:val="22"/>
        </w:rPr>
        <w:t xml:space="preserve"> please</w:t>
      </w:r>
      <w:r w:rsidRPr="00C26565">
        <w:rPr>
          <w:rFonts w:ascii="Arial" w:hAnsi="Arial" w:cs="Arial"/>
          <w:sz w:val="22"/>
          <w:szCs w:val="22"/>
        </w:rPr>
        <w:t xml:space="preserve"> contact the webmaster" response </w:t>
      </w:r>
      <w:r w:rsidR="00C20935">
        <w:rPr>
          <w:rFonts w:ascii="Arial" w:hAnsi="Arial" w:cs="Arial"/>
          <w:sz w:val="22"/>
          <w:szCs w:val="22"/>
        </w:rPr>
        <w:t>may not protect them from liability.</w:t>
      </w:r>
    </w:p>
    <w:p w:rsidR="00E32F29" w:rsidRPr="00A14F11" w:rsidRDefault="00E32F29" w:rsidP="0025778B">
      <w:pPr>
        <w:pStyle w:val="NormalWeb"/>
        <w:spacing w:line="360" w:lineRule="auto"/>
        <w:jc w:val="both"/>
        <w:rPr>
          <w:rFonts w:ascii="Arial" w:hAnsi="Arial" w:cs="Arial"/>
          <w:sz w:val="22"/>
          <w:szCs w:val="22"/>
        </w:rPr>
      </w:pPr>
      <w:r w:rsidRPr="00A14F11">
        <w:rPr>
          <w:rFonts w:ascii="Arial" w:hAnsi="Arial" w:cs="Arial"/>
          <w:b/>
          <w:sz w:val="22"/>
          <w:szCs w:val="22"/>
        </w:rPr>
        <w:t>Conclusion</w:t>
      </w:r>
    </w:p>
    <w:p w:rsidR="00E32F29" w:rsidRPr="00A14F11" w:rsidRDefault="00E32F29" w:rsidP="00E32F29">
      <w:pPr>
        <w:spacing w:line="360" w:lineRule="auto"/>
        <w:jc w:val="both"/>
        <w:rPr>
          <w:rFonts w:ascii="Arial" w:hAnsi="Arial" w:cs="Arial"/>
          <w:iCs/>
          <w:szCs w:val="22"/>
        </w:rPr>
      </w:pPr>
      <w:r w:rsidRPr="00A14F11">
        <w:rPr>
          <w:rFonts w:ascii="Arial" w:hAnsi="Arial" w:cs="Arial"/>
          <w:szCs w:val="22"/>
        </w:rPr>
        <w:t>National courts are increasingly concerned with conflicts arising from internet defamation. As seen in the recent Google cases potentially damaging or defamatory statements on the internet may generally reach a large audience quickly</w:t>
      </w:r>
      <w:r w:rsidRPr="00A14F11">
        <w:rPr>
          <w:rStyle w:val="st"/>
          <w:rFonts w:ascii="Arial" w:hAnsi="Arial" w:cs="Arial"/>
          <w:szCs w:val="22"/>
        </w:rPr>
        <w:t xml:space="preserve"> and a </w:t>
      </w:r>
      <w:r w:rsidRPr="00947B88">
        <w:rPr>
          <w:rStyle w:val="Emphasis"/>
          <w:rFonts w:ascii="Arial" w:hAnsi="Arial" w:cs="Arial"/>
          <w:i w:val="0"/>
          <w:szCs w:val="22"/>
        </w:rPr>
        <w:t>good reputation</w:t>
      </w:r>
      <w:r w:rsidRPr="00A14F11">
        <w:rPr>
          <w:rStyle w:val="st"/>
          <w:rFonts w:ascii="Arial" w:hAnsi="Arial" w:cs="Arial"/>
          <w:szCs w:val="22"/>
        </w:rPr>
        <w:t xml:space="preserve"> built over a lifetime can be </w:t>
      </w:r>
      <w:r w:rsidRPr="00A14F11">
        <w:rPr>
          <w:rStyle w:val="Emphasis"/>
          <w:rFonts w:ascii="Arial" w:hAnsi="Arial" w:cs="Arial"/>
          <w:i w:val="0"/>
          <w:szCs w:val="22"/>
        </w:rPr>
        <w:t>lost overnight. Online forum operators are partly to blame for this as they provide the platform for potential infringements. The German Federal Court has rightly recognised Google’s responsibility to take down potentially defamatory content once they have been notified of the infringement.</w:t>
      </w:r>
      <w:r w:rsidRPr="00A14F11">
        <w:rPr>
          <w:rStyle w:val="Emphasis"/>
          <w:rFonts w:ascii="Arial" w:hAnsi="Arial" w:cs="Arial"/>
          <w:szCs w:val="22"/>
        </w:rPr>
        <w:t xml:space="preserve"> </w:t>
      </w:r>
      <w:r w:rsidRPr="00A14F11">
        <w:rPr>
          <w:rStyle w:val="Emphasis"/>
          <w:rFonts w:ascii="Arial" w:hAnsi="Arial" w:cs="Arial"/>
          <w:i w:val="0"/>
          <w:szCs w:val="22"/>
        </w:rPr>
        <w:t>Many national courts seem to share this view but are still hesitant to open the doors for an unlimited number of claims against OSP</w:t>
      </w:r>
      <w:r w:rsidR="00F2071E">
        <w:rPr>
          <w:rStyle w:val="Emphasis"/>
          <w:rFonts w:ascii="Arial" w:hAnsi="Arial" w:cs="Arial"/>
          <w:i w:val="0"/>
          <w:szCs w:val="22"/>
        </w:rPr>
        <w:t>’</w:t>
      </w:r>
      <w:r w:rsidRPr="00A14F11">
        <w:rPr>
          <w:rStyle w:val="Emphasis"/>
          <w:rFonts w:ascii="Arial" w:hAnsi="Arial" w:cs="Arial"/>
          <w:i w:val="0"/>
          <w:szCs w:val="22"/>
        </w:rPr>
        <w:t>s arising from defamatory user content. In order to strengthen the protection of an individual’s reputation, it has been suggested that it is necessary to accelerate the relevant point of time of an online operator’s duty to prevent further infringements, namely</w:t>
      </w:r>
      <w:r w:rsidRPr="00A14F11">
        <w:rPr>
          <w:rFonts w:ascii="Arial" w:hAnsi="Arial" w:cs="Arial"/>
          <w:szCs w:val="22"/>
        </w:rPr>
        <w:t xml:space="preserve"> to ask whether the operator has had the opportunity of obtaining the necessary knowledge without sig</w:t>
      </w:r>
      <w:r w:rsidR="001D0D5B">
        <w:rPr>
          <w:rFonts w:ascii="Arial" w:hAnsi="Arial" w:cs="Arial"/>
          <w:szCs w:val="22"/>
        </w:rPr>
        <w:t>nificant difficulty.</w:t>
      </w:r>
      <w:r w:rsidRPr="00A14F11">
        <w:rPr>
          <w:rFonts w:ascii="Arial" w:hAnsi="Arial" w:cs="Arial"/>
          <w:szCs w:val="22"/>
        </w:rPr>
        <w:t xml:space="preserve"> This would help stop online defamation at an earlier stage and protect a defamed person’s reputation without imposing an unreasonable duty of examination and liability on online forum operators. In this respect, it will be interesting to await the outcome of forthcoming decisions regarding online defamation which will, hopefully, shed further light on the future path of the courts on this matter.  </w:t>
      </w:r>
    </w:p>
    <w:p w:rsidR="00E32F29" w:rsidRPr="00A14F11" w:rsidRDefault="00E32F29" w:rsidP="00E32F29">
      <w:pPr>
        <w:shd w:val="clear" w:color="auto" w:fill="FFFFFF"/>
        <w:spacing w:line="360" w:lineRule="auto"/>
        <w:jc w:val="both"/>
        <w:rPr>
          <w:rFonts w:ascii="Arial" w:hAnsi="Arial" w:cs="Arial"/>
          <w:szCs w:val="22"/>
        </w:rPr>
      </w:pPr>
    </w:p>
    <w:p w:rsidR="00E32F29" w:rsidRPr="00A14F11" w:rsidRDefault="00E32F29" w:rsidP="00E32F29">
      <w:pPr>
        <w:spacing w:line="360" w:lineRule="auto"/>
        <w:rPr>
          <w:rFonts w:ascii="Arial" w:hAnsi="Arial" w:cs="Arial"/>
          <w:szCs w:val="22"/>
        </w:rPr>
      </w:pPr>
    </w:p>
    <w:p w:rsidR="00E32F29" w:rsidRPr="00A14F11" w:rsidRDefault="00E32F29" w:rsidP="00E32F29">
      <w:pPr>
        <w:rPr>
          <w:rFonts w:ascii="Arial" w:hAnsi="Arial" w:cs="Arial"/>
          <w:szCs w:val="22"/>
        </w:rPr>
      </w:pPr>
    </w:p>
    <w:p w:rsidR="00E32F29" w:rsidRPr="00A14F11" w:rsidRDefault="00E32F29" w:rsidP="00E32F29">
      <w:pPr>
        <w:rPr>
          <w:rFonts w:ascii="Arial" w:hAnsi="Arial" w:cs="Arial"/>
          <w:szCs w:val="22"/>
        </w:rPr>
      </w:pPr>
    </w:p>
    <w:p w:rsidR="00E32F29" w:rsidRPr="00A14F11" w:rsidRDefault="00E32F29" w:rsidP="00E32F29">
      <w:pPr>
        <w:rPr>
          <w:rFonts w:ascii="Arial" w:hAnsi="Arial" w:cs="Arial"/>
          <w:szCs w:val="22"/>
        </w:rPr>
      </w:pPr>
    </w:p>
    <w:p w:rsidR="00E32F29" w:rsidRPr="00A14F11" w:rsidRDefault="00E32F29" w:rsidP="00E32F29">
      <w:pPr>
        <w:rPr>
          <w:rFonts w:ascii="Arial" w:hAnsi="Arial" w:cs="Arial"/>
          <w:szCs w:val="22"/>
        </w:rPr>
      </w:pPr>
    </w:p>
    <w:p w:rsidR="00E32F29" w:rsidRPr="00A14F11" w:rsidRDefault="00E32F29" w:rsidP="00E32F29">
      <w:pPr>
        <w:rPr>
          <w:rFonts w:ascii="Arial" w:hAnsi="Arial" w:cs="Arial"/>
          <w:szCs w:val="22"/>
        </w:rPr>
      </w:pPr>
    </w:p>
    <w:p w:rsidR="00E32F29" w:rsidRPr="00A14F11" w:rsidRDefault="00E32F29" w:rsidP="00E32F29">
      <w:pPr>
        <w:rPr>
          <w:rFonts w:ascii="Arial" w:hAnsi="Arial" w:cs="Arial"/>
          <w:szCs w:val="22"/>
        </w:rPr>
      </w:pPr>
    </w:p>
    <w:sectPr w:rsidR="00E32F29" w:rsidRPr="00A14F1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876" w:rsidRDefault="00651876" w:rsidP="00E32F29">
      <w:pPr>
        <w:spacing w:before="0" w:after="0"/>
      </w:pPr>
      <w:r>
        <w:separator/>
      </w:r>
    </w:p>
  </w:endnote>
  <w:endnote w:type="continuationSeparator" w:id="0">
    <w:p w:rsidR="00651876" w:rsidRDefault="00651876" w:rsidP="00E32F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235257"/>
      <w:docPartObj>
        <w:docPartGallery w:val="Page Numbers (Bottom of Page)"/>
        <w:docPartUnique/>
      </w:docPartObj>
    </w:sdtPr>
    <w:sdtEndPr>
      <w:rPr>
        <w:noProof/>
      </w:rPr>
    </w:sdtEndPr>
    <w:sdtContent>
      <w:p w:rsidR="00A14F11" w:rsidRDefault="00A14F11">
        <w:pPr>
          <w:pStyle w:val="Footer"/>
          <w:jc w:val="right"/>
        </w:pPr>
        <w:r>
          <w:fldChar w:fldCharType="begin"/>
        </w:r>
        <w:r>
          <w:instrText xml:space="preserve"> PAGE   \* MERGEFORMAT </w:instrText>
        </w:r>
        <w:r>
          <w:fldChar w:fldCharType="separate"/>
        </w:r>
        <w:r w:rsidR="004C5068">
          <w:rPr>
            <w:noProof/>
          </w:rPr>
          <w:t>1</w:t>
        </w:r>
        <w:r>
          <w:rPr>
            <w:noProof/>
          </w:rPr>
          <w:fldChar w:fldCharType="end"/>
        </w:r>
      </w:p>
    </w:sdtContent>
  </w:sdt>
  <w:p w:rsidR="00A14F11" w:rsidRDefault="00A14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876" w:rsidRDefault="00651876" w:rsidP="00E32F29">
      <w:pPr>
        <w:spacing w:before="0" w:after="0"/>
      </w:pPr>
      <w:r>
        <w:separator/>
      </w:r>
    </w:p>
  </w:footnote>
  <w:footnote w:type="continuationSeparator" w:id="0">
    <w:p w:rsidR="00651876" w:rsidRDefault="00651876" w:rsidP="00E32F29">
      <w:pPr>
        <w:spacing w:before="0" w:after="0"/>
      </w:pPr>
      <w:r>
        <w:continuationSeparator/>
      </w:r>
    </w:p>
  </w:footnote>
  <w:footnote w:id="1">
    <w:p w:rsidR="00833174" w:rsidRDefault="00833174" w:rsidP="00E32F29">
      <w:pPr>
        <w:pStyle w:val="FootnoteText"/>
        <w:rPr>
          <w:rFonts w:cs="Arial"/>
        </w:rPr>
      </w:pPr>
      <w:r>
        <w:rPr>
          <w:rFonts w:cs="Arial"/>
        </w:rPr>
        <w:t>* Dr Corinna Coors is a Senior Lecturer in Law at the University o</w:t>
      </w:r>
      <w:r w:rsidR="00BE3569">
        <w:rPr>
          <w:rFonts w:cs="Arial"/>
        </w:rPr>
        <w:t>f West London. The author would like to thank Khalid Butt</w:t>
      </w:r>
      <w:r w:rsidR="00C845CC">
        <w:rPr>
          <w:rFonts w:cs="Arial"/>
        </w:rPr>
        <w:t>, Senior Lecturer in Law at the University of West London,</w:t>
      </w:r>
      <w:r w:rsidR="00BE3569">
        <w:rPr>
          <w:rFonts w:cs="Arial"/>
        </w:rPr>
        <w:t xml:space="preserve"> for his helpful comments.</w:t>
      </w:r>
    </w:p>
    <w:p w:rsidR="00E32F29" w:rsidRPr="002F113A" w:rsidRDefault="00E32F29" w:rsidP="00E32F29">
      <w:pPr>
        <w:pStyle w:val="FootnoteText"/>
      </w:pPr>
      <w:r w:rsidRPr="00CE4CDC">
        <w:rPr>
          <w:rStyle w:val="FootnoteReference"/>
          <w:rFonts w:cs="Arial"/>
        </w:rPr>
        <w:footnoteRef/>
      </w:r>
      <w:r w:rsidRPr="00CE4CDC">
        <w:rPr>
          <w:rFonts w:cs="Arial"/>
        </w:rPr>
        <w:t xml:space="preserve"> </w:t>
      </w:r>
      <w:r w:rsidRPr="00CE4CDC">
        <w:rPr>
          <w:rFonts w:cs="Arial"/>
          <w:i/>
        </w:rPr>
        <w:t>See</w:t>
      </w:r>
      <w:r w:rsidRPr="00CE4CDC">
        <w:rPr>
          <w:rFonts w:cs="Arial"/>
        </w:rPr>
        <w:t xml:space="preserve"> </w:t>
      </w:r>
      <w:r w:rsidRPr="00CE4CDC">
        <w:rPr>
          <w:rStyle w:val="Emphasis"/>
          <w:rFonts w:cs="Arial"/>
        </w:rPr>
        <w:t>Von Hannover v Germany</w:t>
      </w:r>
      <w:r w:rsidRPr="00CE4CDC">
        <w:rPr>
          <w:rFonts w:cs="Arial"/>
        </w:rPr>
        <w:t xml:space="preserve"> ECHR (24 June 2004) – 59</w:t>
      </w:r>
      <w:r>
        <w:rPr>
          <w:rFonts w:cs="Arial"/>
        </w:rPr>
        <w:t xml:space="preserve">320/00 = NJW 2004, 2647 and </w:t>
      </w:r>
      <w:r w:rsidRPr="00CE4CDC">
        <w:rPr>
          <w:rStyle w:val="Emphasis"/>
          <w:rFonts w:cs="Arial"/>
        </w:rPr>
        <w:t>Von Hannover v Germany (No. 2)</w:t>
      </w:r>
      <w:r w:rsidRPr="00CE4CDC">
        <w:rPr>
          <w:rFonts w:cs="Arial"/>
        </w:rPr>
        <w:t xml:space="preserve"> ECHR (7 February </w:t>
      </w:r>
      <w:r w:rsidRPr="001574BF">
        <w:rPr>
          <w:rFonts w:cs="Arial"/>
          <w:i/>
        </w:rPr>
        <w:t>2012</w:t>
      </w:r>
      <w:r w:rsidRPr="00CE4CDC">
        <w:rPr>
          <w:rFonts w:cs="Arial"/>
        </w:rPr>
        <w:t>) – 40660/08 and</w:t>
      </w:r>
      <w:r>
        <w:rPr>
          <w:rFonts w:cs="Arial"/>
        </w:rPr>
        <w:t xml:space="preserve"> 60641/08. See case comments of</w:t>
      </w:r>
      <w:r w:rsidRPr="00CE4CDC">
        <w:rPr>
          <w:rFonts w:cs="Arial"/>
        </w:rPr>
        <w:t xml:space="preserve"> </w:t>
      </w:r>
      <w:r w:rsidRPr="00521C62">
        <w:t xml:space="preserve">Corinna Coors, </w:t>
      </w:r>
      <w:r w:rsidRPr="00521C62">
        <w:rPr>
          <w:i/>
          <w:iCs/>
        </w:rPr>
        <w:t>Headwind from Europe: The New Position of the German Courts on Personality Rights after the Judgment of the European Court of Human Rights</w:t>
      </w:r>
      <w:r>
        <w:t xml:space="preserve">, </w:t>
      </w:r>
      <w:r w:rsidRPr="00521C62">
        <w:t xml:space="preserve">11 </w:t>
      </w:r>
      <w:r>
        <w:t xml:space="preserve">German Law Journal, 2010, 527-538; </w:t>
      </w:r>
      <w:r w:rsidRPr="00CE4CDC">
        <w:rPr>
          <w:rFonts w:cs="Arial"/>
        </w:rPr>
        <w:t>Judith Janna Marten,</w:t>
      </w:r>
      <w:r w:rsidRPr="00CE4CDC">
        <w:rPr>
          <w:rStyle w:val="searchterm"/>
          <w:rFonts w:cs="Arial"/>
        </w:rPr>
        <w:t xml:space="preserve"> </w:t>
      </w:r>
      <w:r w:rsidRPr="00CE4CDC">
        <w:rPr>
          <w:rStyle w:val="searchterm"/>
          <w:rFonts w:cs="Arial"/>
          <w:i/>
        </w:rPr>
        <w:t>Personality</w:t>
      </w:r>
      <w:r w:rsidRPr="00CE4CDC">
        <w:rPr>
          <w:rFonts w:cs="Arial"/>
          <w:i/>
        </w:rPr>
        <w:t xml:space="preserve"> </w:t>
      </w:r>
      <w:r w:rsidRPr="00CE4CDC">
        <w:rPr>
          <w:rStyle w:val="searchterm"/>
          <w:rFonts w:cs="Arial"/>
          <w:i/>
        </w:rPr>
        <w:t>rights</w:t>
      </w:r>
      <w:r w:rsidRPr="00CE4CDC">
        <w:rPr>
          <w:rFonts w:cs="Arial"/>
          <w:i/>
        </w:rPr>
        <w:t xml:space="preserve"> and freedom of expression: a journey through the development of </w:t>
      </w:r>
      <w:r w:rsidRPr="00CE4CDC">
        <w:rPr>
          <w:rStyle w:val="searchterm"/>
          <w:rFonts w:cs="Arial"/>
          <w:i/>
        </w:rPr>
        <w:t>German</w:t>
      </w:r>
      <w:r w:rsidRPr="00CE4CDC">
        <w:rPr>
          <w:rFonts w:cs="Arial"/>
          <w:i/>
        </w:rPr>
        <w:t xml:space="preserve"> jurisprudence under the influence of the European Court of Human </w:t>
      </w:r>
      <w:r w:rsidRPr="00CE4CDC">
        <w:rPr>
          <w:rStyle w:val="searchterm"/>
          <w:rFonts w:cs="Arial"/>
          <w:i/>
        </w:rPr>
        <w:t>Rights</w:t>
      </w:r>
      <w:r w:rsidRPr="00CE4CDC">
        <w:rPr>
          <w:rFonts w:cs="Arial"/>
        </w:rPr>
        <w:t xml:space="preserve"> </w:t>
      </w:r>
      <w:r>
        <w:rPr>
          <w:rFonts w:cs="Arial"/>
        </w:rPr>
        <w:t>Journal of Media Law (2012),</w:t>
      </w:r>
      <w:r w:rsidRPr="00CE4CDC">
        <w:rPr>
          <w:rFonts w:cs="Arial"/>
        </w:rPr>
        <w:t xml:space="preserve"> 4(2</w:t>
      </w:r>
      <w:r>
        <w:rPr>
          <w:rFonts w:cs="Arial"/>
        </w:rPr>
        <w:t>), 333-349; Franz Hofmann,</w:t>
      </w:r>
      <w:r w:rsidRPr="00CE4CDC">
        <w:rPr>
          <w:rFonts w:cs="Arial"/>
          <w:b/>
        </w:rPr>
        <w:t xml:space="preserve"> </w:t>
      </w:r>
      <w:r w:rsidRPr="00CE4CDC">
        <w:rPr>
          <w:rFonts w:cs="Arial"/>
          <w:i/>
        </w:rPr>
        <w:t>The right to publicity in German and English law</w:t>
      </w:r>
      <w:r w:rsidRPr="00CE4CDC">
        <w:rPr>
          <w:rFonts w:cs="Arial"/>
        </w:rPr>
        <w:t xml:space="preserve">, </w:t>
      </w:r>
      <w:hyperlink r:id="rId1" w:history="1">
        <w:r w:rsidRPr="00CE4CDC">
          <w:rPr>
            <w:rStyle w:val="Hyperlink"/>
            <w:rFonts w:cs="Arial"/>
            <w:color w:val="auto"/>
            <w:u w:val="none"/>
          </w:rPr>
          <w:t>Intellectual Property Quarterly</w:t>
        </w:r>
        <w:r>
          <w:rPr>
            <w:rStyle w:val="Hyperlink"/>
            <w:rFonts w:cs="Arial"/>
            <w:color w:val="auto"/>
            <w:u w:val="none"/>
          </w:rPr>
          <w:t xml:space="preserve"> (2010)</w:t>
        </w:r>
        <w:r w:rsidRPr="00CE4CDC">
          <w:rPr>
            <w:rStyle w:val="Hyperlink"/>
            <w:rFonts w:cs="Arial"/>
            <w:color w:val="auto"/>
            <w:u w:val="none"/>
          </w:rPr>
          <w:t>, 3, 325-340</w:t>
        </w:r>
      </w:hyperlink>
      <w:r w:rsidRPr="00CE4CDC">
        <w:rPr>
          <w:rStyle w:val="Hyperlink"/>
          <w:rFonts w:cs="Arial"/>
          <w:color w:val="auto"/>
          <w:u w:val="none"/>
        </w:rPr>
        <w:t>.</w:t>
      </w:r>
    </w:p>
  </w:footnote>
  <w:footnote w:id="2">
    <w:p w:rsidR="00E32F29" w:rsidRPr="00CE4CDC" w:rsidRDefault="00E32F29" w:rsidP="00E32F29">
      <w:pPr>
        <w:pStyle w:val="NoSpacing"/>
        <w:rPr>
          <w:rFonts w:cs="Arial"/>
          <w:sz w:val="20"/>
          <w:lang w:eastAsia="en-GB"/>
        </w:rPr>
      </w:pPr>
      <w:r w:rsidRPr="00CE4CDC">
        <w:rPr>
          <w:rStyle w:val="FootnoteReference"/>
          <w:rFonts w:cs="Arial"/>
          <w:sz w:val="20"/>
        </w:rPr>
        <w:footnoteRef/>
      </w:r>
      <w:r>
        <w:rPr>
          <w:rFonts w:cs="Arial"/>
          <w:sz w:val="20"/>
        </w:rPr>
        <w:t xml:space="preserve"> </w:t>
      </w:r>
      <w:r w:rsidRPr="00CE4CDC">
        <w:rPr>
          <w:rFonts w:cs="Arial"/>
          <w:sz w:val="20"/>
        </w:rPr>
        <w:t>BGH</w:t>
      </w:r>
      <w:r>
        <w:rPr>
          <w:rFonts w:cs="Arial"/>
          <w:sz w:val="20"/>
        </w:rPr>
        <w:t>, 14.05.2013,</w:t>
      </w:r>
      <w:r w:rsidRPr="00CE4CDC">
        <w:rPr>
          <w:rFonts w:cs="Arial"/>
          <w:sz w:val="20"/>
        </w:rPr>
        <w:t xml:space="preserve"> VI ZR 269/12</w:t>
      </w:r>
      <w:r>
        <w:rPr>
          <w:rFonts w:cs="Arial"/>
          <w:sz w:val="20"/>
        </w:rPr>
        <w:t xml:space="preserve">.  </w:t>
      </w:r>
      <w:r w:rsidRPr="00D777B6">
        <w:rPr>
          <w:rFonts w:cs="Arial"/>
          <w:i/>
          <w:sz w:val="20"/>
        </w:rPr>
        <w:t xml:space="preserve">See </w:t>
      </w:r>
      <w:r>
        <w:rPr>
          <w:rFonts w:cs="Arial"/>
          <w:sz w:val="20"/>
        </w:rPr>
        <w:t>case c</w:t>
      </w:r>
      <w:r w:rsidRPr="00CE4CDC">
        <w:rPr>
          <w:rFonts w:cs="Arial"/>
          <w:sz w:val="20"/>
        </w:rPr>
        <w:t>omment</w:t>
      </w:r>
      <w:r w:rsidRPr="00CE4CDC">
        <w:rPr>
          <w:rFonts w:cs="Arial"/>
          <w:i/>
          <w:sz w:val="20"/>
        </w:rPr>
        <w:t xml:space="preserve"> </w:t>
      </w:r>
      <w:r w:rsidRPr="00CE4CDC">
        <w:rPr>
          <w:rFonts w:cs="Arial"/>
          <w:sz w:val="20"/>
        </w:rPr>
        <w:t xml:space="preserve">of </w:t>
      </w:r>
      <w:r w:rsidRPr="00CE4CDC">
        <w:rPr>
          <w:rFonts w:cs="Arial"/>
          <w:sz w:val="20"/>
          <w:lang w:eastAsia="en-GB"/>
        </w:rPr>
        <w:t xml:space="preserve">Andrea Schuessler, </w:t>
      </w:r>
      <w:r w:rsidRPr="00CE4CDC">
        <w:rPr>
          <w:rFonts w:cs="Arial"/>
          <w:i/>
          <w:sz w:val="20"/>
          <w:lang w:eastAsia="en-GB"/>
        </w:rPr>
        <w:t>Germany: internet - German Supreme Court holds Google liable for "autocomplete" results</w:t>
      </w:r>
      <w:r w:rsidRPr="00CE4CDC">
        <w:rPr>
          <w:rFonts w:cs="Arial"/>
          <w:sz w:val="20"/>
          <w:lang w:eastAsia="en-GB"/>
        </w:rPr>
        <w:t>,</w:t>
      </w:r>
      <w:r w:rsidRPr="00CE4CDC">
        <w:rPr>
          <w:rFonts w:cs="Arial"/>
          <w:b/>
          <w:sz w:val="20"/>
          <w:lang w:eastAsia="en-GB"/>
        </w:rPr>
        <w:t xml:space="preserve"> </w:t>
      </w:r>
      <w:r w:rsidRPr="00CE4CDC">
        <w:rPr>
          <w:rFonts w:cs="Arial"/>
          <w:sz w:val="20"/>
          <w:lang w:eastAsia="en-GB"/>
        </w:rPr>
        <w:t>World Communications Regulation Report</w:t>
      </w:r>
      <w:r>
        <w:rPr>
          <w:rFonts w:cs="Arial"/>
          <w:sz w:val="20"/>
          <w:lang w:eastAsia="en-GB"/>
        </w:rPr>
        <w:t xml:space="preserve"> (2013)</w:t>
      </w:r>
      <w:r w:rsidRPr="00CE4CDC">
        <w:rPr>
          <w:rFonts w:cs="Arial"/>
          <w:sz w:val="20"/>
          <w:lang w:eastAsia="en-GB"/>
        </w:rPr>
        <w:t>, 8(6), 11.</w:t>
      </w:r>
      <w:r w:rsidRPr="00CE4CDC">
        <w:rPr>
          <w:rFonts w:cs="Arial"/>
          <w:sz w:val="20"/>
        </w:rPr>
        <w:t xml:space="preserve"> </w:t>
      </w:r>
      <w:r w:rsidRPr="00CE4CDC">
        <w:rPr>
          <w:rFonts w:cs="Arial"/>
          <w:sz w:val="20"/>
          <w:lang w:eastAsia="en-GB"/>
        </w:rPr>
        <w:t xml:space="preserve"> </w:t>
      </w:r>
    </w:p>
  </w:footnote>
  <w:footnote w:id="3">
    <w:p w:rsidR="00E32F29" w:rsidRPr="00CE4CDC" w:rsidRDefault="00E32F29" w:rsidP="00E32F29">
      <w:pPr>
        <w:pStyle w:val="FootnoteText"/>
        <w:rPr>
          <w:rFonts w:cs="Arial"/>
        </w:rPr>
      </w:pPr>
      <w:r w:rsidRPr="00CE4CDC">
        <w:rPr>
          <w:rStyle w:val="FootnoteReference"/>
        </w:rPr>
        <w:footnoteRef/>
      </w:r>
      <w:r w:rsidRPr="00CE4CDC">
        <w:t xml:space="preserve"> </w:t>
      </w:r>
      <w:r w:rsidRPr="00CE4CDC">
        <w:rPr>
          <w:rFonts w:cs="Arial"/>
          <w:i/>
        </w:rPr>
        <w:t>See</w:t>
      </w:r>
      <w:r w:rsidRPr="00CE4CDC">
        <w:t xml:space="preserve"> </w:t>
      </w:r>
      <w:hyperlink r:id="rId2" w:history="1">
        <w:r w:rsidRPr="00CE4CDC">
          <w:rPr>
            <w:rStyle w:val="Hyperlink"/>
            <w:rFonts w:cs="Arial"/>
          </w:rPr>
          <w:t>http://www.spiegel.de/international/zeitgeist/google-autocomplete-former-german-first-lady-defamation-case-a-856820.html</w:t>
        </w:r>
      </w:hyperlink>
      <w:r>
        <w:rPr>
          <w:rFonts w:cs="Arial"/>
        </w:rPr>
        <w:t xml:space="preserve"> </w:t>
      </w:r>
      <w:r w:rsidRPr="00973ECB">
        <w:rPr>
          <w:rFonts w:cs="Arial"/>
        </w:rPr>
        <w:t>[</w:t>
      </w:r>
      <w:r>
        <w:rPr>
          <w:rFonts w:cs="Arial"/>
        </w:rPr>
        <w:t>Last accessed 4 October</w:t>
      </w:r>
      <w:r w:rsidRPr="00CE4CDC">
        <w:rPr>
          <w:rFonts w:cs="Arial"/>
        </w:rPr>
        <w:t xml:space="preserve"> 2013].</w:t>
      </w:r>
    </w:p>
  </w:footnote>
  <w:footnote w:id="4">
    <w:p w:rsidR="00E32F29" w:rsidRPr="00CE4CDC" w:rsidRDefault="00E32F29" w:rsidP="00E32F29">
      <w:pPr>
        <w:pStyle w:val="NoSpacing"/>
        <w:jc w:val="both"/>
        <w:rPr>
          <w:rFonts w:cs="Arial"/>
          <w:sz w:val="20"/>
        </w:rPr>
      </w:pPr>
      <w:r w:rsidRPr="00CE4CDC">
        <w:rPr>
          <w:rStyle w:val="FootnoteReference"/>
          <w:rFonts w:cs="Arial"/>
          <w:sz w:val="20"/>
        </w:rPr>
        <w:footnoteRef/>
      </w:r>
      <w:r w:rsidRPr="00CE4CDC">
        <w:rPr>
          <w:rFonts w:cs="Arial"/>
          <w:sz w:val="20"/>
        </w:rPr>
        <w:t xml:space="preserve"> Constant case law since BGHZ 13, 334, 338 - </w:t>
      </w:r>
      <w:r w:rsidRPr="00CE4CDC">
        <w:rPr>
          <w:rFonts w:cs="Arial"/>
          <w:i/>
          <w:sz w:val="20"/>
        </w:rPr>
        <w:t>readers' letters</w:t>
      </w:r>
      <w:r w:rsidRPr="00CE4CDC">
        <w:rPr>
          <w:rFonts w:cs="Arial"/>
          <w:sz w:val="20"/>
        </w:rPr>
        <w:t>.</w:t>
      </w:r>
    </w:p>
  </w:footnote>
  <w:footnote w:id="5">
    <w:p w:rsidR="00E32F29" w:rsidRPr="00F2071E" w:rsidRDefault="00E32F29" w:rsidP="00E32F29">
      <w:pPr>
        <w:pStyle w:val="NoSpacing"/>
        <w:jc w:val="both"/>
        <w:rPr>
          <w:rFonts w:cs="Arial"/>
          <w:sz w:val="20"/>
        </w:rPr>
      </w:pPr>
      <w:r w:rsidRPr="00CE4CDC">
        <w:rPr>
          <w:rStyle w:val="FootnoteReference"/>
          <w:rFonts w:cs="Arial"/>
          <w:sz w:val="20"/>
        </w:rPr>
        <w:footnoteRef/>
      </w:r>
      <w:r w:rsidRPr="00F2071E">
        <w:rPr>
          <w:rFonts w:cs="Arial"/>
          <w:sz w:val="20"/>
        </w:rPr>
        <w:t xml:space="preserve"> Ibid.</w:t>
      </w:r>
    </w:p>
  </w:footnote>
  <w:footnote w:id="6">
    <w:p w:rsidR="00E32F29" w:rsidRPr="00F2071E" w:rsidRDefault="00E32F29" w:rsidP="00E32F29">
      <w:pPr>
        <w:pStyle w:val="NoSpacing"/>
        <w:jc w:val="both"/>
        <w:rPr>
          <w:rFonts w:cs="Arial"/>
          <w:i/>
          <w:sz w:val="20"/>
        </w:rPr>
      </w:pPr>
      <w:r w:rsidRPr="00CE4CDC">
        <w:rPr>
          <w:rStyle w:val="FootnoteReference"/>
          <w:rFonts w:cs="Arial"/>
          <w:sz w:val="20"/>
        </w:rPr>
        <w:footnoteRef/>
      </w:r>
      <w:r w:rsidRPr="00F2071E">
        <w:rPr>
          <w:rFonts w:cs="Arial"/>
          <w:sz w:val="20"/>
        </w:rPr>
        <w:t xml:space="preserve"> </w:t>
      </w:r>
      <w:r w:rsidRPr="00F2071E">
        <w:rPr>
          <w:rFonts w:cs="Arial"/>
          <w:i/>
          <w:sz w:val="20"/>
        </w:rPr>
        <w:t>See</w:t>
      </w:r>
      <w:r w:rsidRPr="00F2071E">
        <w:rPr>
          <w:rFonts w:cs="Arial"/>
          <w:sz w:val="20"/>
        </w:rPr>
        <w:t xml:space="preserve"> BVerfGE 101, 361 – </w:t>
      </w:r>
      <w:r w:rsidRPr="00F2071E">
        <w:rPr>
          <w:rFonts w:cs="Arial"/>
          <w:i/>
          <w:sz w:val="20"/>
        </w:rPr>
        <w:t>Caroline von M II.</w:t>
      </w:r>
    </w:p>
  </w:footnote>
  <w:footnote w:id="7">
    <w:p w:rsidR="00E32F29" w:rsidRPr="00CE4CDC" w:rsidRDefault="00E32F29" w:rsidP="00E32F29">
      <w:pPr>
        <w:pStyle w:val="FootnoteText"/>
        <w:jc w:val="both"/>
        <w:rPr>
          <w:rFonts w:cs="Arial"/>
        </w:rPr>
      </w:pPr>
      <w:r w:rsidRPr="00CE4CDC">
        <w:rPr>
          <w:rStyle w:val="FootnoteReference"/>
        </w:rPr>
        <w:footnoteRef/>
      </w:r>
      <w:r w:rsidRPr="00CE4CDC">
        <w:t xml:space="preserve"> </w:t>
      </w:r>
      <w:r w:rsidRPr="00CE4CDC">
        <w:rPr>
          <w:rFonts w:cs="Arial"/>
          <w:i/>
        </w:rPr>
        <w:t>See</w:t>
      </w:r>
      <w:r w:rsidRPr="00CE4CDC">
        <w:t xml:space="preserve"> </w:t>
      </w:r>
      <w:r>
        <w:rPr>
          <w:rFonts w:cs="Arial"/>
        </w:rPr>
        <w:t>BGHZ 73 ,120;</w:t>
      </w:r>
      <w:r w:rsidRPr="00CE4CDC">
        <w:rPr>
          <w:rFonts w:cs="Arial"/>
        </w:rPr>
        <w:t xml:space="preserve"> </w:t>
      </w:r>
      <w:r w:rsidRPr="00CE4CDC">
        <w:t xml:space="preserve"> </w:t>
      </w:r>
      <w:r w:rsidRPr="00CE4CDC">
        <w:rPr>
          <w:rFonts w:cs="Arial"/>
        </w:rPr>
        <w:t>BGH</w:t>
      </w:r>
      <w:r>
        <w:rPr>
          <w:rFonts w:cs="Arial"/>
        </w:rPr>
        <w:t xml:space="preserve"> 09.12.2003 -</w:t>
      </w:r>
      <w:r w:rsidRPr="00CE4CDC">
        <w:rPr>
          <w:rFonts w:cs="Arial"/>
        </w:rPr>
        <w:t xml:space="preserve"> VI ZR 373/02.</w:t>
      </w:r>
    </w:p>
  </w:footnote>
  <w:footnote w:id="8">
    <w:p w:rsidR="0047444F" w:rsidRDefault="0047444F">
      <w:pPr>
        <w:pStyle w:val="FootnoteText"/>
      </w:pPr>
      <w:r>
        <w:rPr>
          <w:rStyle w:val="FootnoteReference"/>
        </w:rPr>
        <w:footnoteRef/>
      </w:r>
      <w:r>
        <w:t xml:space="preserve"> BGHZ 26,349.</w:t>
      </w:r>
    </w:p>
  </w:footnote>
  <w:footnote w:id="9">
    <w:p w:rsidR="00E32F29" w:rsidRPr="00AC1996" w:rsidRDefault="00E32F29" w:rsidP="00E32F29">
      <w:pPr>
        <w:pStyle w:val="NoSpacing"/>
        <w:rPr>
          <w:sz w:val="20"/>
        </w:rPr>
      </w:pPr>
      <w:r w:rsidRPr="00AC1996">
        <w:rPr>
          <w:rStyle w:val="FootnoteReference"/>
          <w:rFonts w:cs="Arial"/>
          <w:sz w:val="20"/>
        </w:rPr>
        <w:footnoteRef/>
      </w:r>
      <w:r w:rsidRPr="00AC1996">
        <w:t xml:space="preserve"> </w:t>
      </w:r>
      <w:r w:rsidRPr="00AC1996">
        <w:rPr>
          <w:sz w:val="20"/>
        </w:rPr>
        <w:t>Supra fn 2.</w:t>
      </w:r>
    </w:p>
  </w:footnote>
  <w:footnote w:id="10">
    <w:p w:rsidR="0047444F" w:rsidRPr="0047444F" w:rsidRDefault="0047444F">
      <w:pPr>
        <w:pStyle w:val="FootnoteText"/>
        <w:rPr>
          <w:i/>
        </w:rPr>
      </w:pPr>
      <w:r>
        <w:rPr>
          <w:rStyle w:val="FootnoteReference"/>
        </w:rPr>
        <w:footnoteRef/>
      </w:r>
      <w:r>
        <w:t xml:space="preserve"> </w:t>
      </w:r>
      <w:r>
        <w:rPr>
          <w:i/>
        </w:rPr>
        <w:t xml:space="preserve">See </w:t>
      </w:r>
      <w:r>
        <w:t xml:space="preserve">case comment: </w:t>
      </w:r>
      <w:r>
        <w:rPr>
          <w:i/>
        </w:rPr>
        <w:t>Liability of search engine operator for autocomplete suggestions that infringe rights of privacy</w:t>
      </w:r>
      <w:r w:rsidR="004A28BF">
        <w:rPr>
          <w:i/>
        </w:rPr>
        <w:t xml:space="preserve"> – “Autocomplete” function</w:t>
      </w:r>
      <w:r w:rsidR="004A28BF">
        <w:t>, Journal of Intellectual Property Law &amp; Practice 2013, 8(10), 797-802.</w:t>
      </w:r>
      <w:r>
        <w:t xml:space="preserve"> </w:t>
      </w:r>
    </w:p>
  </w:footnote>
  <w:footnote w:id="11">
    <w:p w:rsidR="00844334" w:rsidRPr="00677870" w:rsidRDefault="00844334" w:rsidP="00844334">
      <w:pPr>
        <w:pStyle w:val="NoSpacing"/>
        <w:rPr>
          <w:rFonts w:cs="Arial"/>
          <w:i/>
          <w:sz w:val="20"/>
          <w:lang w:eastAsia="en-GB"/>
        </w:rPr>
      </w:pPr>
      <w:r w:rsidRPr="00CE4CDC">
        <w:rPr>
          <w:rStyle w:val="FootnoteReference"/>
          <w:rFonts w:cs="Arial"/>
          <w:sz w:val="20"/>
        </w:rPr>
        <w:footnoteRef/>
      </w:r>
      <w:r w:rsidRPr="00E11B28">
        <w:rPr>
          <w:rFonts w:cs="Arial"/>
          <w:i/>
          <w:sz w:val="20"/>
          <w:lang w:eastAsia="en-GB"/>
        </w:rPr>
        <w:t xml:space="preserve">See </w:t>
      </w:r>
      <w:r w:rsidRPr="00E11B28">
        <w:rPr>
          <w:rStyle w:val="Emphasis"/>
          <w:sz w:val="20"/>
        </w:rPr>
        <w:t>BGH</w:t>
      </w:r>
      <w:r w:rsidRPr="00E11B28">
        <w:rPr>
          <w:rStyle w:val="st"/>
          <w:sz w:val="20"/>
        </w:rPr>
        <w:t xml:space="preserve">, 17.05.2001 - I </w:t>
      </w:r>
      <w:r w:rsidRPr="00677870">
        <w:rPr>
          <w:rStyle w:val="Emphasis"/>
          <w:sz w:val="20"/>
        </w:rPr>
        <w:t>ZR</w:t>
      </w:r>
      <w:r w:rsidRPr="00E11B28">
        <w:rPr>
          <w:rStyle w:val="Emphasis"/>
          <w:sz w:val="20"/>
        </w:rPr>
        <w:t xml:space="preserve"> 251/99</w:t>
      </w:r>
      <w:r>
        <w:rPr>
          <w:rStyle w:val="Emphasis"/>
          <w:sz w:val="20"/>
        </w:rPr>
        <w:t xml:space="preserve"> – </w:t>
      </w:r>
      <w:r w:rsidRPr="00677870">
        <w:rPr>
          <w:rStyle w:val="Emphasis"/>
          <w:sz w:val="20"/>
        </w:rPr>
        <w:t>ambiente.de</w:t>
      </w:r>
      <w:r w:rsidRPr="00E11B28">
        <w:rPr>
          <w:rFonts w:cs="Arial"/>
          <w:sz w:val="20"/>
          <w:lang w:eastAsia="en-GB"/>
        </w:rPr>
        <w:t xml:space="preserve">, </w:t>
      </w:r>
      <w:hyperlink r:id="rId3" w:anchor="focuspoint" w:tgtFrame="_blank" w:tooltip="öffnet www.juris.de/cr-online" w:history="1">
        <w:r w:rsidRPr="00CE4CDC">
          <w:rPr>
            <w:rFonts w:cs="Arial"/>
            <w:sz w:val="20"/>
            <w:lang w:eastAsia="en-GB"/>
          </w:rPr>
          <w:t>BGH</w:t>
        </w:r>
        <w:r w:rsidRPr="00CE4CDC">
          <w:rPr>
            <w:rStyle w:val="st"/>
            <w:sz w:val="20"/>
          </w:rPr>
          <w:t>, 11.03.2004 -</w:t>
        </w:r>
        <w:r w:rsidRPr="00CE4CDC">
          <w:rPr>
            <w:rFonts w:cs="Arial"/>
            <w:sz w:val="20"/>
            <w:lang w:eastAsia="en-GB"/>
          </w:rPr>
          <w:t xml:space="preserve"> I ZR 304/01</w:t>
        </w:r>
      </w:hyperlink>
      <w:r w:rsidRPr="00CE4CDC">
        <w:rPr>
          <w:rFonts w:cs="Arial"/>
          <w:sz w:val="20"/>
          <w:lang w:eastAsia="en-GB"/>
        </w:rPr>
        <w:t xml:space="preserve"> – </w:t>
      </w:r>
      <w:r w:rsidRPr="00677870">
        <w:rPr>
          <w:rFonts w:cs="Arial"/>
          <w:i/>
          <w:sz w:val="20"/>
          <w:lang w:eastAsia="en-GB"/>
        </w:rPr>
        <w:t>Internet-auction.</w:t>
      </w:r>
    </w:p>
  </w:footnote>
  <w:footnote w:id="12">
    <w:p w:rsidR="00E32F29" w:rsidRPr="000305B4" w:rsidRDefault="00E32F29" w:rsidP="00E32F29">
      <w:pPr>
        <w:pStyle w:val="NoSpacing"/>
        <w:rPr>
          <w:sz w:val="20"/>
          <w:lang w:eastAsia="en-GB"/>
        </w:rPr>
      </w:pPr>
      <w:r w:rsidRPr="005B4741">
        <w:rPr>
          <w:rStyle w:val="FootnoteReference"/>
          <w:sz w:val="20"/>
        </w:rPr>
        <w:footnoteRef/>
      </w:r>
      <w:r w:rsidRPr="005B4741">
        <w:t xml:space="preserve"> </w:t>
      </w:r>
      <w:r w:rsidRPr="005B4741">
        <w:rPr>
          <w:i/>
          <w:sz w:val="20"/>
        </w:rPr>
        <w:t>See</w:t>
      </w:r>
      <w:r w:rsidRPr="005B4741">
        <w:rPr>
          <w:sz w:val="20"/>
        </w:rPr>
        <w:t xml:space="preserve"> </w:t>
      </w:r>
      <w:r w:rsidR="00862E57">
        <w:rPr>
          <w:sz w:val="20"/>
        </w:rPr>
        <w:t xml:space="preserve">Andrea Schuessler, </w:t>
      </w:r>
      <w:r w:rsidR="00862E57">
        <w:rPr>
          <w:i/>
          <w:sz w:val="20"/>
        </w:rPr>
        <w:t xml:space="preserve">Germany: internet – German Supreme Court holds Google liable for “autocomplete results”, </w:t>
      </w:r>
      <w:r w:rsidR="00862E57">
        <w:rPr>
          <w:sz w:val="20"/>
        </w:rPr>
        <w:t xml:space="preserve">World Communications Regulation Report (2013) 8 (6). </w:t>
      </w:r>
    </w:p>
  </w:footnote>
  <w:footnote w:id="13">
    <w:p w:rsidR="00E32F29" w:rsidRPr="00844334" w:rsidRDefault="00E32F29" w:rsidP="00E32F29">
      <w:pPr>
        <w:pStyle w:val="FootnoteText"/>
      </w:pPr>
      <w:r>
        <w:rPr>
          <w:rStyle w:val="FootnoteReference"/>
        </w:rPr>
        <w:footnoteRef/>
      </w:r>
      <w:r w:rsidRPr="00844334">
        <w:t xml:space="preserve"> </w:t>
      </w:r>
      <w:r w:rsidR="00844334" w:rsidRPr="00844334">
        <w:t xml:space="preserve">BGH, 14.05.2013, VI ZR 269/12, </w:t>
      </w:r>
      <w:r w:rsidR="00844334" w:rsidRPr="00844334">
        <w:rPr>
          <w:i/>
        </w:rPr>
        <w:t>see</w:t>
      </w:r>
      <w:r w:rsidR="00844334" w:rsidRPr="00844334">
        <w:t xml:space="preserve"> case comment: </w:t>
      </w:r>
      <w:r w:rsidR="00844334">
        <w:rPr>
          <w:i/>
        </w:rPr>
        <w:t xml:space="preserve">Liability of search engine operator for autocomplete suggestions that infringe rights of privacy – “Autocomplete” function, </w:t>
      </w:r>
      <w:r w:rsidR="00844334" w:rsidRPr="00844334">
        <w:t>Journal of Intellectual Property Law and Practice 2013, 8(</w:t>
      </w:r>
      <w:r w:rsidR="00844334">
        <w:t>10), 797-802.</w:t>
      </w:r>
    </w:p>
  </w:footnote>
  <w:footnote w:id="14">
    <w:p w:rsidR="00E32F29" w:rsidRPr="000B267B" w:rsidRDefault="00E32F29" w:rsidP="00E32F29">
      <w:pPr>
        <w:pStyle w:val="NoSpacing"/>
        <w:rPr>
          <w:rFonts w:cs="Arial"/>
          <w:sz w:val="20"/>
        </w:rPr>
      </w:pPr>
      <w:r w:rsidRPr="00CE4CDC">
        <w:rPr>
          <w:rStyle w:val="FootnoteReference"/>
          <w:sz w:val="20"/>
        </w:rPr>
        <w:footnoteRef/>
      </w:r>
      <w:r w:rsidRPr="000B267B">
        <w:rPr>
          <w:rFonts w:cs="Arial"/>
          <w:sz w:val="20"/>
        </w:rPr>
        <w:t>BVerfGE 61 1,8; BVerfGE 85,1,15, BGHZ 31,308,318.</w:t>
      </w:r>
    </w:p>
  </w:footnote>
  <w:footnote w:id="15">
    <w:p w:rsidR="00E32F29" w:rsidRPr="0020613E" w:rsidRDefault="00E32F29" w:rsidP="00E32F29">
      <w:pPr>
        <w:pStyle w:val="NoSpacing"/>
        <w:rPr>
          <w:sz w:val="20"/>
          <w:lang w:eastAsia="en-GB"/>
        </w:rPr>
      </w:pPr>
      <w:r w:rsidRPr="0020613E">
        <w:rPr>
          <w:rStyle w:val="FootnoteReference"/>
          <w:sz w:val="20"/>
        </w:rPr>
        <w:footnoteRef/>
      </w:r>
      <w:r w:rsidRPr="0020613E">
        <w:rPr>
          <w:sz w:val="20"/>
        </w:rPr>
        <w:t xml:space="preserve"> </w:t>
      </w:r>
      <w:r w:rsidRPr="00A2773C">
        <w:rPr>
          <w:i/>
          <w:sz w:val="20"/>
        </w:rPr>
        <w:t>Metropolitan International Schools Limited  v Designtechnica, Google UK and Goolge Inc</w:t>
      </w:r>
      <w:r w:rsidRPr="0020613E">
        <w:rPr>
          <w:sz w:val="20"/>
        </w:rPr>
        <w:t xml:space="preserve"> </w:t>
      </w:r>
      <w:r w:rsidRPr="0020613E">
        <w:rPr>
          <w:bCs/>
          <w:sz w:val="20"/>
        </w:rPr>
        <w:t>[2009] EWHC 1765 (QB)</w:t>
      </w:r>
      <w:r>
        <w:rPr>
          <w:bCs/>
          <w:sz w:val="20"/>
        </w:rPr>
        <w:t>.</w:t>
      </w:r>
    </w:p>
  </w:footnote>
  <w:footnote w:id="16">
    <w:p w:rsidR="00DC5457" w:rsidRPr="00DC5457" w:rsidRDefault="00DC5457">
      <w:pPr>
        <w:pStyle w:val="FootnoteText"/>
      </w:pPr>
      <w:r>
        <w:rPr>
          <w:rStyle w:val="FootnoteReference"/>
        </w:rPr>
        <w:footnoteRef/>
      </w:r>
      <w:r>
        <w:t xml:space="preserve"> Supra fn 15, </w:t>
      </w:r>
      <w:r>
        <w:rPr>
          <w:i/>
        </w:rPr>
        <w:t xml:space="preserve">see </w:t>
      </w:r>
      <w:r>
        <w:t xml:space="preserve">case comment of Ashley Hurst and Tamsin Blow, E-Commerce Law Reports 2009, 9(3), 4-5. On the liability of OSP’s </w:t>
      </w:r>
      <w:r>
        <w:rPr>
          <w:i/>
        </w:rPr>
        <w:t>see</w:t>
      </w:r>
      <w:r>
        <w:t xml:space="preserve"> Ian J. Lloyd (2010) </w:t>
      </w:r>
      <w:r>
        <w:rPr>
          <w:i/>
        </w:rPr>
        <w:t xml:space="preserve">Cyber Law in the United Kingdom, </w:t>
      </w:r>
      <w:r>
        <w:t>Kluwer Law International, The Netherlands, p. 162.</w:t>
      </w:r>
    </w:p>
  </w:footnote>
  <w:footnote w:id="17">
    <w:p w:rsidR="00E32F29" w:rsidRPr="00DC5457" w:rsidRDefault="00E32F29" w:rsidP="00E32F29">
      <w:pPr>
        <w:pStyle w:val="FootnoteText"/>
        <w:rPr>
          <w:rFonts w:cs="Arial"/>
        </w:rPr>
      </w:pPr>
      <w:r>
        <w:rPr>
          <w:rStyle w:val="FootnoteReference"/>
        </w:rPr>
        <w:footnoteRef/>
      </w:r>
      <w:r>
        <w:t xml:space="preserve"> </w:t>
      </w:r>
      <w:r w:rsidRPr="007D5D45">
        <w:rPr>
          <w:i/>
          <w:iCs/>
          <w:lang w:eastAsia="en-GB"/>
        </w:rPr>
        <w:t>Payam Tamiz v Google Inc</w:t>
      </w:r>
      <w:r w:rsidRPr="007D5D45">
        <w:rPr>
          <w:lang w:eastAsia="en-GB"/>
        </w:rPr>
        <w:t xml:space="preserve"> </w:t>
      </w:r>
      <w:hyperlink r:id="rId4" w:tgtFrame="_blank" w:history="1">
        <w:r w:rsidRPr="007D5D45">
          <w:rPr>
            <w:rFonts w:cs="Arial"/>
            <w:lang w:eastAsia="en-GB"/>
          </w:rPr>
          <w:t>[2013] EWCA Civ 68</w:t>
        </w:r>
      </w:hyperlink>
      <w:r w:rsidR="00DC5457">
        <w:rPr>
          <w:rFonts w:cs="Arial"/>
          <w:lang w:eastAsia="en-GB"/>
        </w:rPr>
        <w:t xml:space="preserve">, </w:t>
      </w:r>
      <w:r w:rsidR="00DC5457">
        <w:rPr>
          <w:rFonts w:cs="Arial"/>
          <w:i/>
          <w:lang w:eastAsia="en-GB"/>
        </w:rPr>
        <w:t xml:space="preserve">see  </w:t>
      </w:r>
      <w:r w:rsidR="00DC5457">
        <w:rPr>
          <w:rFonts w:cs="Arial"/>
          <w:lang w:eastAsia="en-GB"/>
        </w:rPr>
        <w:t>case comment of Eileen Weinert, Entertainment Law Review 2013, 24 (4), 136-139.</w:t>
      </w:r>
    </w:p>
  </w:footnote>
  <w:footnote w:id="18">
    <w:p w:rsidR="00DC5457" w:rsidRPr="00BB6338" w:rsidRDefault="00DC5457">
      <w:pPr>
        <w:pStyle w:val="FootnoteText"/>
      </w:pPr>
      <w:r>
        <w:rPr>
          <w:rStyle w:val="FootnoteReference"/>
        </w:rPr>
        <w:footnoteRef/>
      </w:r>
      <w:r>
        <w:t xml:space="preserve"> </w:t>
      </w:r>
      <w:r w:rsidRPr="00DC5457">
        <w:rPr>
          <w:i/>
        </w:rPr>
        <w:t xml:space="preserve">See </w:t>
      </w:r>
      <w:r>
        <w:t xml:space="preserve">for available defences: Victoria McEvedy, </w:t>
      </w:r>
      <w:r>
        <w:rPr>
          <w:i/>
        </w:rPr>
        <w:t xml:space="preserve">Defamation and intermediaries: ISP defences, </w:t>
      </w:r>
      <w:r w:rsidRPr="00BB6338">
        <w:t>Computer and Telecommunications Law Review 2013, 19 (4), 108-112.</w:t>
      </w:r>
    </w:p>
  </w:footnote>
  <w:footnote w:id="19">
    <w:p w:rsidR="00352779" w:rsidRPr="00F2071E" w:rsidRDefault="00352779">
      <w:pPr>
        <w:pStyle w:val="FootnoteText"/>
        <w:rPr>
          <w:lang w:val="fr-FR"/>
        </w:rPr>
      </w:pPr>
      <w:r>
        <w:rPr>
          <w:rStyle w:val="FootnoteReference"/>
        </w:rPr>
        <w:footnoteRef/>
      </w:r>
      <w:r w:rsidRPr="00F2071E">
        <w:rPr>
          <w:lang w:val="fr-FR"/>
        </w:rPr>
        <w:t xml:space="preserve"> Supra fn 15.</w:t>
      </w:r>
    </w:p>
  </w:footnote>
  <w:footnote w:id="20">
    <w:p w:rsidR="00E32F29" w:rsidRPr="00BE7D0E" w:rsidRDefault="00E32F29" w:rsidP="00E32F29">
      <w:pPr>
        <w:pStyle w:val="NoSpacing"/>
        <w:rPr>
          <w:sz w:val="20"/>
          <w:lang w:val="fr-FR"/>
        </w:rPr>
      </w:pPr>
      <w:r w:rsidRPr="0020613E">
        <w:rPr>
          <w:rStyle w:val="FootnoteReference"/>
          <w:sz w:val="20"/>
        </w:rPr>
        <w:footnoteRef/>
      </w:r>
      <w:r w:rsidRPr="00BE7D0E">
        <w:rPr>
          <w:sz w:val="20"/>
          <w:lang w:val="fr-FR"/>
        </w:rPr>
        <w:t xml:space="preserve"> Cour de cassation, civile, Chambre commerciale, 29 January 2013, 11-21.011 11-24.713.</w:t>
      </w:r>
    </w:p>
  </w:footnote>
  <w:footnote w:id="21">
    <w:p w:rsidR="00297E26" w:rsidRPr="00F2071E" w:rsidRDefault="00F52448" w:rsidP="00F52448">
      <w:pPr>
        <w:pStyle w:val="NoSpacing"/>
        <w:rPr>
          <w:lang w:val="fr-FR"/>
        </w:rPr>
      </w:pPr>
      <w:r>
        <w:rPr>
          <w:rStyle w:val="FootnoteReference"/>
        </w:rPr>
        <w:footnoteRef/>
      </w:r>
      <w:r w:rsidRPr="00F2071E">
        <w:rPr>
          <w:lang w:val="fr-FR"/>
        </w:rPr>
        <w:t xml:space="preserve"> </w:t>
      </w:r>
      <w:r w:rsidR="00297E26" w:rsidRPr="00F2071E">
        <w:rPr>
          <w:rStyle w:val="searchterm"/>
          <w:i/>
          <w:iCs/>
          <w:sz w:val="20"/>
          <w:lang w:val="fr-FR"/>
        </w:rPr>
        <w:t>Google</w:t>
      </w:r>
      <w:r w:rsidR="00297E26" w:rsidRPr="00F2071E">
        <w:rPr>
          <w:rStyle w:val="Emphasis"/>
          <w:sz w:val="20"/>
          <w:lang w:val="fr-FR"/>
        </w:rPr>
        <w:t xml:space="preserve"> </w:t>
      </w:r>
      <w:r w:rsidR="00297E26" w:rsidRPr="00F2071E">
        <w:rPr>
          <w:rStyle w:val="searchterm"/>
          <w:i/>
          <w:iCs/>
          <w:sz w:val="20"/>
          <w:lang w:val="fr-FR"/>
        </w:rPr>
        <w:t>France</w:t>
      </w:r>
      <w:r w:rsidR="00297E26" w:rsidRPr="00F2071E">
        <w:rPr>
          <w:rStyle w:val="Emphasis"/>
          <w:sz w:val="20"/>
          <w:lang w:val="fr-FR"/>
        </w:rPr>
        <w:t xml:space="preserve"> SARL </w:t>
      </w:r>
      <w:r w:rsidR="00297E26" w:rsidRPr="00F2071E">
        <w:rPr>
          <w:rStyle w:val="searchterm"/>
          <w:i/>
          <w:iCs/>
          <w:sz w:val="20"/>
          <w:lang w:val="fr-FR"/>
        </w:rPr>
        <w:t>v</w:t>
      </w:r>
      <w:r w:rsidR="00297E26" w:rsidRPr="00F2071E">
        <w:rPr>
          <w:rStyle w:val="Emphasis"/>
          <w:sz w:val="20"/>
          <w:lang w:val="fr-FR"/>
        </w:rPr>
        <w:t xml:space="preserve"> </w:t>
      </w:r>
      <w:r w:rsidR="00297E26" w:rsidRPr="00F2071E">
        <w:rPr>
          <w:rStyle w:val="searchterm"/>
          <w:i/>
          <w:iCs/>
          <w:sz w:val="20"/>
          <w:lang w:val="fr-FR"/>
        </w:rPr>
        <w:t>Louis</w:t>
      </w:r>
      <w:r w:rsidR="00297E26" w:rsidRPr="00F2071E">
        <w:rPr>
          <w:rStyle w:val="Emphasis"/>
          <w:sz w:val="20"/>
          <w:lang w:val="fr-FR"/>
        </w:rPr>
        <w:t xml:space="preserve"> </w:t>
      </w:r>
      <w:r w:rsidR="00297E26" w:rsidRPr="00F2071E">
        <w:rPr>
          <w:rStyle w:val="searchterm"/>
          <w:i/>
          <w:iCs/>
          <w:sz w:val="20"/>
          <w:lang w:val="fr-FR"/>
        </w:rPr>
        <w:t>Vuitton</w:t>
      </w:r>
      <w:r w:rsidR="00297E26" w:rsidRPr="00F2071E">
        <w:rPr>
          <w:rStyle w:val="Emphasis"/>
          <w:sz w:val="20"/>
          <w:lang w:val="fr-FR"/>
        </w:rPr>
        <w:t xml:space="preserve"> Malletier SA; </w:t>
      </w:r>
      <w:r w:rsidR="00297E26" w:rsidRPr="00F2071E">
        <w:rPr>
          <w:rStyle w:val="searchterm"/>
          <w:i/>
          <w:iCs/>
          <w:sz w:val="20"/>
          <w:lang w:val="fr-FR"/>
        </w:rPr>
        <w:t>Google</w:t>
      </w:r>
      <w:r w:rsidR="00297E26" w:rsidRPr="00F2071E">
        <w:rPr>
          <w:rStyle w:val="Emphasis"/>
          <w:sz w:val="20"/>
          <w:lang w:val="fr-FR"/>
        </w:rPr>
        <w:t xml:space="preserve"> </w:t>
      </w:r>
      <w:r w:rsidR="00297E26" w:rsidRPr="00F2071E">
        <w:rPr>
          <w:rStyle w:val="searchterm"/>
          <w:i/>
          <w:iCs/>
          <w:sz w:val="20"/>
          <w:lang w:val="fr-FR"/>
        </w:rPr>
        <w:t>France</w:t>
      </w:r>
      <w:r w:rsidR="00297E26" w:rsidRPr="00F2071E">
        <w:rPr>
          <w:rStyle w:val="Emphasis"/>
          <w:sz w:val="20"/>
          <w:lang w:val="fr-FR"/>
        </w:rPr>
        <w:t xml:space="preserve"> SARL </w:t>
      </w:r>
      <w:r w:rsidR="00297E26" w:rsidRPr="00F2071E">
        <w:rPr>
          <w:rStyle w:val="searchterm"/>
          <w:i/>
          <w:iCs/>
          <w:sz w:val="20"/>
          <w:lang w:val="fr-FR"/>
        </w:rPr>
        <w:t>v</w:t>
      </w:r>
      <w:r w:rsidR="00297E26" w:rsidRPr="00F2071E">
        <w:rPr>
          <w:rStyle w:val="Emphasis"/>
          <w:sz w:val="20"/>
          <w:lang w:val="fr-FR"/>
        </w:rPr>
        <w:t xml:space="preserve"> Viaticum SA et al; </w:t>
      </w:r>
      <w:r w:rsidR="00297E26" w:rsidRPr="00F2071E">
        <w:rPr>
          <w:rStyle w:val="searchterm"/>
          <w:i/>
          <w:iCs/>
          <w:sz w:val="20"/>
          <w:lang w:val="fr-FR"/>
        </w:rPr>
        <w:t>Google</w:t>
      </w:r>
      <w:r w:rsidR="00297E26" w:rsidRPr="00F2071E">
        <w:rPr>
          <w:rStyle w:val="Emphasis"/>
          <w:sz w:val="20"/>
          <w:lang w:val="fr-FR"/>
        </w:rPr>
        <w:t xml:space="preserve"> </w:t>
      </w:r>
      <w:r w:rsidR="00297E26" w:rsidRPr="00F2071E">
        <w:rPr>
          <w:rStyle w:val="searchterm"/>
          <w:i/>
          <w:iCs/>
          <w:sz w:val="20"/>
          <w:lang w:val="fr-FR"/>
        </w:rPr>
        <w:t>France</w:t>
      </w:r>
      <w:r w:rsidR="00297E26" w:rsidRPr="00F2071E">
        <w:rPr>
          <w:rStyle w:val="Emphasis"/>
          <w:sz w:val="20"/>
          <w:lang w:val="fr-FR"/>
        </w:rPr>
        <w:t xml:space="preserve"> SARL </w:t>
      </w:r>
      <w:r w:rsidR="00297E26" w:rsidRPr="00F2071E">
        <w:rPr>
          <w:rStyle w:val="searchterm"/>
          <w:i/>
          <w:iCs/>
          <w:sz w:val="20"/>
          <w:lang w:val="fr-FR"/>
        </w:rPr>
        <w:t>v</w:t>
      </w:r>
      <w:r w:rsidR="00297E26" w:rsidRPr="00F2071E">
        <w:rPr>
          <w:rStyle w:val="Emphasis"/>
          <w:sz w:val="20"/>
          <w:lang w:val="fr-FR"/>
        </w:rPr>
        <w:t xml:space="preserve"> CNRRH SARL et al (C-236/08, C-237/08 &amp; C-238/08)</w:t>
      </w:r>
      <w:r w:rsidR="00297E26" w:rsidRPr="00F2071E">
        <w:rPr>
          <w:sz w:val="20"/>
          <w:lang w:val="fr-FR"/>
        </w:rPr>
        <w:t xml:space="preserve"> [2010] E.T.M.R. 30 ECJ Grand Chamber of the Court</w:t>
      </w:r>
      <w:r w:rsidR="00297E26" w:rsidRPr="00F2071E">
        <w:rPr>
          <w:lang w:val="fr-FR"/>
        </w:rPr>
        <w:t>.</w:t>
      </w:r>
      <w:r w:rsidRPr="00F2071E">
        <w:rPr>
          <w:lang w:val="fr-FR"/>
        </w:rPr>
        <w:t xml:space="preserve"> </w:t>
      </w:r>
    </w:p>
    <w:p w:rsidR="00F52448" w:rsidRPr="00F52448" w:rsidRDefault="00F52448" w:rsidP="00F52448">
      <w:pPr>
        <w:pStyle w:val="NoSpacing"/>
        <w:rPr>
          <w:i/>
          <w:sz w:val="20"/>
        </w:rPr>
      </w:pPr>
      <w:r>
        <w:rPr>
          <w:i/>
          <w:sz w:val="20"/>
        </w:rPr>
        <w:t xml:space="preserve">See </w:t>
      </w:r>
      <w:r>
        <w:rPr>
          <w:sz w:val="20"/>
        </w:rPr>
        <w:t xml:space="preserve">case comments of </w:t>
      </w:r>
      <w:r w:rsidRPr="00F52448">
        <w:rPr>
          <w:sz w:val="20"/>
        </w:rPr>
        <w:t>Simone Blakeney</w:t>
      </w:r>
      <w:r>
        <w:rPr>
          <w:sz w:val="20"/>
        </w:rPr>
        <w:t xml:space="preserve">: </w:t>
      </w:r>
      <w:r>
        <w:rPr>
          <w:i/>
          <w:sz w:val="20"/>
        </w:rPr>
        <w:t>Keyword advertising: will the ECJ provide an answer?</w:t>
      </w:r>
      <w:r>
        <w:rPr>
          <w:sz w:val="20"/>
        </w:rPr>
        <w:t xml:space="preserve"> Computer and Telecommunications Law Review (2008), 14(8), 209-212; Jonathan Cornthwaite, </w:t>
      </w:r>
      <w:r>
        <w:rPr>
          <w:i/>
          <w:sz w:val="20"/>
        </w:rPr>
        <w:t>To key or not to key? The judgment of the European Court of Justice in the Google F</w:t>
      </w:r>
      <w:r w:rsidR="00862179">
        <w:rPr>
          <w:i/>
          <w:sz w:val="20"/>
        </w:rPr>
        <w:t>r</w:t>
      </w:r>
      <w:r>
        <w:rPr>
          <w:i/>
          <w:sz w:val="20"/>
        </w:rPr>
        <w:t xml:space="preserve">ance Adwords cases, </w:t>
      </w:r>
      <w:r>
        <w:rPr>
          <w:sz w:val="20"/>
        </w:rPr>
        <w:t>European Intellectual Property Review (2010), 32(7), 352-359.</w:t>
      </w:r>
      <w:r>
        <w:rPr>
          <w:i/>
          <w:sz w:val="20"/>
        </w:rPr>
        <w:t xml:space="preserve"> </w:t>
      </w:r>
    </w:p>
  </w:footnote>
  <w:footnote w:id="22">
    <w:p w:rsidR="00297E26" w:rsidRDefault="00297E26">
      <w:pPr>
        <w:pStyle w:val="FootnoteText"/>
      </w:pPr>
      <w:r>
        <w:rPr>
          <w:rStyle w:val="FootnoteReference"/>
        </w:rPr>
        <w:footnoteRef/>
      </w:r>
      <w:r>
        <w:t xml:space="preserve"> Directive 2000/31/EC of the European Parliament and of the Council of 8 June 2000 on certain legal aspects of information society services, in particular electronic commerce, in the Internal Market.</w:t>
      </w:r>
    </w:p>
  </w:footnote>
  <w:footnote w:id="23">
    <w:p w:rsidR="00947B88" w:rsidRPr="00947B88" w:rsidRDefault="00947B88">
      <w:pPr>
        <w:pStyle w:val="FootnoteText"/>
      </w:pPr>
      <w:r>
        <w:rPr>
          <w:rStyle w:val="FootnoteReference"/>
        </w:rPr>
        <w:footnoteRef/>
      </w:r>
      <w:r>
        <w:t xml:space="preserve"> Paul Przemyslav Polanski, </w:t>
      </w:r>
      <w:r>
        <w:rPr>
          <w:i/>
        </w:rPr>
        <w:t>Technical, Automatic and Passive: Liability of search engines for hosting infringing content in the light of the Google ruling</w:t>
      </w:r>
      <w:r>
        <w:t>, Journal of International Commercial Law and Technology, Vol. 6, Issue 1 (2011) 42-50 (50).</w:t>
      </w:r>
    </w:p>
  </w:footnote>
  <w:footnote w:id="24">
    <w:p w:rsidR="00E32F29" w:rsidRPr="001B00AC" w:rsidRDefault="00E32F29" w:rsidP="001B00AC">
      <w:pPr>
        <w:pStyle w:val="NoSpacing"/>
        <w:rPr>
          <w:sz w:val="20"/>
          <w:lang w:eastAsia="en-GB"/>
        </w:rPr>
      </w:pPr>
      <w:r>
        <w:rPr>
          <w:rStyle w:val="FootnoteReference"/>
        </w:rPr>
        <w:footnoteRef/>
      </w:r>
      <w:r>
        <w:t xml:space="preserve"> </w:t>
      </w:r>
      <w:r w:rsidRPr="00773C81">
        <w:rPr>
          <w:i/>
          <w:sz w:val="20"/>
        </w:rPr>
        <w:t xml:space="preserve">See </w:t>
      </w:r>
      <w:r w:rsidRPr="00773C81">
        <w:rPr>
          <w:sz w:val="20"/>
          <w:lang w:eastAsia="en-GB"/>
        </w:rPr>
        <w:t>Taubel E.</w:t>
      </w:r>
      <w:r>
        <w:rPr>
          <w:sz w:val="20"/>
          <w:lang w:eastAsia="en-GB"/>
        </w:rPr>
        <w:t>,</w:t>
      </w:r>
      <w:r w:rsidRPr="00773C81">
        <w:rPr>
          <w:sz w:val="20"/>
          <w:lang w:eastAsia="en-GB"/>
        </w:rPr>
        <w:t xml:space="preserve"> </w:t>
      </w:r>
      <w:r w:rsidRPr="00A2773C">
        <w:rPr>
          <w:i/>
          <w:sz w:val="20"/>
          <w:lang w:eastAsia="en-GB"/>
        </w:rPr>
        <w:t>The ICS Three-Step: A Procedural Alternative for Section 230 of the Communications Decency Act and Derivative Liability in the Online Setting</w:t>
      </w:r>
      <w:r>
        <w:rPr>
          <w:sz w:val="20"/>
          <w:lang w:eastAsia="en-GB"/>
        </w:rPr>
        <w:t>,</w:t>
      </w:r>
      <w:r w:rsidRPr="00773C81">
        <w:rPr>
          <w:sz w:val="20"/>
          <w:lang w:eastAsia="en-GB"/>
        </w:rPr>
        <w:t xml:space="preserve"> Minnesota Journal of Law, Science &amp; Technology.</w:t>
      </w:r>
      <w:r>
        <w:rPr>
          <w:sz w:val="20"/>
          <w:lang w:eastAsia="en-GB"/>
        </w:rPr>
        <w:t>(</w:t>
      </w:r>
      <w:r w:rsidRPr="00773C81">
        <w:rPr>
          <w:sz w:val="20"/>
          <w:lang w:eastAsia="en-GB"/>
        </w:rPr>
        <w:t>2011</w:t>
      </w:r>
      <w:r>
        <w:rPr>
          <w:sz w:val="20"/>
          <w:lang w:eastAsia="en-GB"/>
        </w:rPr>
        <w:t>)</w:t>
      </w:r>
      <w:r w:rsidRPr="00773C81">
        <w:rPr>
          <w:sz w:val="20"/>
          <w:lang w:eastAsia="en-GB"/>
        </w:rPr>
        <w:t>;12(1):365-390.</w:t>
      </w:r>
    </w:p>
  </w:footnote>
  <w:footnote w:id="25">
    <w:p w:rsidR="00E32F29" w:rsidRPr="007D5D45" w:rsidRDefault="00E32F29" w:rsidP="00E32F29">
      <w:pPr>
        <w:pStyle w:val="FootnoteText"/>
      </w:pPr>
      <w:r>
        <w:rPr>
          <w:rStyle w:val="FootnoteReference"/>
        </w:rPr>
        <w:footnoteRef/>
      </w:r>
      <w:r>
        <w:t xml:space="preserve"> </w:t>
      </w:r>
      <w:r w:rsidRPr="007D5D45">
        <w:rPr>
          <w:i/>
          <w:iCs/>
        </w:rPr>
        <w:t xml:space="preserve">See, </w:t>
      </w:r>
      <w:r w:rsidRPr="007D5D45">
        <w:rPr>
          <w:iCs/>
        </w:rPr>
        <w:t>e.g</w:t>
      </w:r>
      <w:r w:rsidRPr="007D5D45">
        <w:rPr>
          <w:i/>
          <w:iCs/>
        </w:rPr>
        <w:t xml:space="preserve">., </w:t>
      </w:r>
      <w:r w:rsidRPr="00A2773C">
        <w:rPr>
          <w:i/>
          <w:iCs/>
        </w:rPr>
        <w:t>Zeran v AOL</w:t>
      </w:r>
      <w:r w:rsidRPr="007D5D45">
        <w:t>, 129 F.3d 327, 330 (4th Cir. 1997),</w:t>
      </w:r>
      <w:r w:rsidRPr="007D5D45">
        <w:rPr>
          <w:i/>
          <w:iCs/>
        </w:rPr>
        <w:t xml:space="preserve"> </w:t>
      </w:r>
      <w:r w:rsidRPr="00A2773C">
        <w:rPr>
          <w:i/>
          <w:iCs/>
        </w:rPr>
        <w:t>Blumenthal v Drudge</w:t>
      </w:r>
      <w:r w:rsidRPr="007D5D45">
        <w:t>, 992 F. Supp. 44, 49-53 (D.D.C. 1998)</w:t>
      </w:r>
      <w:r>
        <w:t>.</w:t>
      </w:r>
    </w:p>
  </w:footnote>
  <w:footnote w:id="26">
    <w:p w:rsidR="00E32F29" w:rsidRPr="00015BC8" w:rsidRDefault="00E32F29" w:rsidP="00E32F29">
      <w:pPr>
        <w:pStyle w:val="NoSpacing"/>
        <w:rPr>
          <w:sz w:val="20"/>
        </w:rPr>
      </w:pPr>
      <w:r>
        <w:rPr>
          <w:rStyle w:val="FootnoteReference"/>
        </w:rPr>
        <w:footnoteRef/>
      </w:r>
      <w:r>
        <w:t xml:space="preserve"> </w:t>
      </w:r>
      <w:r w:rsidRPr="00A2773C">
        <w:rPr>
          <w:i/>
          <w:sz w:val="20"/>
        </w:rPr>
        <w:t xml:space="preserve">Trkulja v Yahoo! Inc LLC &amp; Anor </w:t>
      </w:r>
      <w:r w:rsidRPr="0020613E">
        <w:rPr>
          <w:sz w:val="20"/>
        </w:rPr>
        <w:t>[2012] VSC 8</w:t>
      </w:r>
      <w:r>
        <w:rPr>
          <w:sz w:val="20"/>
        </w:rPr>
        <w:t>8</w:t>
      </w:r>
      <w:r w:rsidRPr="0020613E">
        <w:rPr>
          <w:sz w:val="20"/>
        </w:rPr>
        <w:t xml:space="preserve"> </w:t>
      </w:r>
      <w:r>
        <w:rPr>
          <w:sz w:val="20"/>
        </w:rPr>
        <w:t>and</w:t>
      </w:r>
      <w:r w:rsidRPr="0020613E">
        <w:rPr>
          <w:sz w:val="20"/>
        </w:rPr>
        <w:t xml:space="preserve"> </w:t>
      </w:r>
      <w:hyperlink r:id="rId5" w:tgtFrame="_blank" w:history="1">
        <w:r w:rsidRPr="00A2773C">
          <w:rPr>
            <w:i/>
            <w:sz w:val="20"/>
          </w:rPr>
          <w:t>Trkulja v Google Inc LLC &amp; Anor</w:t>
        </w:r>
        <w:r w:rsidRPr="0020613E">
          <w:rPr>
            <w:sz w:val="20"/>
          </w:rPr>
          <w:t xml:space="preserve"> (No 5)</w:t>
        </w:r>
      </w:hyperlink>
      <w:r>
        <w:rPr>
          <w:sz w:val="20"/>
        </w:rPr>
        <w:t>  [2012] VSC 533.</w:t>
      </w:r>
    </w:p>
  </w:footnote>
  <w:footnote w:id="27">
    <w:p w:rsidR="00D352F5" w:rsidRDefault="00D352F5" w:rsidP="00D352F5">
      <w:pPr>
        <w:pStyle w:val="FootnoteText"/>
      </w:pPr>
      <w:r>
        <w:rPr>
          <w:rStyle w:val="FootnoteReference"/>
        </w:rPr>
        <w:footnoteRef/>
      </w:r>
      <w:r>
        <w:t xml:space="preserve"> S. 32 (1)(b) Defamation Act 2005.</w:t>
      </w:r>
    </w:p>
  </w:footnote>
  <w:footnote w:id="28">
    <w:p w:rsidR="00787217" w:rsidRDefault="00787217">
      <w:pPr>
        <w:pStyle w:val="FootnoteText"/>
      </w:pPr>
      <w:r>
        <w:rPr>
          <w:rStyle w:val="FootnoteReference"/>
        </w:rPr>
        <w:footnoteRef/>
      </w:r>
      <w:r>
        <w:t xml:space="preserve"> Supra fn 17.</w:t>
      </w:r>
    </w:p>
  </w:footnote>
  <w:footnote w:id="29">
    <w:p w:rsidR="00BB6338" w:rsidRPr="00BB6338" w:rsidRDefault="00BB6338">
      <w:pPr>
        <w:pStyle w:val="FootnoteText"/>
      </w:pPr>
      <w:r>
        <w:rPr>
          <w:rStyle w:val="FootnoteReference"/>
        </w:rPr>
        <w:footnoteRef/>
      </w:r>
      <w:r>
        <w:t xml:space="preserve"> Paul Lambert, </w:t>
      </w:r>
      <w:r>
        <w:rPr>
          <w:i/>
        </w:rPr>
        <w:t xml:space="preserve">Liability and publication on the internet, </w:t>
      </w:r>
      <w:r>
        <w:t>Communications Law, 2013, 18 (3), 83-87.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A6181"/>
    <w:multiLevelType w:val="multilevel"/>
    <w:tmpl w:val="9A3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807350"/>
    <w:multiLevelType w:val="multilevel"/>
    <w:tmpl w:val="0D72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F29"/>
    <w:rsid w:val="00001246"/>
    <w:rsid w:val="00066E61"/>
    <w:rsid w:val="000B6D34"/>
    <w:rsid w:val="00120CA4"/>
    <w:rsid w:val="00124E3D"/>
    <w:rsid w:val="0018140B"/>
    <w:rsid w:val="001846DC"/>
    <w:rsid w:val="00187DDD"/>
    <w:rsid w:val="001929C7"/>
    <w:rsid w:val="001B00AC"/>
    <w:rsid w:val="001D0D5B"/>
    <w:rsid w:val="001D72CF"/>
    <w:rsid w:val="0025778B"/>
    <w:rsid w:val="002718A0"/>
    <w:rsid w:val="00297E26"/>
    <w:rsid w:val="002A5650"/>
    <w:rsid w:val="002F2A18"/>
    <w:rsid w:val="002F3301"/>
    <w:rsid w:val="00320617"/>
    <w:rsid w:val="00340221"/>
    <w:rsid w:val="00352779"/>
    <w:rsid w:val="003657D4"/>
    <w:rsid w:val="00367FF8"/>
    <w:rsid w:val="003E76F7"/>
    <w:rsid w:val="00411650"/>
    <w:rsid w:val="00422699"/>
    <w:rsid w:val="00456AA5"/>
    <w:rsid w:val="004742BD"/>
    <w:rsid w:val="0047444F"/>
    <w:rsid w:val="004802DE"/>
    <w:rsid w:val="004A28BF"/>
    <w:rsid w:val="004B58F6"/>
    <w:rsid w:val="004C5068"/>
    <w:rsid w:val="004F5386"/>
    <w:rsid w:val="00502708"/>
    <w:rsid w:val="0050659E"/>
    <w:rsid w:val="00515C59"/>
    <w:rsid w:val="0055361B"/>
    <w:rsid w:val="005538ED"/>
    <w:rsid w:val="00583D3D"/>
    <w:rsid w:val="005877B8"/>
    <w:rsid w:val="00595FDE"/>
    <w:rsid w:val="005B3689"/>
    <w:rsid w:val="005F11CB"/>
    <w:rsid w:val="0063356D"/>
    <w:rsid w:val="00647752"/>
    <w:rsid w:val="00651876"/>
    <w:rsid w:val="006B1E57"/>
    <w:rsid w:val="006B225F"/>
    <w:rsid w:val="006C3F63"/>
    <w:rsid w:val="006E1F07"/>
    <w:rsid w:val="00780FDC"/>
    <w:rsid w:val="00787217"/>
    <w:rsid w:val="00790317"/>
    <w:rsid w:val="007C1B10"/>
    <w:rsid w:val="008021FE"/>
    <w:rsid w:val="00802AC5"/>
    <w:rsid w:val="00833174"/>
    <w:rsid w:val="00844334"/>
    <w:rsid w:val="0085236A"/>
    <w:rsid w:val="00862179"/>
    <w:rsid w:val="00862E57"/>
    <w:rsid w:val="008662A1"/>
    <w:rsid w:val="00870502"/>
    <w:rsid w:val="008A6027"/>
    <w:rsid w:val="008E10E4"/>
    <w:rsid w:val="008E727B"/>
    <w:rsid w:val="00907FB8"/>
    <w:rsid w:val="0093432F"/>
    <w:rsid w:val="00947B88"/>
    <w:rsid w:val="009C17F3"/>
    <w:rsid w:val="009C3E64"/>
    <w:rsid w:val="00A14F11"/>
    <w:rsid w:val="00A24CC6"/>
    <w:rsid w:val="00A45EBA"/>
    <w:rsid w:val="00A461B9"/>
    <w:rsid w:val="00A751B6"/>
    <w:rsid w:val="00A762B6"/>
    <w:rsid w:val="00AB71B9"/>
    <w:rsid w:val="00AF67CF"/>
    <w:rsid w:val="00B4485D"/>
    <w:rsid w:val="00BA29BC"/>
    <w:rsid w:val="00BB2123"/>
    <w:rsid w:val="00BB5F33"/>
    <w:rsid w:val="00BB6338"/>
    <w:rsid w:val="00BB7F67"/>
    <w:rsid w:val="00BC2EF0"/>
    <w:rsid w:val="00BD214D"/>
    <w:rsid w:val="00BD4A1F"/>
    <w:rsid w:val="00BE3569"/>
    <w:rsid w:val="00BF09AE"/>
    <w:rsid w:val="00C10489"/>
    <w:rsid w:val="00C12A90"/>
    <w:rsid w:val="00C20935"/>
    <w:rsid w:val="00C234DC"/>
    <w:rsid w:val="00C257A3"/>
    <w:rsid w:val="00C26565"/>
    <w:rsid w:val="00C32357"/>
    <w:rsid w:val="00C845CC"/>
    <w:rsid w:val="00CB2CE8"/>
    <w:rsid w:val="00CC6B95"/>
    <w:rsid w:val="00CD0804"/>
    <w:rsid w:val="00D06483"/>
    <w:rsid w:val="00D352F5"/>
    <w:rsid w:val="00D62FAD"/>
    <w:rsid w:val="00DA6BC8"/>
    <w:rsid w:val="00DC5457"/>
    <w:rsid w:val="00DE78C0"/>
    <w:rsid w:val="00E13F0D"/>
    <w:rsid w:val="00E149C6"/>
    <w:rsid w:val="00E14F4E"/>
    <w:rsid w:val="00E32F29"/>
    <w:rsid w:val="00E72181"/>
    <w:rsid w:val="00E94ACF"/>
    <w:rsid w:val="00EC2106"/>
    <w:rsid w:val="00ED1F19"/>
    <w:rsid w:val="00EE1A66"/>
    <w:rsid w:val="00F2071E"/>
    <w:rsid w:val="00F33138"/>
    <w:rsid w:val="00F52448"/>
    <w:rsid w:val="00F760C4"/>
    <w:rsid w:val="00F94E30"/>
    <w:rsid w:val="00FA2E6E"/>
    <w:rsid w:val="00FC34E2"/>
    <w:rsid w:val="00FD50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B7719F-0683-43EA-8E2A-5C2AF940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F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120" w:after="120" w:line="240" w:lineRule="auto"/>
    </w:pPr>
    <w:rPr>
      <w:rFonts w:ascii="Century Schoolbook" w:hAnsi="Century Schoolbook" w:cs="Times New Roman"/>
      <w:szCs w:val="20"/>
    </w:rPr>
  </w:style>
  <w:style w:type="paragraph" w:styleId="Heading2">
    <w:name w:val="heading 2"/>
    <w:basedOn w:val="Normal"/>
    <w:next w:val="Normal"/>
    <w:link w:val="Heading2Char"/>
    <w:uiPriority w:val="9"/>
    <w:unhideWhenUsed/>
    <w:qFormat/>
    <w:rsid w:val="00E32F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1E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929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929C7"/>
    <w:rPr>
      <w:rFonts w:ascii="Times New Roman" w:hAnsi="Times New Roman" w:cs="Times New Roman"/>
      <w:b/>
      <w:bCs/>
      <w:sz w:val="24"/>
      <w:szCs w:val="24"/>
      <w:lang w:eastAsia="en-GB"/>
    </w:rPr>
  </w:style>
  <w:style w:type="paragraph" w:styleId="NormalWeb">
    <w:name w:val="Normal (Web)"/>
    <w:basedOn w:val="Normal"/>
    <w:uiPriority w:val="99"/>
    <w:unhideWhenUsed/>
    <w:rsid w:val="001929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unhideWhenUsed/>
    <w:rsid w:val="001929C7"/>
    <w:rPr>
      <w:color w:val="0000FF"/>
      <w:u w:val="single"/>
    </w:rPr>
  </w:style>
  <w:style w:type="character" w:customStyle="1" w:styleId="ilad">
    <w:name w:val="il_ad"/>
    <w:basedOn w:val="DefaultParagraphFont"/>
    <w:rsid w:val="001929C7"/>
  </w:style>
  <w:style w:type="paragraph" w:styleId="ListParagraph">
    <w:name w:val="List Paragraph"/>
    <w:basedOn w:val="Normal"/>
    <w:uiPriority w:val="34"/>
    <w:qFormat/>
    <w:rsid w:val="001929C7"/>
    <w:pPr>
      <w:ind w:left="720"/>
      <w:contextualSpacing/>
    </w:pPr>
  </w:style>
  <w:style w:type="paragraph" w:customStyle="1" w:styleId="bodytextbold">
    <w:name w:val="bodytextbold"/>
    <w:basedOn w:val="Normal"/>
    <w:rsid w:val="001D72C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pPr>
    <w:rPr>
      <w:rFonts w:ascii="Times New Roman" w:hAnsi="Times New Roman"/>
      <w:sz w:val="24"/>
      <w:szCs w:val="24"/>
      <w:lang w:eastAsia="en-GB"/>
    </w:rPr>
  </w:style>
  <w:style w:type="paragraph" w:customStyle="1" w:styleId="bodytextarticle">
    <w:name w:val="bodytextarticle"/>
    <w:basedOn w:val="Normal"/>
    <w:rsid w:val="001D72C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uppressAutoHyphens w:val="0"/>
      <w:spacing w:before="100" w:beforeAutospacing="1" w:after="100" w:afterAutospacing="1"/>
    </w:pPr>
    <w:rPr>
      <w:rFonts w:ascii="Times New Roman" w:hAnsi="Times New Roman"/>
      <w:sz w:val="24"/>
      <w:szCs w:val="24"/>
      <w:lang w:eastAsia="en-GB"/>
    </w:rPr>
  </w:style>
  <w:style w:type="character" w:customStyle="1" w:styleId="itxtrst">
    <w:name w:val="itxtrst"/>
    <w:basedOn w:val="DefaultParagraphFont"/>
    <w:rsid w:val="00A751B6"/>
  </w:style>
  <w:style w:type="character" w:customStyle="1" w:styleId="Heading2Char">
    <w:name w:val="Heading 2 Char"/>
    <w:basedOn w:val="DefaultParagraphFont"/>
    <w:link w:val="Heading2"/>
    <w:uiPriority w:val="9"/>
    <w:rsid w:val="00E32F2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E32F29"/>
    <w:rPr>
      <w:i/>
      <w:iCs/>
    </w:rPr>
  </w:style>
  <w:style w:type="character" w:styleId="Strong">
    <w:name w:val="Strong"/>
    <w:basedOn w:val="DefaultParagraphFont"/>
    <w:uiPriority w:val="22"/>
    <w:qFormat/>
    <w:rsid w:val="00E32F29"/>
    <w:rPr>
      <w:b/>
      <w:bCs/>
    </w:rPr>
  </w:style>
  <w:style w:type="character" w:customStyle="1" w:styleId="searchterm">
    <w:name w:val="searchterm"/>
    <w:basedOn w:val="DefaultParagraphFont"/>
    <w:rsid w:val="00E32F29"/>
  </w:style>
  <w:style w:type="character" w:customStyle="1" w:styleId="sb8d990e2">
    <w:name w:val="sb8d990e2"/>
    <w:basedOn w:val="DefaultParagraphFont"/>
    <w:rsid w:val="00E32F29"/>
  </w:style>
  <w:style w:type="paragraph" w:styleId="FootnoteText">
    <w:name w:val="footnote text"/>
    <w:basedOn w:val="Normal"/>
    <w:link w:val="FootnoteTextChar"/>
    <w:uiPriority w:val="99"/>
    <w:unhideWhenUsed/>
    <w:rsid w:val="00E32F29"/>
    <w:pPr>
      <w:spacing w:before="0" w:after="0"/>
    </w:pPr>
    <w:rPr>
      <w:sz w:val="20"/>
    </w:rPr>
  </w:style>
  <w:style w:type="character" w:customStyle="1" w:styleId="FootnoteTextChar">
    <w:name w:val="Footnote Text Char"/>
    <w:basedOn w:val="DefaultParagraphFont"/>
    <w:link w:val="FootnoteText"/>
    <w:uiPriority w:val="99"/>
    <w:rsid w:val="00E32F29"/>
    <w:rPr>
      <w:rFonts w:ascii="Century Schoolbook" w:hAnsi="Century Schoolbook" w:cs="Times New Roman"/>
      <w:sz w:val="20"/>
      <w:szCs w:val="20"/>
    </w:rPr>
  </w:style>
  <w:style w:type="character" w:styleId="FootnoteReference">
    <w:name w:val="footnote reference"/>
    <w:basedOn w:val="DefaultParagraphFont"/>
    <w:uiPriority w:val="99"/>
    <w:semiHidden/>
    <w:unhideWhenUsed/>
    <w:rsid w:val="00E32F29"/>
    <w:rPr>
      <w:vertAlign w:val="superscript"/>
    </w:rPr>
  </w:style>
  <w:style w:type="character" w:customStyle="1" w:styleId="st">
    <w:name w:val="st"/>
    <w:basedOn w:val="DefaultParagraphFont"/>
    <w:rsid w:val="00E32F29"/>
  </w:style>
  <w:style w:type="paragraph" w:styleId="NoSpacing">
    <w:name w:val="No Spacing"/>
    <w:uiPriority w:val="1"/>
    <w:qFormat/>
    <w:rsid w:val="00E32F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after="0" w:line="240" w:lineRule="auto"/>
    </w:pPr>
    <w:rPr>
      <w:rFonts w:ascii="Century Schoolbook" w:hAnsi="Century Schoolbook" w:cs="Times New Roman"/>
      <w:szCs w:val="20"/>
    </w:rPr>
  </w:style>
  <w:style w:type="character" w:styleId="CommentReference">
    <w:name w:val="annotation reference"/>
    <w:basedOn w:val="DefaultParagraphFont"/>
    <w:uiPriority w:val="99"/>
    <w:semiHidden/>
    <w:unhideWhenUsed/>
    <w:rsid w:val="00E32F29"/>
    <w:rPr>
      <w:sz w:val="16"/>
      <w:szCs w:val="16"/>
    </w:rPr>
  </w:style>
  <w:style w:type="paragraph" w:styleId="CommentText">
    <w:name w:val="annotation text"/>
    <w:basedOn w:val="Normal"/>
    <w:link w:val="CommentTextChar"/>
    <w:uiPriority w:val="99"/>
    <w:semiHidden/>
    <w:unhideWhenUsed/>
    <w:rsid w:val="00E32F29"/>
    <w:rPr>
      <w:sz w:val="20"/>
    </w:rPr>
  </w:style>
  <w:style w:type="character" w:customStyle="1" w:styleId="CommentTextChar">
    <w:name w:val="Comment Text Char"/>
    <w:basedOn w:val="DefaultParagraphFont"/>
    <w:link w:val="CommentText"/>
    <w:uiPriority w:val="99"/>
    <w:semiHidden/>
    <w:rsid w:val="00E32F29"/>
    <w:rPr>
      <w:rFonts w:ascii="Century Schoolbook" w:hAnsi="Century Schoolbook" w:cs="Times New Roman"/>
      <w:sz w:val="20"/>
      <w:szCs w:val="20"/>
    </w:rPr>
  </w:style>
  <w:style w:type="paragraph" w:styleId="BalloonText">
    <w:name w:val="Balloon Text"/>
    <w:basedOn w:val="Normal"/>
    <w:link w:val="BalloonTextChar"/>
    <w:uiPriority w:val="99"/>
    <w:semiHidden/>
    <w:unhideWhenUsed/>
    <w:rsid w:val="00E32F2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F29"/>
    <w:rPr>
      <w:rFonts w:ascii="Tahoma" w:hAnsi="Tahoma" w:cs="Tahoma"/>
      <w:sz w:val="16"/>
      <w:szCs w:val="16"/>
    </w:rPr>
  </w:style>
  <w:style w:type="character" w:customStyle="1" w:styleId="Heading3Char">
    <w:name w:val="Heading 3 Char"/>
    <w:basedOn w:val="DefaultParagraphFont"/>
    <w:link w:val="Heading3"/>
    <w:uiPriority w:val="9"/>
    <w:semiHidden/>
    <w:rsid w:val="006B1E57"/>
    <w:rPr>
      <w:rFonts w:asciiTheme="majorHAnsi" w:eastAsiaTheme="majorEastAsia" w:hAnsiTheme="majorHAnsi" w:cstheme="majorBidi"/>
      <w:b/>
      <w:bCs/>
      <w:color w:val="4F81BD" w:themeColor="accent1"/>
      <w:szCs w:val="20"/>
    </w:rPr>
  </w:style>
  <w:style w:type="paragraph" w:styleId="Header">
    <w:name w:val="header"/>
    <w:basedOn w:val="Normal"/>
    <w:link w:val="HeaderChar"/>
    <w:uiPriority w:val="99"/>
    <w:unhideWhenUsed/>
    <w:rsid w:val="00A14F1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enter" w:pos="4513"/>
        <w:tab w:val="right" w:pos="9026"/>
      </w:tabs>
      <w:spacing w:before="0" w:after="0"/>
    </w:pPr>
  </w:style>
  <w:style w:type="character" w:customStyle="1" w:styleId="HeaderChar">
    <w:name w:val="Header Char"/>
    <w:basedOn w:val="DefaultParagraphFont"/>
    <w:link w:val="Header"/>
    <w:uiPriority w:val="99"/>
    <w:rsid w:val="00A14F11"/>
    <w:rPr>
      <w:rFonts w:ascii="Century Schoolbook" w:hAnsi="Century Schoolbook" w:cs="Times New Roman"/>
      <w:szCs w:val="20"/>
    </w:rPr>
  </w:style>
  <w:style w:type="paragraph" w:styleId="Footer">
    <w:name w:val="footer"/>
    <w:basedOn w:val="Normal"/>
    <w:link w:val="FooterChar"/>
    <w:uiPriority w:val="99"/>
    <w:unhideWhenUsed/>
    <w:rsid w:val="00A14F1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enter" w:pos="4513"/>
        <w:tab w:val="right" w:pos="9026"/>
      </w:tabs>
      <w:spacing w:before="0" w:after="0"/>
    </w:pPr>
  </w:style>
  <w:style w:type="character" w:customStyle="1" w:styleId="FooterChar">
    <w:name w:val="Footer Char"/>
    <w:basedOn w:val="DefaultParagraphFont"/>
    <w:link w:val="Footer"/>
    <w:uiPriority w:val="99"/>
    <w:rsid w:val="00A14F11"/>
    <w:rPr>
      <w:rFonts w:ascii="Century Schoolbook" w:hAnsi="Century Schoolbook" w:cs="Times New Roman"/>
      <w:szCs w:val="20"/>
    </w:rPr>
  </w:style>
  <w:style w:type="character" w:customStyle="1" w:styleId="starpage">
    <w:name w:val="starpage"/>
    <w:basedOn w:val="DefaultParagraphFont"/>
    <w:rsid w:val="002F3301"/>
  </w:style>
  <w:style w:type="paragraph" w:styleId="CommentSubject">
    <w:name w:val="annotation subject"/>
    <w:basedOn w:val="CommentText"/>
    <w:next w:val="CommentText"/>
    <w:link w:val="CommentSubjectChar"/>
    <w:uiPriority w:val="99"/>
    <w:semiHidden/>
    <w:unhideWhenUsed/>
    <w:rsid w:val="00F33138"/>
    <w:rPr>
      <w:b/>
      <w:bCs/>
    </w:rPr>
  </w:style>
  <w:style w:type="character" w:customStyle="1" w:styleId="CommentSubjectChar">
    <w:name w:val="Comment Subject Char"/>
    <w:basedOn w:val="CommentTextChar"/>
    <w:link w:val="CommentSubject"/>
    <w:uiPriority w:val="99"/>
    <w:semiHidden/>
    <w:rsid w:val="00F33138"/>
    <w:rPr>
      <w:rFonts w:ascii="Century Schoolbook" w:hAnsi="Century Schoolbook"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17371">
      <w:bodyDiv w:val="1"/>
      <w:marLeft w:val="0"/>
      <w:marRight w:val="0"/>
      <w:marTop w:val="0"/>
      <w:marBottom w:val="0"/>
      <w:divBdr>
        <w:top w:val="none" w:sz="0" w:space="0" w:color="auto"/>
        <w:left w:val="none" w:sz="0" w:space="0" w:color="auto"/>
        <w:bottom w:val="none" w:sz="0" w:space="0" w:color="auto"/>
        <w:right w:val="none" w:sz="0" w:space="0" w:color="auto"/>
      </w:divBdr>
    </w:div>
    <w:div w:id="576282357">
      <w:bodyDiv w:val="1"/>
      <w:marLeft w:val="0"/>
      <w:marRight w:val="0"/>
      <w:marTop w:val="0"/>
      <w:marBottom w:val="0"/>
      <w:divBdr>
        <w:top w:val="none" w:sz="0" w:space="0" w:color="auto"/>
        <w:left w:val="none" w:sz="0" w:space="0" w:color="auto"/>
        <w:bottom w:val="none" w:sz="0" w:space="0" w:color="auto"/>
        <w:right w:val="none" w:sz="0" w:space="0" w:color="auto"/>
      </w:divBdr>
      <w:divsChild>
        <w:div w:id="550507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528579">
      <w:bodyDiv w:val="1"/>
      <w:marLeft w:val="0"/>
      <w:marRight w:val="0"/>
      <w:marTop w:val="0"/>
      <w:marBottom w:val="0"/>
      <w:divBdr>
        <w:top w:val="none" w:sz="0" w:space="0" w:color="auto"/>
        <w:left w:val="none" w:sz="0" w:space="0" w:color="auto"/>
        <w:bottom w:val="none" w:sz="0" w:space="0" w:color="auto"/>
        <w:right w:val="none" w:sz="0" w:space="0" w:color="auto"/>
      </w:divBdr>
    </w:div>
    <w:div w:id="1275094134">
      <w:bodyDiv w:val="1"/>
      <w:marLeft w:val="0"/>
      <w:marRight w:val="0"/>
      <w:marTop w:val="0"/>
      <w:marBottom w:val="0"/>
      <w:divBdr>
        <w:top w:val="none" w:sz="0" w:space="0" w:color="auto"/>
        <w:left w:val="none" w:sz="0" w:space="0" w:color="auto"/>
        <w:bottom w:val="none" w:sz="0" w:space="0" w:color="auto"/>
        <w:right w:val="none" w:sz="0" w:space="0" w:color="auto"/>
      </w:divBdr>
    </w:div>
    <w:div w:id="1294827344">
      <w:bodyDiv w:val="1"/>
      <w:marLeft w:val="0"/>
      <w:marRight w:val="0"/>
      <w:marTop w:val="0"/>
      <w:marBottom w:val="0"/>
      <w:divBdr>
        <w:top w:val="none" w:sz="0" w:space="0" w:color="auto"/>
        <w:left w:val="none" w:sz="0" w:space="0" w:color="auto"/>
        <w:bottom w:val="none" w:sz="0" w:space="0" w:color="auto"/>
        <w:right w:val="none" w:sz="0" w:space="0" w:color="auto"/>
      </w:divBdr>
    </w:div>
    <w:div w:id="1308432150">
      <w:bodyDiv w:val="1"/>
      <w:marLeft w:val="0"/>
      <w:marRight w:val="0"/>
      <w:marTop w:val="0"/>
      <w:marBottom w:val="0"/>
      <w:divBdr>
        <w:top w:val="none" w:sz="0" w:space="0" w:color="auto"/>
        <w:left w:val="none" w:sz="0" w:space="0" w:color="auto"/>
        <w:bottom w:val="none" w:sz="0" w:space="0" w:color="auto"/>
        <w:right w:val="none" w:sz="0" w:space="0" w:color="auto"/>
      </w:divBdr>
    </w:div>
    <w:div w:id="1359311880">
      <w:bodyDiv w:val="1"/>
      <w:marLeft w:val="0"/>
      <w:marRight w:val="0"/>
      <w:marTop w:val="0"/>
      <w:marBottom w:val="0"/>
      <w:divBdr>
        <w:top w:val="none" w:sz="0" w:space="0" w:color="auto"/>
        <w:left w:val="none" w:sz="0" w:space="0" w:color="auto"/>
        <w:bottom w:val="none" w:sz="0" w:space="0" w:color="auto"/>
        <w:right w:val="none" w:sz="0" w:space="0" w:color="auto"/>
      </w:divBdr>
    </w:div>
    <w:div w:id="1374844136">
      <w:bodyDiv w:val="1"/>
      <w:marLeft w:val="0"/>
      <w:marRight w:val="0"/>
      <w:marTop w:val="0"/>
      <w:marBottom w:val="0"/>
      <w:divBdr>
        <w:top w:val="none" w:sz="0" w:space="0" w:color="auto"/>
        <w:left w:val="none" w:sz="0" w:space="0" w:color="auto"/>
        <w:bottom w:val="none" w:sz="0" w:space="0" w:color="auto"/>
        <w:right w:val="none" w:sz="0" w:space="0" w:color="auto"/>
      </w:divBdr>
    </w:div>
    <w:div w:id="1466662552">
      <w:bodyDiv w:val="1"/>
      <w:marLeft w:val="0"/>
      <w:marRight w:val="0"/>
      <w:marTop w:val="0"/>
      <w:marBottom w:val="0"/>
      <w:divBdr>
        <w:top w:val="none" w:sz="0" w:space="0" w:color="auto"/>
        <w:left w:val="none" w:sz="0" w:space="0" w:color="auto"/>
        <w:bottom w:val="none" w:sz="0" w:space="0" w:color="auto"/>
        <w:right w:val="none" w:sz="0" w:space="0" w:color="auto"/>
      </w:divBdr>
    </w:div>
    <w:div w:id="1480613176">
      <w:bodyDiv w:val="1"/>
      <w:marLeft w:val="0"/>
      <w:marRight w:val="0"/>
      <w:marTop w:val="0"/>
      <w:marBottom w:val="0"/>
      <w:divBdr>
        <w:top w:val="none" w:sz="0" w:space="0" w:color="auto"/>
        <w:left w:val="none" w:sz="0" w:space="0" w:color="auto"/>
        <w:bottom w:val="none" w:sz="0" w:space="0" w:color="auto"/>
        <w:right w:val="none" w:sz="0" w:space="0" w:color="auto"/>
      </w:divBdr>
    </w:div>
    <w:div w:id="1519809782">
      <w:bodyDiv w:val="1"/>
      <w:marLeft w:val="0"/>
      <w:marRight w:val="0"/>
      <w:marTop w:val="0"/>
      <w:marBottom w:val="0"/>
      <w:divBdr>
        <w:top w:val="none" w:sz="0" w:space="0" w:color="auto"/>
        <w:left w:val="none" w:sz="0" w:space="0" w:color="auto"/>
        <w:bottom w:val="none" w:sz="0" w:space="0" w:color="auto"/>
        <w:right w:val="none" w:sz="0" w:space="0" w:color="auto"/>
      </w:divBdr>
    </w:div>
    <w:div w:id="1840579800">
      <w:bodyDiv w:val="1"/>
      <w:marLeft w:val="0"/>
      <w:marRight w:val="0"/>
      <w:marTop w:val="0"/>
      <w:marBottom w:val="0"/>
      <w:divBdr>
        <w:top w:val="none" w:sz="0" w:space="0" w:color="auto"/>
        <w:left w:val="none" w:sz="0" w:space="0" w:color="auto"/>
        <w:bottom w:val="none" w:sz="0" w:space="0" w:color="auto"/>
        <w:right w:val="none" w:sz="0" w:space="0" w:color="auto"/>
      </w:divBdr>
      <w:divsChild>
        <w:div w:id="263805314">
          <w:marLeft w:val="0"/>
          <w:marRight w:val="0"/>
          <w:marTop w:val="0"/>
          <w:marBottom w:val="0"/>
          <w:divBdr>
            <w:top w:val="none" w:sz="0" w:space="0" w:color="auto"/>
            <w:left w:val="none" w:sz="0" w:space="0" w:color="auto"/>
            <w:bottom w:val="none" w:sz="0" w:space="0" w:color="auto"/>
            <w:right w:val="none" w:sz="0" w:space="0" w:color="auto"/>
          </w:divBdr>
          <w:divsChild>
            <w:div w:id="25836025">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1889799549">
      <w:bodyDiv w:val="1"/>
      <w:marLeft w:val="0"/>
      <w:marRight w:val="0"/>
      <w:marTop w:val="0"/>
      <w:marBottom w:val="0"/>
      <w:divBdr>
        <w:top w:val="none" w:sz="0" w:space="0" w:color="auto"/>
        <w:left w:val="none" w:sz="0" w:space="0" w:color="auto"/>
        <w:bottom w:val="none" w:sz="0" w:space="0" w:color="auto"/>
        <w:right w:val="none" w:sz="0" w:space="0" w:color="auto"/>
      </w:divBdr>
    </w:div>
    <w:div w:id="1944456088">
      <w:bodyDiv w:val="1"/>
      <w:marLeft w:val="0"/>
      <w:marRight w:val="0"/>
      <w:marTop w:val="0"/>
      <w:marBottom w:val="0"/>
      <w:divBdr>
        <w:top w:val="none" w:sz="0" w:space="0" w:color="auto"/>
        <w:left w:val="none" w:sz="0" w:space="0" w:color="auto"/>
        <w:bottom w:val="none" w:sz="0" w:space="0" w:color="auto"/>
        <w:right w:val="none" w:sz="0" w:space="0" w:color="auto"/>
      </w:divBdr>
    </w:div>
    <w:div w:id="2025085999">
      <w:bodyDiv w:val="1"/>
      <w:marLeft w:val="0"/>
      <w:marRight w:val="0"/>
      <w:marTop w:val="0"/>
      <w:marBottom w:val="0"/>
      <w:divBdr>
        <w:top w:val="none" w:sz="0" w:space="0" w:color="auto"/>
        <w:left w:val="none" w:sz="0" w:space="0" w:color="auto"/>
        <w:bottom w:val="none" w:sz="0" w:space="0" w:color="auto"/>
        <w:right w:val="none" w:sz="0" w:space="0" w:color="auto"/>
      </w:divBdr>
      <w:divsChild>
        <w:div w:id="1262563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14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vic/consol_act/da200599/s3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stlii.edu.au/au/legis/vic/consol_act/da20059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juris.de/jportal/portal/t/22qd/page/jurisw.psml?pid=Dokumentanzeige&amp;showdoccase=1&amp;js_peid=Trefferliste&amp;documentnumber=4&amp;numberofresults=4&amp;fromdoctodoc=yes&amp;doc.id=KORE313832004&amp;doc.part=L&amp;doc.price=0.0" TargetMode="External"/><Relationship Id="rId2" Type="http://schemas.openxmlformats.org/officeDocument/2006/relationships/hyperlink" Target="http://www.spiegel.de/international/zeitgeist/google-autocomplete-former-german-first-lady-defamation-case-a-856820.html" TargetMode="External"/><Relationship Id="rId1" Type="http://schemas.openxmlformats.org/officeDocument/2006/relationships/hyperlink" Target="http://login.westlaw.co.uk.ezproxy.uwl.ac.uk/maf/wluk/app/document?src=doc&amp;linktype=ref&amp;&amp;context=28&amp;crumb-action=replace&amp;docguid=ICE28AED1A74C11DFB425AFEF504AC682" TargetMode="External"/><Relationship Id="rId5" Type="http://schemas.openxmlformats.org/officeDocument/2006/relationships/hyperlink" Target="http://www.austlii.edu.au/cgi-bin/sinodisp/au/cases/vic/VSC/2012/533.html?stem=0&amp;synonyms=0&amp;query=title%28Trkulja%20and%20Google%20Inc" TargetMode="External"/><Relationship Id="rId4" Type="http://schemas.openxmlformats.org/officeDocument/2006/relationships/hyperlink" Target="http://www.bailii.org/ew/cases/EWCA/Civ/2013/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A3D4-31E2-41C4-84B8-7E1B2E00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COORS</dc:creator>
  <cp:lastModifiedBy>Marzena Dybkowska</cp:lastModifiedBy>
  <cp:revision>2</cp:revision>
  <cp:lastPrinted>2013-11-08T14:12:00Z</cp:lastPrinted>
  <dcterms:created xsi:type="dcterms:W3CDTF">2016-02-05T10:22:00Z</dcterms:created>
  <dcterms:modified xsi:type="dcterms:W3CDTF">2016-02-05T10:22:00Z</dcterms:modified>
</cp:coreProperties>
</file>