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778" w:rsidRPr="00905ACC" w:rsidRDefault="00964778" w:rsidP="00905ACC">
      <w:pPr>
        <w:jc w:val="center"/>
        <w:rPr>
          <w:szCs w:val="22"/>
        </w:rPr>
      </w:pPr>
      <w:bookmarkStart w:id="0" w:name="_GoBack"/>
      <w:bookmarkEnd w:id="0"/>
    </w:p>
    <w:p w:rsidR="00964778" w:rsidRPr="00741220" w:rsidRDefault="00905ACC" w:rsidP="00905ACC">
      <w:pPr>
        <w:jc w:val="center"/>
        <w:rPr>
          <w:sz w:val="44"/>
          <w:szCs w:val="44"/>
        </w:rPr>
      </w:pPr>
      <w:r w:rsidRPr="00741220">
        <w:rPr>
          <w:sz w:val="44"/>
          <w:szCs w:val="44"/>
        </w:rPr>
        <w:t>The association between accruals and stock return following FRS3</w:t>
      </w:r>
    </w:p>
    <w:p w:rsidR="006220C1" w:rsidRPr="006220C1" w:rsidRDefault="006220C1" w:rsidP="006220C1">
      <w:pPr>
        <w:pStyle w:val="NormalWeb"/>
        <w:shd w:val="clear" w:color="auto" w:fill="FFFFFF"/>
        <w:contextualSpacing/>
        <w:jc w:val="center"/>
        <w:rPr>
          <w:rFonts w:eastAsia="SimSun"/>
          <w:i/>
          <w:iCs/>
          <w:kern w:val="2"/>
          <w:sz w:val="22"/>
          <w:szCs w:val="22"/>
          <w:lang w:val="en-US" w:eastAsia="zh-CN"/>
        </w:rPr>
      </w:pPr>
      <w:r w:rsidRPr="006220C1">
        <w:rPr>
          <w:rFonts w:eastAsia="SimSun"/>
          <w:i/>
          <w:iCs/>
          <w:kern w:val="2"/>
          <w:sz w:val="22"/>
          <w:szCs w:val="22"/>
          <w:lang w:val="en-US" w:eastAsia="zh-CN"/>
        </w:rPr>
        <w:t>Javad Izadi</w:t>
      </w:r>
      <w:r w:rsidRPr="006220C1">
        <w:rPr>
          <w:rFonts w:eastAsia="SimSun"/>
          <w:i/>
          <w:iCs/>
          <w:kern w:val="2"/>
          <w:sz w:val="22"/>
          <w:szCs w:val="22"/>
          <w:lang w:val="en-US" w:eastAsia="zh-CN"/>
        </w:rPr>
        <w:footnoteReference w:id="1"/>
      </w:r>
      <w:r w:rsidRPr="006220C1">
        <w:rPr>
          <w:rFonts w:eastAsia="SimSun"/>
          <w:i/>
          <w:iCs/>
          <w:kern w:val="2"/>
          <w:sz w:val="22"/>
          <w:szCs w:val="22"/>
          <w:lang w:val="en-US" w:eastAsia="zh-CN"/>
        </w:rPr>
        <w:t>, Jinfeng Ye</w:t>
      </w:r>
      <w:r w:rsidRPr="006220C1">
        <w:rPr>
          <w:rFonts w:eastAsia="SimSun"/>
          <w:i/>
          <w:iCs/>
          <w:kern w:val="2"/>
          <w:sz w:val="22"/>
          <w:szCs w:val="22"/>
          <w:lang w:val="en-US" w:eastAsia="zh-CN"/>
        </w:rPr>
        <w:footnoteReference w:id="2"/>
      </w:r>
      <w:r w:rsidRPr="006220C1">
        <w:rPr>
          <w:rFonts w:eastAsia="SimSun"/>
          <w:i/>
          <w:iCs/>
          <w:kern w:val="2"/>
          <w:sz w:val="22"/>
          <w:szCs w:val="22"/>
          <w:lang w:val="en-US" w:eastAsia="zh-CN"/>
        </w:rPr>
        <w:t>, Alireza Nazarian</w:t>
      </w:r>
      <w:r w:rsidRPr="006220C1">
        <w:rPr>
          <w:rFonts w:eastAsia="SimSun"/>
          <w:i/>
          <w:iCs/>
          <w:kern w:val="2"/>
          <w:sz w:val="22"/>
          <w:szCs w:val="22"/>
          <w:lang w:val="en-US" w:eastAsia="zh-CN"/>
        </w:rPr>
        <w:footnoteReference w:id="3"/>
      </w:r>
      <w:r w:rsidRPr="006220C1">
        <w:rPr>
          <w:rFonts w:eastAsia="SimSun"/>
          <w:i/>
          <w:iCs/>
          <w:kern w:val="2"/>
          <w:sz w:val="22"/>
          <w:szCs w:val="22"/>
          <w:lang w:val="en-US" w:eastAsia="zh-CN"/>
        </w:rPr>
        <w:t>, and Ali Shahzad</w:t>
      </w:r>
      <w:r w:rsidRPr="006220C1">
        <w:rPr>
          <w:rFonts w:eastAsia="SimSun"/>
          <w:i/>
          <w:iCs/>
          <w:kern w:val="2"/>
          <w:sz w:val="22"/>
          <w:szCs w:val="22"/>
          <w:lang w:val="en-US" w:eastAsia="zh-CN"/>
        </w:rPr>
        <w:footnoteReference w:id="4"/>
      </w:r>
    </w:p>
    <w:p w:rsidR="001D135A" w:rsidRPr="006E0C31" w:rsidRDefault="001D135A" w:rsidP="00741220">
      <w:pPr>
        <w:pStyle w:val="NormalWeb"/>
        <w:shd w:val="clear" w:color="auto" w:fill="FFFFFF"/>
        <w:contextualSpacing/>
        <w:jc w:val="center"/>
        <w:rPr>
          <w:rFonts w:eastAsia="STKaiti"/>
          <w:bCs/>
          <w:i/>
          <w:iCs/>
          <w:sz w:val="22"/>
          <w:szCs w:val="22"/>
        </w:rPr>
      </w:pPr>
    </w:p>
    <w:p w:rsidR="00741220" w:rsidRPr="00741220" w:rsidRDefault="00741220" w:rsidP="00741220">
      <w:pPr>
        <w:pStyle w:val="NormalWeb"/>
        <w:shd w:val="clear" w:color="auto" w:fill="FFFFFF"/>
        <w:contextualSpacing/>
        <w:jc w:val="center"/>
        <w:rPr>
          <w:rFonts w:ascii="Calibri" w:hAnsi="Calibri" w:cs="Calibri"/>
          <w:color w:val="000000"/>
          <w:sz w:val="22"/>
          <w:szCs w:val="22"/>
        </w:rPr>
      </w:pPr>
    </w:p>
    <w:p w:rsidR="00900C58" w:rsidRPr="00900C58" w:rsidRDefault="00964778" w:rsidP="007D75D2">
      <w:pPr>
        <w:ind w:firstLine="0"/>
        <w:contextualSpacing/>
        <w:jc w:val="left"/>
        <w:outlineLvl w:val="0"/>
        <w:rPr>
          <w:b/>
          <w:szCs w:val="22"/>
        </w:rPr>
      </w:pPr>
      <w:r w:rsidRPr="00C963F2">
        <w:rPr>
          <w:b/>
          <w:szCs w:val="22"/>
        </w:rPr>
        <w:t>Abstract</w:t>
      </w:r>
    </w:p>
    <w:p w:rsidR="00900C58" w:rsidRDefault="00900C58" w:rsidP="007D75D2">
      <w:pPr>
        <w:contextualSpacing/>
        <w:rPr>
          <w:szCs w:val="22"/>
        </w:rPr>
      </w:pPr>
      <w:r>
        <w:rPr>
          <w:szCs w:val="22"/>
        </w:rPr>
        <w:t>The purpose of this study is to investigate the correlation between accruals and stock return and further the quality of accounting accruals shown in financial statements for shareholders to predict their future returns.</w:t>
      </w:r>
      <w:r w:rsidR="003E28A8">
        <w:rPr>
          <w:szCs w:val="22"/>
        </w:rPr>
        <w:t xml:space="preserve"> </w:t>
      </w:r>
      <w:r w:rsidR="003F3F72" w:rsidRPr="007D75D2">
        <w:rPr>
          <w:szCs w:val="22"/>
        </w:rPr>
        <w:t>This</w:t>
      </w:r>
      <w:r w:rsidR="003F3F72" w:rsidRPr="00872A2A">
        <w:rPr>
          <w:szCs w:val="22"/>
        </w:rPr>
        <w:t xml:space="preserve"> </w:t>
      </w:r>
      <w:r w:rsidR="003F3F72">
        <w:rPr>
          <w:szCs w:val="22"/>
        </w:rPr>
        <w:t>study</w:t>
      </w:r>
      <w:r w:rsidR="003F3F72" w:rsidRPr="007D75D2">
        <w:rPr>
          <w:szCs w:val="22"/>
        </w:rPr>
        <w:t xml:space="preserve"> uses</w:t>
      </w:r>
      <w:r w:rsidR="003F3F72" w:rsidRPr="00872A2A">
        <w:rPr>
          <w:szCs w:val="22"/>
        </w:rPr>
        <w:t xml:space="preserve"> </w:t>
      </w:r>
      <w:r w:rsidR="003F3F72" w:rsidRPr="007D75D2">
        <w:rPr>
          <w:szCs w:val="22"/>
        </w:rPr>
        <w:t>an inimitable location</w:t>
      </w:r>
      <w:r w:rsidR="003F3F72" w:rsidRPr="00872A2A">
        <w:rPr>
          <w:szCs w:val="22"/>
        </w:rPr>
        <w:t xml:space="preserve"> </w:t>
      </w:r>
      <w:r w:rsidR="003F3F72" w:rsidRPr="007D75D2">
        <w:rPr>
          <w:szCs w:val="22"/>
        </w:rPr>
        <w:t xml:space="preserve">which is </w:t>
      </w:r>
      <w:r w:rsidR="003F3F72" w:rsidRPr="00872A2A">
        <w:rPr>
          <w:szCs w:val="22"/>
        </w:rPr>
        <w:t xml:space="preserve">provided by FRS3 in the UK to </w:t>
      </w:r>
      <w:r w:rsidR="003F3F72" w:rsidRPr="007D75D2">
        <w:rPr>
          <w:szCs w:val="22"/>
        </w:rPr>
        <w:t>highlight</w:t>
      </w:r>
      <w:r w:rsidR="003F3F72" w:rsidRPr="00872A2A">
        <w:rPr>
          <w:szCs w:val="22"/>
        </w:rPr>
        <w:t xml:space="preserve"> </w:t>
      </w:r>
      <w:r w:rsidR="003F3F72" w:rsidRPr="007D75D2">
        <w:rPr>
          <w:szCs w:val="22"/>
        </w:rPr>
        <w:t xml:space="preserve">the </w:t>
      </w:r>
      <w:r w:rsidR="003F3F72" w:rsidRPr="00872A2A">
        <w:rPr>
          <w:szCs w:val="22"/>
        </w:rPr>
        <w:t>well-documented accrual anomaly</w:t>
      </w:r>
      <w:r w:rsidR="003F3F72" w:rsidRPr="007D75D2">
        <w:rPr>
          <w:szCs w:val="22"/>
        </w:rPr>
        <w:t xml:space="preserve"> as an important components of financial performance to help the users to understand the archived performance </w:t>
      </w:r>
      <w:r w:rsidR="003E28A8">
        <w:rPr>
          <w:szCs w:val="22"/>
        </w:rPr>
        <w:t xml:space="preserve">of </w:t>
      </w:r>
      <w:r w:rsidR="003F3F72" w:rsidRPr="007D75D2">
        <w:rPr>
          <w:szCs w:val="22"/>
        </w:rPr>
        <w:t>a firm</w:t>
      </w:r>
      <w:r>
        <w:rPr>
          <w:szCs w:val="22"/>
        </w:rPr>
        <w:t>. Specifically, this paper focuses on the accrual anomaly phenomenon in the United Kingdom on the adoption of FRS No.3</w:t>
      </w:r>
      <w:r w:rsidR="00066F85">
        <w:rPr>
          <w:szCs w:val="22"/>
        </w:rPr>
        <w:t xml:space="preserve"> for a </w:t>
      </w:r>
      <w:r w:rsidR="00A4655B">
        <w:rPr>
          <w:szCs w:val="22"/>
        </w:rPr>
        <w:t>period</w:t>
      </w:r>
      <w:r w:rsidR="00066F85">
        <w:rPr>
          <w:szCs w:val="22"/>
        </w:rPr>
        <w:t xml:space="preserve"> from 2008 to 2017</w:t>
      </w:r>
      <w:r>
        <w:rPr>
          <w:szCs w:val="22"/>
        </w:rPr>
        <w:t>. Our result shows that stock returns can be predicted by accruals attributable to accounting misrepresentations. Generally, our findings support the information disclosure due to FRS No.3. Also, the results are consistent with increased accounting disclosure to help investors protect</w:t>
      </w:r>
      <w:r w:rsidR="00CA2113">
        <w:rPr>
          <w:szCs w:val="22"/>
        </w:rPr>
        <w:t xml:space="preserve"> themselves from</w:t>
      </w:r>
      <w:r>
        <w:rPr>
          <w:szCs w:val="22"/>
        </w:rPr>
        <w:t xml:space="preserve"> inefficiencies and to encourage</w:t>
      </w:r>
      <w:r w:rsidR="00CA2113">
        <w:rPr>
          <w:szCs w:val="22"/>
        </w:rPr>
        <w:t xml:space="preserve"> them to</w:t>
      </w:r>
      <w:r>
        <w:rPr>
          <w:szCs w:val="22"/>
        </w:rPr>
        <w:t xml:space="preserve"> be aware of accurate </w:t>
      </w:r>
      <w:r w:rsidR="00CA2113">
        <w:rPr>
          <w:szCs w:val="22"/>
        </w:rPr>
        <w:t>stock prices</w:t>
      </w:r>
      <w:r>
        <w:rPr>
          <w:szCs w:val="22"/>
        </w:rPr>
        <w:t xml:space="preserve"> in the market.</w:t>
      </w:r>
    </w:p>
    <w:p w:rsidR="00D70A43" w:rsidRDefault="00D70A43" w:rsidP="00900C58">
      <w:pPr>
        <w:ind w:firstLine="0"/>
        <w:rPr>
          <w:b/>
          <w:bCs/>
          <w:kern w:val="0"/>
          <w:szCs w:val="22"/>
          <w:lang w:val="en-GB" w:eastAsia="en-GB"/>
        </w:rPr>
      </w:pPr>
    </w:p>
    <w:p w:rsidR="00900C58" w:rsidRDefault="00900C58" w:rsidP="00900C58">
      <w:pPr>
        <w:ind w:firstLine="0"/>
        <w:rPr>
          <w:szCs w:val="22"/>
        </w:rPr>
      </w:pPr>
    </w:p>
    <w:p w:rsidR="00D54C69" w:rsidRDefault="00D54C69" w:rsidP="00367F9E">
      <w:pPr>
        <w:autoSpaceDE w:val="0"/>
        <w:ind w:firstLine="0"/>
        <w:outlineLvl w:val="0"/>
        <w:rPr>
          <w:i/>
          <w:iCs/>
          <w:szCs w:val="22"/>
        </w:rPr>
      </w:pPr>
      <w:r w:rsidRPr="00DE41C8">
        <w:rPr>
          <w:b/>
          <w:bCs/>
          <w:i/>
          <w:iCs/>
          <w:spacing w:val="-4"/>
          <w:w w:val="105"/>
        </w:rPr>
        <w:t xml:space="preserve">Key Words: </w:t>
      </w:r>
      <w:r>
        <w:rPr>
          <w:i/>
          <w:iCs/>
          <w:spacing w:val="-4"/>
          <w:w w:val="105"/>
        </w:rPr>
        <w:t>Accruals</w:t>
      </w:r>
      <w:r w:rsidRPr="00DE41C8">
        <w:rPr>
          <w:i/>
          <w:iCs/>
          <w:spacing w:val="-4"/>
          <w:w w:val="105"/>
        </w:rPr>
        <w:t xml:space="preserve">, </w:t>
      </w:r>
      <w:r w:rsidR="00E70A2F">
        <w:rPr>
          <w:i/>
          <w:iCs/>
        </w:rPr>
        <w:t>Stock Returns</w:t>
      </w:r>
      <w:r w:rsidRPr="00DE41C8">
        <w:rPr>
          <w:i/>
          <w:iCs/>
        </w:rPr>
        <w:t xml:space="preserve">, </w:t>
      </w:r>
      <w:r w:rsidR="00E70A2F" w:rsidRPr="00E70A2F">
        <w:rPr>
          <w:i/>
          <w:iCs/>
          <w:szCs w:val="22"/>
        </w:rPr>
        <w:t>FRS No.3</w:t>
      </w:r>
    </w:p>
    <w:p w:rsidR="006559DB" w:rsidRDefault="006559DB" w:rsidP="006559DB">
      <w:pPr>
        <w:pStyle w:val="Default"/>
      </w:pPr>
    </w:p>
    <w:p w:rsidR="008F7042" w:rsidRPr="00BC7707" w:rsidRDefault="001C2777" w:rsidP="00BC7707">
      <w:pPr>
        <w:ind w:firstLine="0"/>
        <w:rPr>
          <w:b/>
          <w:bCs/>
        </w:rPr>
      </w:pPr>
      <w:r>
        <w:br w:type="page"/>
      </w:r>
      <w:r w:rsidR="00BC7707">
        <w:lastRenderedPageBreak/>
        <w:t xml:space="preserve">1. </w:t>
      </w:r>
      <w:r w:rsidR="00F15E03" w:rsidRPr="00BC7707">
        <w:rPr>
          <w:b/>
          <w:bCs/>
        </w:rPr>
        <w:t>Introduction</w:t>
      </w:r>
    </w:p>
    <w:p w:rsidR="001C2777" w:rsidRPr="005955D2" w:rsidRDefault="00AE5D13">
      <w:pPr>
        <w:ind w:firstLine="0"/>
        <w:contextualSpacing/>
        <w:rPr>
          <w:szCs w:val="22"/>
        </w:rPr>
      </w:pPr>
      <w:r w:rsidRPr="00BD260B">
        <w:rPr>
          <w:szCs w:val="22"/>
        </w:rPr>
        <w:t>Accrual anomaly has caused extensive concern since Sloan (1996) document</w:t>
      </w:r>
      <w:r w:rsidR="00E104F2">
        <w:rPr>
          <w:szCs w:val="22"/>
        </w:rPr>
        <w:t>ed</w:t>
      </w:r>
      <w:r w:rsidRPr="00BD260B">
        <w:rPr>
          <w:szCs w:val="22"/>
        </w:rPr>
        <w:t xml:space="preserve"> that accounting accruals </w:t>
      </w:r>
      <w:r w:rsidR="00E104F2">
        <w:rPr>
          <w:szCs w:val="22"/>
        </w:rPr>
        <w:t>were</w:t>
      </w:r>
      <w:r w:rsidR="00E104F2" w:rsidRPr="00BD260B">
        <w:rPr>
          <w:szCs w:val="22"/>
        </w:rPr>
        <w:t xml:space="preserve"> </w:t>
      </w:r>
      <w:r w:rsidRPr="00BD260B">
        <w:rPr>
          <w:szCs w:val="22"/>
        </w:rPr>
        <w:t xml:space="preserve">negatively related to future stock returns in </w:t>
      </w:r>
      <w:r w:rsidR="00E104F2">
        <w:rPr>
          <w:szCs w:val="22"/>
        </w:rPr>
        <w:t xml:space="preserve">the </w:t>
      </w:r>
      <w:r w:rsidRPr="00BD260B">
        <w:rPr>
          <w:szCs w:val="22"/>
        </w:rPr>
        <w:t>U.S. capital market. Not only market-based accounting researchers</w:t>
      </w:r>
      <w:r w:rsidR="00AE4293">
        <w:rPr>
          <w:szCs w:val="22"/>
        </w:rPr>
        <w:t>,</w:t>
      </w:r>
      <w:r w:rsidRPr="00BD260B">
        <w:rPr>
          <w:szCs w:val="22"/>
        </w:rPr>
        <w:t xml:space="preserve"> </w:t>
      </w:r>
      <w:r w:rsidR="005D61E5" w:rsidRPr="00BD260B">
        <w:rPr>
          <w:szCs w:val="22"/>
        </w:rPr>
        <w:t xml:space="preserve">e.g. Subramanyam (1996), Xie (2001) and Fairfield et al (2003), </w:t>
      </w:r>
      <w:r w:rsidRPr="00BD260B">
        <w:rPr>
          <w:szCs w:val="22"/>
        </w:rPr>
        <w:t xml:space="preserve">but also accounting regulators </w:t>
      </w:r>
      <w:r w:rsidR="00E104F2">
        <w:rPr>
          <w:szCs w:val="22"/>
        </w:rPr>
        <w:t>began</w:t>
      </w:r>
      <w:r w:rsidR="00E104F2" w:rsidRPr="00BD260B">
        <w:rPr>
          <w:szCs w:val="22"/>
        </w:rPr>
        <w:t xml:space="preserve"> </w:t>
      </w:r>
      <w:r w:rsidRPr="00BD260B">
        <w:rPr>
          <w:szCs w:val="22"/>
        </w:rPr>
        <w:t xml:space="preserve">to re-examine the </w:t>
      </w:r>
      <w:r w:rsidR="00E104F2">
        <w:rPr>
          <w:szCs w:val="22"/>
        </w:rPr>
        <w:t>reporting</w:t>
      </w:r>
      <w:r w:rsidR="00E104F2" w:rsidRPr="00BD260B">
        <w:rPr>
          <w:szCs w:val="22"/>
        </w:rPr>
        <w:t xml:space="preserve"> </w:t>
      </w:r>
      <w:r w:rsidRPr="00BD260B">
        <w:rPr>
          <w:szCs w:val="22"/>
        </w:rPr>
        <w:t xml:space="preserve">of accounting earnings in financial statements since </w:t>
      </w:r>
      <w:r w:rsidR="00E104F2">
        <w:rPr>
          <w:szCs w:val="22"/>
        </w:rPr>
        <w:t>misreporting could</w:t>
      </w:r>
      <w:r w:rsidRPr="00BD260B">
        <w:rPr>
          <w:szCs w:val="22"/>
        </w:rPr>
        <w:t xml:space="preserve"> become another scandal </w:t>
      </w:r>
      <w:r w:rsidR="00E104F2">
        <w:rPr>
          <w:szCs w:val="22"/>
        </w:rPr>
        <w:t>as serious as</w:t>
      </w:r>
      <w:r w:rsidRPr="00BD260B">
        <w:rPr>
          <w:szCs w:val="22"/>
        </w:rPr>
        <w:t xml:space="preserve"> tax avoidance. </w:t>
      </w:r>
      <w:r w:rsidR="005D61E5" w:rsidRPr="00BD260B">
        <w:rPr>
          <w:szCs w:val="22"/>
        </w:rPr>
        <w:t>For example, Xie (2001) finds that the market overestimates the persistence of abnormal accruals</w:t>
      </w:r>
      <w:r w:rsidR="00E104F2">
        <w:rPr>
          <w:szCs w:val="22"/>
        </w:rPr>
        <w:t xml:space="preserve"> leading to accruals being overpriced</w:t>
      </w:r>
      <w:r w:rsidR="005D61E5" w:rsidRPr="00BD260B">
        <w:rPr>
          <w:szCs w:val="22"/>
        </w:rPr>
        <w:t>. </w:t>
      </w:r>
      <w:r w:rsidR="00BD260B" w:rsidRPr="00BD260B">
        <w:rPr>
          <w:szCs w:val="22"/>
        </w:rPr>
        <w:t xml:space="preserve">He </w:t>
      </w:r>
      <w:r w:rsidR="005D61E5" w:rsidRPr="00BD260B">
        <w:rPr>
          <w:szCs w:val="22"/>
        </w:rPr>
        <w:t xml:space="preserve">also </w:t>
      </w:r>
      <w:r w:rsidR="00BD260B" w:rsidRPr="00BD260B">
        <w:rPr>
          <w:szCs w:val="22"/>
        </w:rPr>
        <w:t>shows</w:t>
      </w:r>
      <w:r w:rsidR="005D61E5" w:rsidRPr="00BD260B">
        <w:rPr>
          <w:szCs w:val="22"/>
        </w:rPr>
        <w:t xml:space="preserve"> that the accruals </w:t>
      </w:r>
      <w:r w:rsidR="00BD260B" w:rsidRPr="00BD260B">
        <w:rPr>
          <w:szCs w:val="22"/>
        </w:rPr>
        <w:t xml:space="preserve">overpricing </w:t>
      </w:r>
      <w:r w:rsidR="005D61E5" w:rsidRPr="00BD260B">
        <w:rPr>
          <w:szCs w:val="22"/>
        </w:rPr>
        <w:t xml:space="preserve">that </w:t>
      </w:r>
      <w:r w:rsidR="00BD260B" w:rsidRPr="00BD260B">
        <w:rPr>
          <w:szCs w:val="22"/>
        </w:rPr>
        <w:t xml:space="preserve">is documented by </w:t>
      </w:r>
      <w:r w:rsidR="005D61E5" w:rsidRPr="00BD260B">
        <w:rPr>
          <w:szCs w:val="22"/>
        </w:rPr>
        <w:t xml:space="preserve">Sloan (1996) </w:t>
      </w:r>
      <w:r w:rsidR="00BD260B" w:rsidRPr="00BD260B">
        <w:rPr>
          <w:szCs w:val="22"/>
        </w:rPr>
        <w:t xml:space="preserve">is due </w:t>
      </w:r>
      <w:r w:rsidR="005D61E5" w:rsidRPr="00BD260B">
        <w:rPr>
          <w:szCs w:val="22"/>
        </w:rPr>
        <w:t xml:space="preserve">to </w:t>
      </w:r>
      <w:r w:rsidR="00C718E9" w:rsidRPr="00C718E9">
        <w:rPr>
          <w:szCs w:val="22"/>
        </w:rPr>
        <w:t>nondiscretionary</w:t>
      </w:r>
      <w:r w:rsidR="005D61E5" w:rsidRPr="00C718E9">
        <w:rPr>
          <w:szCs w:val="22"/>
        </w:rPr>
        <w:t xml:space="preserve"> </w:t>
      </w:r>
      <w:r w:rsidR="005D61E5" w:rsidRPr="00BD260B">
        <w:rPr>
          <w:szCs w:val="22"/>
        </w:rPr>
        <w:t xml:space="preserve">accruals. </w:t>
      </w:r>
      <w:r w:rsidR="006906F9" w:rsidRPr="00743EDF">
        <w:rPr>
          <w:szCs w:val="22"/>
        </w:rPr>
        <w:t>Nevertheless</w:t>
      </w:r>
      <w:r w:rsidR="00743EDF" w:rsidRPr="00743EDF">
        <w:rPr>
          <w:szCs w:val="22"/>
        </w:rPr>
        <w:t>,</w:t>
      </w:r>
      <w:r w:rsidR="00E321D3">
        <w:rPr>
          <w:szCs w:val="22"/>
        </w:rPr>
        <w:t xml:space="preserve"> </w:t>
      </w:r>
      <w:r w:rsidR="00743EDF" w:rsidRPr="00743EDF">
        <w:rPr>
          <w:szCs w:val="22"/>
        </w:rPr>
        <w:t>the</w:t>
      </w:r>
      <w:r w:rsidR="00F4401C">
        <w:rPr>
          <w:szCs w:val="22"/>
        </w:rPr>
        <w:t xml:space="preserve">re is no such </w:t>
      </w:r>
      <w:r w:rsidR="000076EF" w:rsidRPr="00743EDF">
        <w:rPr>
          <w:szCs w:val="22"/>
        </w:rPr>
        <w:t>agreement</w:t>
      </w:r>
      <w:r w:rsidR="00743EDF" w:rsidRPr="00743EDF">
        <w:rPr>
          <w:szCs w:val="22"/>
        </w:rPr>
        <w:t xml:space="preserve"> </w:t>
      </w:r>
      <w:r w:rsidR="00F4401C">
        <w:rPr>
          <w:szCs w:val="22"/>
        </w:rPr>
        <w:t xml:space="preserve">about the </w:t>
      </w:r>
      <w:r w:rsidR="00F4401C" w:rsidRPr="00743EDF">
        <w:rPr>
          <w:szCs w:val="22"/>
        </w:rPr>
        <w:t>reason</w:t>
      </w:r>
      <w:r w:rsidR="00743EDF" w:rsidRPr="00743EDF">
        <w:rPr>
          <w:szCs w:val="22"/>
        </w:rPr>
        <w:t xml:space="preserve"> </w:t>
      </w:r>
      <w:r w:rsidR="009204B5">
        <w:rPr>
          <w:szCs w:val="22"/>
        </w:rPr>
        <w:t>for</w:t>
      </w:r>
      <w:r w:rsidR="009204B5" w:rsidRPr="00743EDF">
        <w:rPr>
          <w:szCs w:val="22"/>
        </w:rPr>
        <w:t xml:space="preserve"> </w:t>
      </w:r>
      <w:r w:rsidR="00743EDF" w:rsidRPr="00743EDF">
        <w:rPr>
          <w:szCs w:val="22"/>
        </w:rPr>
        <w:t>this anomaly</w:t>
      </w:r>
      <w:r w:rsidR="00F4401C">
        <w:rPr>
          <w:szCs w:val="22"/>
        </w:rPr>
        <w:t xml:space="preserve"> in previous research</w:t>
      </w:r>
      <w:r w:rsidR="00743EDF" w:rsidRPr="005955D2">
        <w:rPr>
          <w:szCs w:val="22"/>
        </w:rPr>
        <w:t xml:space="preserve">. </w:t>
      </w:r>
      <w:r w:rsidR="00B261CF" w:rsidRPr="005955D2">
        <w:rPr>
          <w:szCs w:val="22"/>
        </w:rPr>
        <w:t>As, accruals are the non-cash component of the accounting earnings</w:t>
      </w:r>
      <w:r w:rsidR="00E321D3">
        <w:rPr>
          <w:szCs w:val="22"/>
        </w:rPr>
        <w:t>, they</w:t>
      </w:r>
      <w:r w:rsidR="00B261CF" w:rsidRPr="005955D2">
        <w:rPr>
          <w:szCs w:val="22"/>
        </w:rPr>
        <w:t xml:space="preserve"> can signify adjustments made to cash flows to generate a profit measure. Recent research by Ball et al. (2016) </w:t>
      </w:r>
      <w:r w:rsidR="0022566A" w:rsidRPr="005955D2">
        <w:rPr>
          <w:szCs w:val="22"/>
        </w:rPr>
        <w:t xml:space="preserve">shows that </w:t>
      </w:r>
      <w:r w:rsidR="00B261CF" w:rsidRPr="005955D2">
        <w:rPr>
          <w:szCs w:val="22"/>
        </w:rPr>
        <w:t xml:space="preserve">cash-based operating profitability </w:t>
      </w:r>
      <w:r w:rsidR="0022566A" w:rsidRPr="005955D2">
        <w:rPr>
          <w:szCs w:val="22"/>
        </w:rPr>
        <w:t>incorporates</w:t>
      </w:r>
      <w:r w:rsidR="00B261CF" w:rsidRPr="005955D2">
        <w:rPr>
          <w:szCs w:val="22"/>
        </w:rPr>
        <w:t xml:space="preserve"> accruals in predicting the cross section of average returns. </w:t>
      </w:r>
    </w:p>
    <w:p w:rsidR="009207C7" w:rsidRDefault="00E104F2">
      <w:pPr>
        <w:contextualSpacing/>
        <w:rPr>
          <w:szCs w:val="22"/>
        </w:rPr>
      </w:pPr>
      <w:r>
        <w:rPr>
          <w:szCs w:val="22"/>
        </w:rPr>
        <w:t>M</w:t>
      </w:r>
      <w:r w:rsidR="00AE5D13" w:rsidRPr="002E61EA">
        <w:rPr>
          <w:szCs w:val="22"/>
        </w:rPr>
        <w:t xml:space="preserve">anagement manipulation is </w:t>
      </w:r>
      <w:r>
        <w:rPr>
          <w:szCs w:val="22"/>
        </w:rPr>
        <w:t xml:space="preserve">generally </w:t>
      </w:r>
      <w:r w:rsidR="00AE5D13" w:rsidRPr="002E61EA">
        <w:rPr>
          <w:szCs w:val="22"/>
        </w:rPr>
        <w:t xml:space="preserve">regarded as the most </w:t>
      </w:r>
      <w:r>
        <w:rPr>
          <w:szCs w:val="22"/>
        </w:rPr>
        <w:t>likely</w:t>
      </w:r>
      <w:r w:rsidRPr="002E61EA">
        <w:rPr>
          <w:szCs w:val="22"/>
        </w:rPr>
        <w:t xml:space="preserve"> </w:t>
      </w:r>
      <w:r w:rsidR="00AE5D13" w:rsidRPr="002E61EA">
        <w:rPr>
          <w:szCs w:val="22"/>
        </w:rPr>
        <w:t xml:space="preserve">factor </w:t>
      </w:r>
      <w:r>
        <w:rPr>
          <w:szCs w:val="22"/>
        </w:rPr>
        <w:t>causing</w:t>
      </w:r>
      <w:r w:rsidR="00AE5D13" w:rsidRPr="002E61EA">
        <w:rPr>
          <w:szCs w:val="22"/>
        </w:rPr>
        <w:t xml:space="preserve"> abnormal stock return</w:t>
      </w:r>
      <w:r>
        <w:rPr>
          <w:szCs w:val="22"/>
        </w:rPr>
        <w:t>s</w:t>
      </w:r>
      <w:r w:rsidR="00AE5D13" w:rsidRPr="002E61EA">
        <w:rPr>
          <w:szCs w:val="22"/>
        </w:rPr>
        <w:t xml:space="preserve"> since corporate executives may </w:t>
      </w:r>
      <w:r>
        <w:rPr>
          <w:szCs w:val="22"/>
        </w:rPr>
        <w:t>reduce</w:t>
      </w:r>
      <w:r w:rsidRPr="002E61EA">
        <w:rPr>
          <w:szCs w:val="22"/>
        </w:rPr>
        <w:t xml:space="preserve"> </w:t>
      </w:r>
      <w:r w:rsidR="00AE5D13" w:rsidRPr="002E61EA">
        <w:rPr>
          <w:szCs w:val="22"/>
        </w:rPr>
        <w:t xml:space="preserve">negative accruals by overstating inventory </w:t>
      </w:r>
      <w:r w:rsidR="00E13582">
        <w:rPr>
          <w:szCs w:val="22"/>
        </w:rPr>
        <w:t>then compensating for this by</w:t>
      </w:r>
      <w:r w:rsidR="00AE5D13" w:rsidRPr="002E61EA">
        <w:rPr>
          <w:szCs w:val="22"/>
        </w:rPr>
        <w:t xml:space="preserve"> writ</w:t>
      </w:r>
      <w:r w:rsidR="00E13582">
        <w:rPr>
          <w:szCs w:val="22"/>
        </w:rPr>
        <w:t xml:space="preserve">ing </w:t>
      </w:r>
      <w:r w:rsidR="00AE5D13" w:rsidRPr="002E61EA">
        <w:rPr>
          <w:szCs w:val="22"/>
        </w:rPr>
        <w:t xml:space="preserve">down inventory in the subsequent year (Chan et al. 2006) or </w:t>
      </w:r>
      <w:r w:rsidR="00E13582">
        <w:rPr>
          <w:szCs w:val="22"/>
        </w:rPr>
        <w:t xml:space="preserve">by </w:t>
      </w:r>
      <w:r w:rsidR="00AE5D13" w:rsidRPr="002E61EA">
        <w:rPr>
          <w:szCs w:val="22"/>
        </w:rPr>
        <w:t>restructuring liabilities through reversal (Moe</w:t>
      </w:r>
      <w:r w:rsidR="009704BF">
        <w:rPr>
          <w:szCs w:val="22"/>
        </w:rPr>
        <w:t>rhr</w:t>
      </w:r>
      <w:r w:rsidR="00AE5D13" w:rsidRPr="002E61EA">
        <w:rPr>
          <w:szCs w:val="22"/>
        </w:rPr>
        <w:t>le</w:t>
      </w:r>
      <w:r w:rsidR="00CA0D78">
        <w:rPr>
          <w:szCs w:val="22"/>
        </w:rPr>
        <w:t>,</w:t>
      </w:r>
      <w:r w:rsidR="00AE5D13" w:rsidRPr="002E61EA">
        <w:rPr>
          <w:szCs w:val="22"/>
        </w:rPr>
        <w:t xml:space="preserve"> </w:t>
      </w:r>
      <w:r w:rsidR="00AE5D13" w:rsidRPr="004844D1">
        <w:rPr>
          <w:szCs w:val="22"/>
        </w:rPr>
        <w:t>2002</w:t>
      </w:r>
      <w:r w:rsidR="00AE5D13" w:rsidRPr="002E61EA">
        <w:rPr>
          <w:szCs w:val="22"/>
        </w:rPr>
        <w:t xml:space="preserve">) </w:t>
      </w:r>
      <w:r w:rsidR="00E13582">
        <w:rPr>
          <w:szCs w:val="22"/>
        </w:rPr>
        <w:t>thus</w:t>
      </w:r>
      <w:r w:rsidR="00E13582" w:rsidRPr="002E61EA">
        <w:rPr>
          <w:szCs w:val="22"/>
        </w:rPr>
        <w:t xml:space="preserve"> </w:t>
      </w:r>
      <w:r w:rsidR="00AE5D13" w:rsidRPr="002E61EA">
        <w:rPr>
          <w:szCs w:val="22"/>
        </w:rPr>
        <w:t>ensur</w:t>
      </w:r>
      <w:r w:rsidR="00E13582">
        <w:rPr>
          <w:szCs w:val="22"/>
        </w:rPr>
        <w:t>ing</w:t>
      </w:r>
      <w:r w:rsidR="00AE5D13" w:rsidRPr="002E61EA">
        <w:rPr>
          <w:szCs w:val="22"/>
        </w:rPr>
        <w:t xml:space="preserve"> </w:t>
      </w:r>
      <w:r w:rsidR="00E13582">
        <w:rPr>
          <w:szCs w:val="22"/>
        </w:rPr>
        <w:t>that</w:t>
      </w:r>
      <w:r w:rsidR="00E13582" w:rsidRPr="002E61EA">
        <w:rPr>
          <w:szCs w:val="22"/>
        </w:rPr>
        <w:t xml:space="preserve"> </w:t>
      </w:r>
      <w:r w:rsidR="00AE5D13" w:rsidRPr="002E61EA">
        <w:rPr>
          <w:szCs w:val="22"/>
        </w:rPr>
        <w:t xml:space="preserve">earnings </w:t>
      </w:r>
      <w:r w:rsidR="00E13582">
        <w:rPr>
          <w:szCs w:val="22"/>
        </w:rPr>
        <w:t>do not</w:t>
      </w:r>
      <w:r w:rsidR="00E13582" w:rsidRPr="002E61EA">
        <w:rPr>
          <w:szCs w:val="22"/>
        </w:rPr>
        <w:t xml:space="preserve"> </w:t>
      </w:r>
      <w:r w:rsidR="00AE5D13" w:rsidRPr="002E61EA">
        <w:rPr>
          <w:szCs w:val="22"/>
        </w:rPr>
        <w:t xml:space="preserve">disappoint investors. </w:t>
      </w:r>
      <w:r w:rsidR="00E13582">
        <w:rPr>
          <w:szCs w:val="22"/>
        </w:rPr>
        <w:t>However,</w:t>
      </w:r>
      <w:r w:rsidR="00AE5D13" w:rsidRPr="002E61EA">
        <w:rPr>
          <w:szCs w:val="22"/>
        </w:rPr>
        <w:t xml:space="preserve"> another explanation </w:t>
      </w:r>
      <w:r w:rsidR="00E13582">
        <w:rPr>
          <w:szCs w:val="22"/>
        </w:rPr>
        <w:t xml:space="preserve">is </w:t>
      </w:r>
      <w:r w:rsidR="00AE5D13" w:rsidRPr="002E61EA">
        <w:rPr>
          <w:szCs w:val="22"/>
        </w:rPr>
        <w:t>that deviation of stock price</w:t>
      </w:r>
      <w:r w:rsidR="00E13582">
        <w:rPr>
          <w:szCs w:val="22"/>
        </w:rPr>
        <w:t>s</w:t>
      </w:r>
      <w:r w:rsidR="00AE5D13" w:rsidRPr="002E61EA">
        <w:rPr>
          <w:szCs w:val="22"/>
        </w:rPr>
        <w:t xml:space="preserve"> from their actual values is due to market under</w:t>
      </w:r>
      <w:r w:rsidR="00E13582">
        <w:rPr>
          <w:szCs w:val="22"/>
        </w:rPr>
        <w:t>-</w:t>
      </w:r>
      <w:r w:rsidR="00AE5D13" w:rsidRPr="002E61EA">
        <w:rPr>
          <w:szCs w:val="22"/>
        </w:rPr>
        <w:t xml:space="preserve">reaction of the components of accruals that contain information about operating performance (Chan et al. 2006). In either case, accruals turn out to be overpriced by the market and consequently investors may </w:t>
      </w:r>
      <w:r w:rsidR="00E13582">
        <w:rPr>
          <w:szCs w:val="22"/>
        </w:rPr>
        <w:t>have</w:t>
      </w:r>
      <w:r w:rsidR="00E13582" w:rsidRPr="002E61EA">
        <w:rPr>
          <w:szCs w:val="22"/>
        </w:rPr>
        <w:t xml:space="preserve"> </w:t>
      </w:r>
      <w:r w:rsidR="00AE5D13" w:rsidRPr="002E61EA">
        <w:rPr>
          <w:szCs w:val="22"/>
        </w:rPr>
        <w:t>over</w:t>
      </w:r>
      <w:r w:rsidR="00806B6B">
        <w:rPr>
          <w:szCs w:val="22"/>
        </w:rPr>
        <w:t xml:space="preserve"> </w:t>
      </w:r>
      <w:r w:rsidR="00AE5D13" w:rsidRPr="002E61EA">
        <w:rPr>
          <w:szCs w:val="22"/>
        </w:rPr>
        <w:t xml:space="preserve">optimistic </w:t>
      </w:r>
      <w:r w:rsidR="00E13582">
        <w:rPr>
          <w:szCs w:val="22"/>
        </w:rPr>
        <w:t>expectations</w:t>
      </w:r>
      <w:r w:rsidR="00E13582" w:rsidRPr="002E61EA">
        <w:rPr>
          <w:szCs w:val="22"/>
        </w:rPr>
        <w:t xml:space="preserve"> </w:t>
      </w:r>
      <w:r w:rsidR="00AE5D13" w:rsidRPr="002E61EA">
        <w:rPr>
          <w:szCs w:val="22"/>
        </w:rPr>
        <w:t xml:space="preserve">for stock returns. Therefore, an investigation of </w:t>
      </w:r>
      <w:r w:rsidR="00E13582">
        <w:rPr>
          <w:szCs w:val="22"/>
        </w:rPr>
        <w:t>the</w:t>
      </w:r>
      <w:r w:rsidR="00E13582" w:rsidRPr="002E61EA">
        <w:rPr>
          <w:szCs w:val="22"/>
        </w:rPr>
        <w:t xml:space="preserve"> </w:t>
      </w:r>
      <w:r w:rsidR="00AE5D13" w:rsidRPr="002E61EA">
        <w:rPr>
          <w:szCs w:val="22"/>
        </w:rPr>
        <w:t xml:space="preserve">extent </w:t>
      </w:r>
      <w:r w:rsidR="00E13582">
        <w:rPr>
          <w:szCs w:val="22"/>
        </w:rPr>
        <w:t>to which</w:t>
      </w:r>
      <w:r w:rsidR="00E13582" w:rsidRPr="002E61EA">
        <w:rPr>
          <w:szCs w:val="22"/>
        </w:rPr>
        <w:t xml:space="preserve"> </w:t>
      </w:r>
      <w:r w:rsidR="00AE5D13" w:rsidRPr="002E61EA">
        <w:rPr>
          <w:szCs w:val="22"/>
        </w:rPr>
        <w:t xml:space="preserve">management </w:t>
      </w:r>
      <w:r w:rsidR="00E13582">
        <w:rPr>
          <w:szCs w:val="22"/>
        </w:rPr>
        <w:t xml:space="preserve">can </w:t>
      </w:r>
      <w:r w:rsidR="00AE5D13" w:rsidRPr="002E61EA">
        <w:rPr>
          <w:szCs w:val="22"/>
        </w:rPr>
        <w:t>manipulate accruals in order to achieve high accounting earnings become</w:t>
      </w:r>
      <w:r w:rsidR="00E13582">
        <w:rPr>
          <w:szCs w:val="22"/>
        </w:rPr>
        <w:t>s</w:t>
      </w:r>
      <w:r w:rsidR="00AE5D13" w:rsidRPr="002E61EA">
        <w:rPr>
          <w:szCs w:val="22"/>
        </w:rPr>
        <w:t xml:space="preserve"> necessary.</w:t>
      </w:r>
      <w:r w:rsidR="00FD1A4F">
        <w:rPr>
          <w:color w:val="00B0F0"/>
          <w:szCs w:val="22"/>
        </w:rPr>
        <w:t xml:space="preserve"> </w:t>
      </w:r>
    </w:p>
    <w:p w:rsidR="009207C7" w:rsidRDefault="009207C7">
      <w:pPr>
        <w:contextualSpacing/>
        <w:rPr>
          <w:szCs w:val="22"/>
        </w:rPr>
      </w:pPr>
      <w:r>
        <w:rPr>
          <w:szCs w:val="22"/>
        </w:rPr>
        <w:t>A</w:t>
      </w:r>
      <w:r w:rsidR="00FD1A4F" w:rsidRPr="00905ACC">
        <w:rPr>
          <w:szCs w:val="22"/>
        </w:rPr>
        <w:t xml:space="preserve"> number of studies </w:t>
      </w:r>
      <w:r>
        <w:rPr>
          <w:szCs w:val="22"/>
        </w:rPr>
        <w:t>have</w:t>
      </w:r>
      <w:r w:rsidRPr="00905ACC">
        <w:rPr>
          <w:szCs w:val="22"/>
        </w:rPr>
        <w:t xml:space="preserve"> </w:t>
      </w:r>
      <w:r>
        <w:rPr>
          <w:szCs w:val="22"/>
        </w:rPr>
        <w:t>examined</w:t>
      </w:r>
      <w:r w:rsidRPr="00905ACC">
        <w:rPr>
          <w:szCs w:val="22"/>
        </w:rPr>
        <w:t xml:space="preserve"> </w:t>
      </w:r>
      <w:r w:rsidR="00FD1A4F" w:rsidRPr="00905ACC">
        <w:rPr>
          <w:szCs w:val="22"/>
        </w:rPr>
        <w:t>the implications of accruals for subsequent stock return</w:t>
      </w:r>
      <w:r>
        <w:rPr>
          <w:szCs w:val="22"/>
        </w:rPr>
        <w:t>s.</w:t>
      </w:r>
      <w:r w:rsidR="00692858">
        <w:rPr>
          <w:szCs w:val="22"/>
        </w:rPr>
        <w:t xml:space="preserve"> </w:t>
      </w:r>
      <w:r w:rsidR="00FD1A4F" w:rsidRPr="00630B5C">
        <w:rPr>
          <w:szCs w:val="22"/>
        </w:rPr>
        <w:t>For example,</w:t>
      </w:r>
      <w:r w:rsidR="00615A53" w:rsidRPr="00630B5C">
        <w:rPr>
          <w:szCs w:val="22"/>
        </w:rPr>
        <w:t xml:space="preserve"> </w:t>
      </w:r>
      <w:r w:rsidR="00615A53" w:rsidRPr="00106494">
        <w:rPr>
          <w:szCs w:val="22"/>
        </w:rPr>
        <w:t>Chan et.a</w:t>
      </w:r>
      <w:r w:rsidR="00106494">
        <w:rPr>
          <w:szCs w:val="22"/>
        </w:rPr>
        <w:t xml:space="preserve">l </w:t>
      </w:r>
      <w:r w:rsidR="00FD1A4F" w:rsidRPr="00106494">
        <w:rPr>
          <w:szCs w:val="22"/>
        </w:rPr>
        <w:t>(200</w:t>
      </w:r>
      <w:r w:rsidR="009704BF">
        <w:rPr>
          <w:szCs w:val="22"/>
        </w:rPr>
        <w:t>6</w:t>
      </w:r>
      <w:r w:rsidR="00FD1A4F" w:rsidRPr="00106494">
        <w:rPr>
          <w:szCs w:val="22"/>
        </w:rPr>
        <w:t>)</w:t>
      </w:r>
      <w:r w:rsidR="00FD1A4F" w:rsidRPr="00630B5C">
        <w:rPr>
          <w:szCs w:val="22"/>
        </w:rPr>
        <w:t xml:space="preserve"> show that following FRS3 there is a substantial decrease in </w:t>
      </w:r>
      <w:r w:rsidR="00D0019A" w:rsidRPr="00630B5C">
        <w:rPr>
          <w:szCs w:val="22"/>
        </w:rPr>
        <w:t xml:space="preserve">the stock </w:t>
      </w:r>
      <w:r w:rsidR="00FD1A4F" w:rsidRPr="00630B5C">
        <w:rPr>
          <w:szCs w:val="22"/>
        </w:rPr>
        <w:t xml:space="preserve">return predictability attributable to accruals. </w:t>
      </w:r>
      <w:r w:rsidR="00615A53" w:rsidRPr="00630B5C">
        <w:rPr>
          <w:szCs w:val="22"/>
        </w:rPr>
        <w:t>Dechow et al</w:t>
      </w:r>
      <w:r>
        <w:rPr>
          <w:szCs w:val="22"/>
        </w:rPr>
        <w:t>.</w:t>
      </w:r>
      <w:r w:rsidR="00D0019A" w:rsidRPr="00630B5C">
        <w:rPr>
          <w:szCs w:val="22"/>
        </w:rPr>
        <w:t xml:space="preserve"> </w:t>
      </w:r>
      <w:r>
        <w:rPr>
          <w:szCs w:val="22"/>
        </w:rPr>
        <w:t>(</w:t>
      </w:r>
      <w:r w:rsidR="00D0019A" w:rsidRPr="00630B5C">
        <w:rPr>
          <w:szCs w:val="22"/>
        </w:rPr>
        <w:t>2008</w:t>
      </w:r>
      <w:r>
        <w:rPr>
          <w:szCs w:val="22"/>
        </w:rPr>
        <w:t>) and</w:t>
      </w:r>
      <w:r w:rsidR="00D0019A" w:rsidRPr="00630B5C">
        <w:rPr>
          <w:szCs w:val="22"/>
        </w:rPr>
        <w:t xml:space="preserve"> </w:t>
      </w:r>
      <w:r w:rsidR="00D0019A" w:rsidRPr="00106494">
        <w:rPr>
          <w:szCs w:val="22"/>
        </w:rPr>
        <w:t>Richardson et al</w:t>
      </w:r>
      <w:r w:rsidRPr="00106494">
        <w:rPr>
          <w:szCs w:val="22"/>
        </w:rPr>
        <w:t>.</w:t>
      </w:r>
      <w:r w:rsidR="00D0019A" w:rsidRPr="00630B5C">
        <w:rPr>
          <w:szCs w:val="22"/>
        </w:rPr>
        <w:t xml:space="preserve"> </w:t>
      </w:r>
      <w:r>
        <w:rPr>
          <w:szCs w:val="22"/>
        </w:rPr>
        <w:t>(</w:t>
      </w:r>
      <w:r w:rsidR="00615A53" w:rsidRPr="00630B5C">
        <w:rPr>
          <w:szCs w:val="22"/>
        </w:rPr>
        <w:t>200</w:t>
      </w:r>
      <w:r w:rsidR="009704BF">
        <w:rPr>
          <w:szCs w:val="22"/>
        </w:rPr>
        <w:t>6</w:t>
      </w:r>
      <w:r w:rsidR="00615A53" w:rsidRPr="00630B5C">
        <w:rPr>
          <w:szCs w:val="22"/>
        </w:rPr>
        <w:t>)</w:t>
      </w:r>
      <w:r w:rsidR="00FD1A4F" w:rsidRPr="00630B5C">
        <w:rPr>
          <w:szCs w:val="22"/>
        </w:rPr>
        <w:t xml:space="preserve"> </w:t>
      </w:r>
      <w:r w:rsidR="00D0019A" w:rsidRPr="00630B5C">
        <w:rPr>
          <w:szCs w:val="22"/>
        </w:rPr>
        <w:t>consider</w:t>
      </w:r>
      <w:r w:rsidR="00FD1A4F" w:rsidRPr="00630B5C">
        <w:rPr>
          <w:szCs w:val="22"/>
        </w:rPr>
        <w:t xml:space="preserve"> </w:t>
      </w:r>
      <w:r w:rsidR="00D0019A" w:rsidRPr="00630B5C">
        <w:rPr>
          <w:szCs w:val="22"/>
        </w:rPr>
        <w:t xml:space="preserve">accruals </w:t>
      </w:r>
      <w:r>
        <w:rPr>
          <w:szCs w:val="22"/>
        </w:rPr>
        <w:t>to be</w:t>
      </w:r>
      <w:r w:rsidRPr="00630B5C">
        <w:rPr>
          <w:szCs w:val="22"/>
        </w:rPr>
        <w:t xml:space="preserve"> </w:t>
      </w:r>
      <w:r w:rsidR="00D0019A" w:rsidRPr="00630B5C">
        <w:rPr>
          <w:szCs w:val="22"/>
        </w:rPr>
        <w:t>a measure of efficien</w:t>
      </w:r>
      <w:r>
        <w:rPr>
          <w:szCs w:val="22"/>
        </w:rPr>
        <w:t>c</w:t>
      </w:r>
      <w:r w:rsidR="00D0019A" w:rsidRPr="00630B5C">
        <w:rPr>
          <w:szCs w:val="22"/>
        </w:rPr>
        <w:t xml:space="preserve">y related to investment activity. They </w:t>
      </w:r>
      <w:r>
        <w:rPr>
          <w:szCs w:val="22"/>
        </w:rPr>
        <w:t>show</w:t>
      </w:r>
      <w:r w:rsidRPr="00630B5C">
        <w:rPr>
          <w:szCs w:val="22"/>
        </w:rPr>
        <w:t xml:space="preserve"> </w:t>
      </w:r>
      <w:r w:rsidR="00D0019A" w:rsidRPr="00630B5C">
        <w:rPr>
          <w:szCs w:val="22"/>
        </w:rPr>
        <w:t xml:space="preserve">that </w:t>
      </w:r>
      <w:r w:rsidR="00D0019A" w:rsidRPr="00630B5C">
        <w:t xml:space="preserve">less reliable accruals can lead to lower accounting earnings persistence. For </w:t>
      </w:r>
      <w:r>
        <w:t>this</w:t>
      </w:r>
      <w:r w:rsidRPr="00630B5C">
        <w:t xml:space="preserve"> </w:t>
      </w:r>
      <w:r w:rsidR="00D0019A" w:rsidRPr="00630B5C">
        <w:t xml:space="preserve">reason, </w:t>
      </w:r>
      <w:r w:rsidR="003366C4" w:rsidRPr="00630B5C">
        <w:t>the investors</w:t>
      </w:r>
      <w:r w:rsidR="00D0019A" w:rsidRPr="00630B5C">
        <w:t xml:space="preserve"> </w:t>
      </w:r>
      <w:r w:rsidR="003366C4" w:rsidRPr="00630B5C">
        <w:t xml:space="preserve">would not be aware that </w:t>
      </w:r>
      <w:r w:rsidR="00D0019A" w:rsidRPr="00630B5C">
        <w:t xml:space="preserve">the lower earnings persistence </w:t>
      </w:r>
      <w:r w:rsidR="003366C4" w:rsidRPr="00630B5C">
        <w:t>can lead</w:t>
      </w:r>
      <w:r w:rsidR="00D0019A" w:rsidRPr="00630B5C">
        <w:t xml:space="preserve"> </w:t>
      </w:r>
      <w:r>
        <w:t xml:space="preserve">to </w:t>
      </w:r>
      <w:r w:rsidR="00630B5C" w:rsidRPr="00630B5C">
        <w:t>a</w:t>
      </w:r>
      <w:r w:rsidR="00D0019A" w:rsidRPr="00630B5C">
        <w:t xml:space="preserve"> significant mispricing</w:t>
      </w:r>
      <w:r w:rsidR="00630B5C" w:rsidRPr="00630B5C">
        <w:t xml:space="preserve"> </w:t>
      </w:r>
      <w:r>
        <w:t>of</w:t>
      </w:r>
      <w:r w:rsidRPr="00630B5C">
        <w:t xml:space="preserve"> </w:t>
      </w:r>
      <w:r w:rsidR="00630B5C" w:rsidRPr="00117CFC">
        <w:t>securit</w:t>
      </w:r>
      <w:r>
        <w:t>ies</w:t>
      </w:r>
      <w:r w:rsidR="00D0019A" w:rsidRPr="00117CFC">
        <w:t>.</w:t>
      </w:r>
      <w:r w:rsidR="00B37928" w:rsidRPr="00117CFC">
        <w:rPr>
          <w:szCs w:val="22"/>
        </w:rPr>
        <w:t xml:space="preserve"> </w:t>
      </w:r>
    </w:p>
    <w:p w:rsidR="00F24C44" w:rsidRPr="00117CFC" w:rsidRDefault="00FD1A4F" w:rsidP="007D75D2">
      <w:pPr>
        <w:ind w:firstLine="418"/>
        <w:contextualSpacing/>
        <w:rPr>
          <w:color w:val="00B0F0"/>
          <w:szCs w:val="22"/>
        </w:rPr>
      </w:pPr>
      <w:r w:rsidRPr="00117CFC">
        <w:rPr>
          <w:szCs w:val="22"/>
        </w:rPr>
        <w:t>For</w:t>
      </w:r>
      <w:r w:rsidRPr="00FD1A4F">
        <w:rPr>
          <w:szCs w:val="22"/>
        </w:rPr>
        <w:t xml:space="preserve"> the investigation of accrual anomaly, this paper examine</w:t>
      </w:r>
      <w:r w:rsidR="009207C7">
        <w:rPr>
          <w:szCs w:val="22"/>
        </w:rPr>
        <w:t>s</w:t>
      </w:r>
      <w:r w:rsidR="00A12F8B">
        <w:rPr>
          <w:szCs w:val="22"/>
        </w:rPr>
        <w:t xml:space="preserve"> </w:t>
      </w:r>
      <w:r w:rsidR="009207C7">
        <w:rPr>
          <w:szCs w:val="22"/>
        </w:rPr>
        <w:t>the</w:t>
      </w:r>
      <w:r w:rsidR="009207C7" w:rsidRPr="00FD1A4F">
        <w:rPr>
          <w:szCs w:val="22"/>
        </w:rPr>
        <w:t xml:space="preserve"> </w:t>
      </w:r>
      <w:r w:rsidRPr="00FD1A4F">
        <w:rPr>
          <w:szCs w:val="22"/>
        </w:rPr>
        <w:t xml:space="preserve">extent </w:t>
      </w:r>
      <w:r w:rsidR="009207C7">
        <w:rPr>
          <w:szCs w:val="22"/>
        </w:rPr>
        <w:t>to which</w:t>
      </w:r>
      <w:r w:rsidR="009207C7" w:rsidRPr="00FD1A4F">
        <w:rPr>
          <w:szCs w:val="22"/>
        </w:rPr>
        <w:t xml:space="preserve"> </w:t>
      </w:r>
      <w:r w:rsidRPr="00FD1A4F">
        <w:rPr>
          <w:szCs w:val="22"/>
        </w:rPr>
        <w:t>executive manipulation affects the quality of accounting accruals</w:t>
      </w:r>
      <w:r w:rsidR="009207C7">
        <w:rPr>
          <w:szCs w:val="22"/>
        </w:rPr>
        <w:t>, as opposed to</w:t>
      </w:r>
      <w:r w:rsidRPr="00FD1A4F">
        <w:rPr>
          <w:szCs w:val="22"/>
        </w:rPr>
        <w:t xml:space="preserve"> the accrual changes driven by investment growth. In other word</w:t>
      </w:r>
      <w:r w:rsidR="00E15DBE">
        <w:rPr>
          <w:szCs w:val="22"/>
        </w:rPr>
        <w:t>s</w:t>
      </w:r>
      <w:r w:rsidRPr="00FD1A4F">
        <w:rPr>
          <w:szCs w:val="22"/>
        </w:rPr>
        <w:t>, this paper investigates the accounting distortion component of accruals based on the accrual decomposition proposed by Richardson et al. (2006) since they point out that opportunistic managerial discretion cause</w:t>
      </w:r>
      <w:r w:rsidR="00E15DBE">
        <w:rPr>
          <w:szCs w:val="22"/>
        </w:rPr>
        <w:t>s</w:t>
      </w:r>
      <w:r w:rsidRPr="00FD1A4F">
        <w:rPr>
          <w:szCs w:val="22"/>
        </w:rPr>
        <w:t xml:space="preserve"> accounting distortions and consequently accounting earnings are inflated transitorily</w:t>
      </w:r>
      <w:r w:rsidRPr="00117CFC">
        <w:rPr>
          <w:szCs w:val="22"/>
        </w:rPr>
        <w:t xml:space="preserve">. </w:t>
      </w:r>
      <w:r w:rsidR="008F7042" w:rsidRPr="00117CFC">
        <w:rPr>
          <w:szCs w:val="22"/>
        </w:rPr>
        <w:t xml:space="preserve">Moreover, </w:t>
      </w:r>
      <w:r w:rsidR="00E15DBE">
        <w:rPr>
          <w:szCs w:val="22"/>
        </w:rPr>
        <w:t>this</w:t>
      </w:r>
      <w:r w:rsidR="00E15DBE" w:rsidRPr="00117CFC">
        <w:rPr>
          <w:szCs w:val="22"/>
        </w:rPr>
        <w:t xml:space="preserve"> </w:t>
      </w:r>
      <w:r w:rsidR="008F7042" w:rsidRPr="00117CFC">
        <w:rPr>
          <w:szCs w:val="22"/>
        </w:rPr>
        <w:t xml:space="preserve">study </w:t>
      </w:r>
      <w:r w:rsidR="00117CFC" w:rsidRPr="00117CFC">
        <w:rPr>
          <w:szCs w:val="22"/>
        </w:rPr>
        <w:t>will</w:t>
      </w:r>
      <w:r w:rsidR="008F7042" w:rsidRPr="00117CFC">
        <w:rPr>
          <w:szCs w:val="22"/>
        </w:rPr>
        <w:t xml:space="preserve"> discuss the methods adopted by </w:t>
      </w:r>
      <w:r w:rsidR="00E15DBE">
        <w:rPr>
          <w:szCs w:val="22"/>
        </w:rPr>
        <w:t>previous</w:t>
      </w:r>
      <w:r w:rsidR="00E15DBE" w:rsidRPr="00117CFC">
        <w:rPr>
          <w:szCs w:val="22"/>
        </w:rPr>
        <w:t xml:space="preserve"> </w:t>
      </w:r>
      <w:r w:rsidR="008F7042" w:rsidRPr="00117CFC">
        <w:rPr>
          <w:szCs w:val="22"/>
        </w:rPr>
        <w:t>researchers to investigate the relation</w:t>
      </w:r>
      <w:r w:rsidR="00E15DBE">
        <w:rPr>
          <w:szCs w:val="22"/>
        </w:rPr>
        <w:t>ship</w:t>
      </w:r>
      <w:r w:rsidR="008F7042" w:rsidRPr="00117CFC">
        <w:rPr>
          <w:szCs w:val="22"/>
        </w:rPr>
        <w:t xml:space="preserve"> between accruals and stock return</w:t>
      </w:r>
      <w:r w:rsidR="00E15DBE">
        <w:rPr>
          <w:szCs w:val="22"/>
        </w:rPr>
        <w:t>s</w:t>
      </w:r>
      <w:r w:rsidR="008F7042" w:rsidRPr="00117CFC">
        <w:rPr>
          <w:szCs w:val="22"/>
        </w:rPr>
        <w:t xml:space="preserve">. Subsequently, </w:t>
      </w:r>
      <w:r w:rsidR="00E15DBE">
        <w:rPr>
          <w:szCs w:val="22"/>
        </w:rPr>
        <w:t>we</w:t>
      </w:r>
      <w:r w:rsidR="008F7042" w:rsidRPr="00117CFC">
        <w:rPr>
          <w:szCs w:val="22"/>
        </w:rPr>
        <w:t xml:space="preserve"> will </w:t>
      </w:r>
      <w:r w:rsidR="008F7042" w:rsidRPr="00117CFC">
        <w:rPr>
          <w:szCs w:val="22"/>
        </w:rPr>
        <w:lastRenderedPageBreak/>
        <w:t>examine cross-sectional regressions between stock return</w:t>
      </w:r>
      <w:r w:rsidR="005D6D6A">
        <w:rPr>
          <w:szCs w:val="22"/>
        </w:rPr>
        <w:t>s</w:t>
      </w:r>
      <w:r w:rsidR="008F7042" w:rsidRPr="00117CFC">
        <w:rPr>
          <w:szCs w:val="22"/>
        </w:rPr>
        <w:t xml:space="preserve"> and both accruals and other independent variables on the basis of Papanastasopoulos</w:t>
      </w:r>
      <w:r w:rsidR="00E15DBE">
        <w:rPr>
          <w:szCs w:val="22"/>
        </w:rPr>
        <w:t>’s</w:t>
      </w:r>
      <w:r w:rsidR="008F7042" w:rsidRPr="00117CFC">
        <w:rPr>
          <w:szCs w:val="22"/>
        </w:rPr>
        <w:t xml:space="preserve"> (2015) approach</w:t>
      </w:r>
      <w:r w:rsidR="00E15DBE">
        <w:rPr>
          <w:szCs w:val="22"/>
        </w:rPr>
        <w:t>,</w:t>
      </w:r>
      <w:r w:rsidR="008F7042" w:rsidRPr="00117CFC">
        <w:rPr>
          <w:szCs w:val="22"/>
        </w:rPr>
        <w:t xml:space="preserve"> since </w:t>
      </w:r>
      <w:r w:rsidR="00E15DBE">
        <w:rPr>
          <w:szCs w:val="22"/>
        </w:rPr>
        <w:t>t</w:t>
      </w:r>
      <w:r w:rsidR="008F7042" w:rsidRPr="00117CFC">
        <w:rPr>
          <w:szCs w:val="22"/>
        </w:rPr>
        <w:t xml:space="preserve">his method </w:t>
      </w:r>
      <w:r w:rsidR="00E15DBE">
        <w:rPr>
          <w:szCs w:val="22"/>
        </w:rPr>
        <w:t>is</w:t>
      </w:r>
      <w:r w:rsidR="00E15DBE" w:rsidRPr="00117CFC">
        <w:rPr>
          <w:szCs w:val="22"/>
        </w:rPr>
        <w:t xml:space="preserve"> </w:t>
      </w:r>
      <w:r w:rsidR="008F7042" w:rsidRPr="00117CFC">
        <w:rPr>
          <w:szCs w:val="22"/>
        </w:rPr>
        <w:t xml:space="preserve">superior in </w:t>
      </w:r>
      <w:r w:rsidR="00E15DBE" w:rsidRPr="00117CFC">
        <w:rPr>
          <w:szCs w:val="22"/>
        </w:rPr>
        <w:t xml:space="preserve">distinctly </w:t>
      </w:r>
      <w:r w:rsidR="008F7042" w:rsidRPr="00117CFC">
        <w:rPr>
          <w:szCs w:val="22"/>
        </w:rPr>
        <w:t>showing the coefficients between accruals and stock return and the level of accrual</w:t>
      </w:r>
      <w:r w:rsidR="00E15DBE">
        <w:rPr>
          <w:szCs w:val="22"/>
        </w:rPr>
        <w:t>s</w:t>
      </w:r>
      <w:r w:rsidR="008F7042" w:rsidRPr="00117CFC">
        <w:rPr>
          <w:szCs w:val="22"/>
        </w:rPr>
        <w:t xml:space="preserve"> contributable to returns. </w:t>
      </w:r>
    </w:p>
    <w:p w:rsidR="00F24C44" w:rsidRDefault="006F70E4" w:rsidP="007D75D2">
      <w:pPr>
        <w:ind w:firstLine="418"/>
        <w:contextualSpacing/>
        <w:rPr>
          <w:szCs w:val="22"/>
        </w:rPr>
      </w:pPr>
      <w:r>
        <w:rPr>
          <w:szCs w:val="22"/>
        </w:rPr>
        <w:t>R</w:t>
      </w:r>
      <w:r w:rsidR="002A4EDC" w:rsidRPr="002A4EDC">
        <w:rPr>
          <w:szCs w:val="22"/>
        </w:rPr>
        <w:t>esearchers ha</w:t>
      </w:r>
      <w:r>
        <w:rPr>
          <w:szCs w:val="22"/>
        </w:rPr>
        <w:t>ve</w:t>
      </w:r>
      <w:r w:rsidR="002A4EDC" w:rsidRPr="002A4EDC">
        <w:rPr>
          <w:szCs w:val="22"/>
        </w:rPr>
        <w:t xml:space="preserve"> investigated accrual anomaly </w:t>
      </w:r>
      <w:r>
        <w:rPr>
          <w:szCs w:val="22"/>
        </w:rPr>
        <w:t>o</w:t>
      </w:r>
      <w:r w:rsidR="002A4EDC" w:rsidRPr="002A4EDC">
        <w:rPr>
          <w:szCs w:val="22"/>
        </w:rPr>
        <w:t xml:space="preserve">n an international </w:t>
      </w:r>
      <w:r w:rsidR="001C4C3D">
        <w:rPr>
          <w:szCs w:val="22"/>
        </w:rPr>
        <w:t>and</w:t>
      </w:r>
      <w:r w:rsidR="002A4EDC" w:rsidRPr="002A4EDC">
        <w:rPr>
          <w:szCs w:val="22"/>
        </w:rPr>
        <w:t xml:space="preserve"> regional basis (e.g. the European Union), however, </w:t>
      </w:r>
      <w:r>
        <w:rPr>
          <w:szCs w:val="22"/>
        </w:rPr>
        <w:t>this</w:t>
      </w:r>
      <w:r w:rsidRPr="002A4EDC">
        <w:rPr>
          <w:szCs w:val="22"/>
        </w:rPr>
        <w:t xml:space="preserve"> </w:t>
      </w:r>
      <w:r w:rsidR="002A4EDC" w:rsidRPr="002A4EDC">
        <w:rPr>
          <w:szCs w:val="22"/>
        </w:rPr>
        <w:t>study specifically focus</w:t>
      </w:r>
      <w:r>
        <w:rPr>
          <w:szCs w:val="22"/>
        </w:rPr>
        <w:t>es</w:t>
      </w:r>
      <w:r w:rsidR="002A4EDC" w:rsidRPr="002A4EDC">
        <w:rPr>
          <w:szCs w:val="22"/>
        </w:rPr>
        <w:t xml:space="preserve"> on </w:t>
      </w:r>
      <w:r>
        <w:rPr>
          <w:szCs w:val="22"/>
        </w:rPr>
        <w:t xml:space="preserve">the </w:t>
      </w:r>
      <w:r w:rsidR="002A4EDC" w:rsidRPr="002A4EDC">
        <w:rPr>
          <w:szCs w:val="22"/>
        </w:rPr>
        <w:t xml:space="preserve">accrual anomaly phenomenon in the United Kingdom and aims to examine the correlation between accounting accruals and future stock return. </w:t>
      </w:r>
      <w:r>
        <w:rPr>
          <w:szCs w:val="22"/>
        </w:rPr>
        <w:t>F</w:t>
      </w:r>
      <w:r w:rsidR="002A4EDC" w:rsidRPr="002A4EDC">
        <w:rPr>
          <w:szCs w:val="22"/>
        </w:rPr>
        <w:t xml:space="preserve">irstly </w:t>
      </w:r>
      <w:r>
        <w:rPr>
          <w:szCs w:val="22"/>
        </w:rPr>
        <w:t xml:space="preserve">we shall </w:t>
      </w:r>
      <w:r w:rsidR="002A4EDC" w:rsidRPr="002A4EDC">
        <w:rPr>
          <w:szCs w:val="22"/>
        </w:rPr>
        <w:t xml:space="preserve">review the </w:t>
      </w:r>
      <w:r>
        <w:rPr>
          <w:szCs w:val="22"/>
        </w:rPr>
        <w:t>literature</w:t>
      </w:r>
      <w:r w:rsidRPr="002A4EDC">
        <w:rPr>
          <w:szCs w:val="22"/>
        </w:rPr>
        <w:t xml:space="preserve"> </w:t>
      </w:r>
      <w:r w:rsidR="002A4EDC" w:rsidRPr="002A4EDC">
        <w:rPr>
          <w:szCs w:val="22"/>
        </w:rPr>
        <w:t xml:space="preserve">of the association between accounting accruals and stock return and </w:t>
      </w:r>
      <w:r>
        <w:rPr>
          <w:szCs w:val="22"/>
        </w:rPr>
        <w:t>then</w:t>
      </w:r>
      <w:r w:rsidRPr="002A4EDC">
        <w:rPr>
          <w:szCs w:val="22"/>
        </w:rPr>
        <w:t xml:space="preserve"> </w:t>
      </w:r>
      <w:r w:rsidR="002A4EDC" w:rsidRPr="002A4EDC">
        <w:rPr>
          <w:szCs w:val="22"/>
        </w:rPr>
        <w:t>discuss previous scholars’ approach</w:t>
      </w:r>
      <w:r>
        <w:rPr>
          <w:szCs w:val="22"/>
        </w:rPr>
        <w:t>es</w:t>
      </w:r>
      <w:r w:rsidR="002A4EDC" w:rsidRPr="002A4EDC">
        <w:rPr>
          <w:szCs w:val="22"/>
        </w:rPr>
        <w:t xml:space="preserve"> to investigat</w:t>
      </w:r>
      <w:r w:rsidR="00AE1BBA">
        <w:rPr>
          <w:szCs w:val="22"/>
        </w:rPr>
        <w:t>ing</w:t>
      </w:r>
      <w:r w:rsidR="002A4EDC" w:rsidRPr="002A4EDC">
        <w:rPr>
          <w:szCs w:val="22"/>
        </w:rPr>
        <w:t xml:space="preserve"> accrual anomaly. Secondly, after comparing different methods used by other financial accounting researchers, the most appropriate model will be adapted to examine the quality of accruals </w:t>
      </w:r>
      <w:r>
        <w:rPr>
          <w:szCs w:val="22"/>
        </w:rPr>
        <w:t>for</w:t>
      </w:r>
      <w:r w:rsidRPr="002A4EDC">
        <w:rPr>
          <w:szCs w:val="22"/>
        </w:rPr>
        <w:t xml:space="preserve"> </w:t>
      </w:r>
      <w:r w:rsidR="002A4EDC" w:rsidRPr="002A4EDC">
        <w:rPr>
          <w:szCs w:val="22"/>
        </w:rPr>
        <w:t>predicting stock return</w:t>
      </w:r>
      <w:r>
        <w:rPr>
          <w:szCs w:val="22"/>
        </w:rPr>
        <w:t>s</w:t>
      </w:r>
      <w:r w:rsidR="002A4EDC" w:rsidRPr="002A4EDC">
        <w:rPr>
          <w:szCs w:val="22"/>
        </w:rPr>
        <w:t xml:space="preserve"> using financial data from domestic listed corporations in the </w:t>
      </w:r>
      <w:r>
        <w:rPr>
          <w:szCs w:val="22"/>
        </w:rPr>
        <w:t>UK</w:t>
      </w:r>
      <w:r w:rsidR="002A4EDC" w:rsidRPr="002A4EDC">
        <w:rPr>
          <w:szCs w:val="22"/>
        </w:rPr>
        <w:t>.</w:t>
      </w:r>
    </w:p>
    <w:p w:rsidR="00323474" w:rsidRDefault="0022699C" w:rsidP="007D75D2">
      <w:pPr>
        <w:ind w:firstLine="418"/>
        <w:contextualSpacing/>
        <w:rPr>
          <w:szCs w:val="22"/>
        </w:rPr>
      </w:pPr>
      <w:r w:rsidRPr="00513C66">
        <w:rPr>
          <w:szCs w:val="22"/>
        </w:rPr>
        <w:t xml:space="preserve">Previous studies show that there is a negative </w:t>
      </w:r>
      <w:r w:rsidR="00AE1BBA">
        <w:rPr>
          <w:szCs w:val="22"/>
        </w:rPr>
        <w:t>cor</w:t>
      </w:r>
      <w:r w:rsidRPr="00513C66">
        <w:rPr>
          <w:szCs w:val="22"/>
        </w:rPr>
        <w:t>relation between acc</w:t>
      </w:r>
      <w:r w:rsidR="00F51B83" w:rsidRPr="00513C66">
        <w:rPr>
          <w:szCs w:val="22"/>
        </w:rPr>
        <w:t>ruals and both future accounting earnings and</w:t>
      </w:r>
      <w:r w:rsidRPr="00513C66">
        <w:rPr>
          <w:szCs w:val="22"/>
        </w:rPr>
        <w:t xml:space="preserve"> stock returns, whi</w:t>
      </w:r>
      <w:r w:rsidR="008A1372" w:rsidRPr="00513C66">
        <w:rPr>
          <w:szCs w:val="22"/>
        </w:rPr>
        <w:t xml:space="preserve">ch is </w:t>
      </w:r>
      <w:r w:rsidR="00F51B83" w:rsidRPr="00513C66">
        <w:rPr>
          <w:szCs w:val="22"/>
        </w:rPr>
        <w:t>in accordance with</w:t>
      </w:r>
      <w:r w:rsidR="008A1372" w:rsidRPr="00513C66">
        <w:rPr>
          <w:szCs w:val="22"/>
        </w:rPr>
        <w:t xml:space="preserve"> the concept</w:t>
      </w:r>
      <w:r w:rsidRPr="00513C66">
        <w:rPr>
          <w:szCs w:val="22"/>
        </w:rPr>
        <w:t xml:space="preserve"> of accruals anomaly. </w:t>
      </w:r>
      <w:r w:rsidR="006C1B73" w:rsidRPr="00513C66">
        <w:rPr>
          <w:szCs w:val="22"/>
        </w:rPr>
        <w:t xml:space="preserve">Generally, accounting accruals </w:t>
      </w:r>
      <w:r w:rsidR="006F70E4">
        <w:rPr>
          <w:szCs w:val="22"/>
        </w:rPr>
        <w:t>are</w:t>
      </w:r>
      <w:r w:rsidR="006F70E4" w:rsidRPr="00513C66">
        <w:rPr>
          <w:szCs w:val="22"/>
        </w:rPr>
        <w:t xml:space="preserve"> </w:t>
      </w:r>
      <w:r w:rsidR="006C1B73" w:rsidRPr="00513C66">
        <w:rPr>
          <w:szCs w:val="22"/>
        </w:rPr>
        <w:t xml:space="preserve">capable of anticipating future economic benefits and it is commonly agreed that accrual earnings reflect more accurately a firm’s current performance than </w:t>
      </w:r>
      <w:r w:rsidR="006F70E4">
        <w:rPr>
          <w:szCs w:val="22"/>
        </w:rPr>
        <w:t>just</w:t>
      </w:r>
      <w:r w:rsidR="006F70E4" w:rsidRPr="00513C66">
        <w:rPr>
          <w:szCs w:val="22"/>
        </w:rPr>
        <w:t xml:space="preserve"> </w:t>
      </w:r>
      <w:r w:rsidR="006C1B73" w:rsidRPr="00513C66">
        <w:rPr>
          <w:szCs w:val="22"/>
        </w:rPr>
        <w:t xml:space="preserve">cash flows. </w:t>
      </w:r>
      <w:r w:rsidR="001101FE" w:rsidRPr="00513C66">
        <w:rPr>
          <w:szCs w:val="22"/>
        </w:rPr>
        <w:t xml:space="preserve">Compared with cash accounting, accrual accounting can provide more relevant information to both shareholders and </w:t>
      </w:r>
      <w:r w:rsidR="006F70E4" w:rsidRPr="00513C66">
        <w:rPr>
          <w:szCs w:val="22"/>
        </w:rPr>
        <w:t>investors</w:t>
      </w:r>
      <w:r w:rsidR="006F70E4">
        <w:rPr>
          <w:szCs w:val="22"/>
        </w:rPr>
        <w:t>;</w:t>
      </w:r>
      <w:r w:rsidR="006C1B73" w:rsidRPr="00513C66">
        <w:rPr>
          <w:szCs w:val="22"/>
        </w:rPr>
        <w:t xml:space="preserve"> however it may also introduce bias and error </w:t>
      </w:r>
      <w:r w:rsidR="00D34258" w:rsidRPr="00513C66">
        <w:rPr>
          <w:szCs w:val="22"/>
        </w:rPr>
        <w:t>therefore the quality of accruals</w:t>
      </w:r>
      <w:r w:rsidR="00F024A5" w:rsidRPr="00513C66">
        <w:rPr>
          <w:szCs w:val="22"/>
        </w:rPr>
        <w:t xml:space="preserve"> remain</w:t>
      </w:r>
      <w:r w:rsidR="006F70E4">
        <w:rPr>
          <w:szCs w:val="22"/>
        </w:rPr>
        <w:t>s a</w:t>
      </w:r>
      <w:r w:rsidRPr="00513C66">
        <w:rPr>
          <w:szCs w:val="22"/>
        </w:rPr>
        <w:t xml:space="preserve"> significantly important factor</w:t>
      </w:r>
      <w:r w:rsidR="00616DEF" w:rsidRPr="00513C66">
        <w:rPr>
          <w:szCs w:val="22"/>
        </w:rPr>
        <w:t xml:space="preserve"> </w:t>
      </w:r>
      <w:r w:rsidR="003922B5" w:rsidRPr="00513C66">
        <w:rPr>
          <w:szCs w:val="22"/>
        </w:rPr>
        <w:t>relative to</w:t>
      </w:r>
      <w:r w:rsidR="00616DEF" w:rsidRPr="00513C66">
        <w:rPr>
          <w:szCs w:val="22"/>
        </w:rPr>
        <w:t xml:space="preserve"> stock return</w:t>
      </w:r>
      <w:r w:rsidR="006F70E4">
        <w:rPr>
          <w:szCs w:val="22"/>
        </w:rPr>
        <w:t>s</w:t>
      </w:r>
      <w:r w:rsidR="00D34258" w:rsidRPr="00513C66">
        <w:rPr>
          <w:szCs w:val="22"/>
        </w:rPr>
        <w:t>.</w:t>
      </w:r>
      <w:r w:rsidRPr="00513C66">
        <w:rPr>
          <w:szCs w:val="22"/>
        </w:rPr>
        <w:t xml:space="preserve"> </w:t>
      </w:r>
      <w:r w:rsidR="00EB74E6" w:rsidRPr="00513C66">
        <w:rPr>
          <w:szCs w:val="22"/>
        </w:rPr>
        <w:t xml:space="preserve">When a listed company announces its accounting earnings to the public, the reaction of investors to the news will usually cause changes </w:t>
      </w:r>
      <w:r w:rsidR="006F70E4">
        <w:rPr>
          <w:szCs w:val="22"/>
        </w:rPr>
        <w:t>i</w:t>
      </w:r>
      <w:r w:rsidR="00EB74E6" w:rsidRPr="00513C66">
        <w:rPr>
          <w:szCs w:val="22"/>
        </w:rPr>
        <w:t>n</w:t>
      </w:r>
      <w:r w:rsidR="006F70E4">
        <w:rPr>
          <w:szCs w:val="22"/>
        </w:rPr>
        <w:t xml:space="preserve"> the</w:t>
      </w:r>
      <w:r w:rsidR="00EB74E6" w:rsidRPr="00513C66">
        <w:rPr>
          <w:szCs w:val="22"/>
        </w:rPr>
        <w:t xml:space="preserve"> share price. However, investors’ overreaction</w:t>
      </w:r>
      <w:r w:rsidR="00592820" w:rsidRPr="00513C66">
        <w:rPr>
          <w:szCs w:val="22"/>
        </w:rPr>
        <w:t>s, which happen most of the time, will lead to extraordinary fluctuatio</w:t>
      </w:r>
      <w:r w:rsidR="00DA50CE" w:rsidRPr="00513C66">
        <w:rPr>
          <w:szCs w:val="22"/>
        </w:rPr>
        <w:t xml:space="preserve">ns of share price and </w:t>
      </w:r>
      <w:r w:rsidR="00EB74E6" w:rsidRPr="00513C66">
        <w:rPr>
          <w:szCs w:val="22"/>
        </w:rPr>
        <w:t xml:space="preserve">consequently influence </w:t>
      </w:r>
      <w:r w:rsidR="006B3FB3" w:rsidRPr="00513C66">
        <w:rPr>
          <w:szCs w:val="22"/>
        </w:rPr>
        <w:t>shareholders’ expectation</w:t>
      </w:r>
      <w:r w:rsidR="00EB74E6" w:rsidRPr="00513C66">
        <w:rPr>
          <w:szCs w:val="22"/>
        </w:rPr>
        <w:t>s</w:t>
      </w:r>
      <w:r w:rsidR="006B3FB3" w:rsidRPr="00513C66">
        <w:rPr>
          <w:szCs w:val="22"/>
        </w:rPr>
        <w:t xml:space="preserve"> </w:t>
      </w:r>
      <w:r w:rsidR="006F70E4">
        <w:rPr>
          <w:szCs w:val="22"/>
        </w:rPr>
        <w:t>of</w:t>
      </w:r>
      <w:r w:rsidR="006F70E4" w:rsidRPr="00513C66">
        <w:rPr>
          <w:szCs w:val="22"/>
        </w:rPr>
        <w:t xml:space="preserve"> </w:t>
      </w:r>
      <w:r w:rsidR="006B3FB3" w:rsidRPr="00513C66">
        <w:rPr>
          <w:szCs w:val="22"/>
        </w:rPr>
        <w:t>s</w:t>
      </w:r>
      <w:r w:rsidR="00EB74E6" w:rsidRPr="00513C66">
        <w:rPr>
          <w:szCs w:val="22"/>
        </w:rPr>
        <w:t xml:space="preserve">tock return. </w:t>
      </w:r>
      <w:r w:rsidR="00C6011A" w:rsidRPr="00513C66">
        <w:rPr>
          <w:szCs w:val="22"/>
        </w:rPr>
        <w:t>In addition,</w:t>
      </w:r>
      <w:r w:rsidR="00835AB3" w:rsidRPr="00513C66">
        <w:rPr>
          <w:szCs w:val="22"/>
        </w:rPr>
        <w:t xml:space="preserve"> Healy and Wahlen (1999</w:t>
      </w:r>
      <w:r w:rsidR="00C6011A" w:rsidRPr="00513C66">
        <w:rPr>
          <w:szCs w:val="22"/>
        </w:rPr>
        <w:t xml:space="preserve">) point out </w:t>
      </w:r>
      <w:r w:rsidR="00173AAB" w:rsidRPr="00513C66">
        <w:rPr>
          <w:szCs w:val="22"/>
        </w:rPr>
        <w:t>that</w:t>
      </w:r>
      <w:r w:rsidR="00A774DD" w:rsidRPr="00513C66">
        <w:rPr>
          <w:szCs w:val="22"/>
        </w:rPr>
        <w:t xml:space="preserve"> executive managers</w:t>
      </w:r>
      <w:r w:rsidR="00C6011A" w:rsidRPr="00513C66">
        <w:rPr>
          <w:szCs w:val="22"/>
        </w:rPr>
        <w:t xml:space="preserve"> have</w:t>
      </w:r>
      <w:r w:rsidR="00B62DDD" w:rsidRPr="00513C66">
        <w:rPr>
          <w:szCs w:val="22"/>
        </w:rPr>
        <w:t xml:space="preserve"> the power </w:t>
      </w:r>
      <w:r w:rsidR="008C6508">
        <w:rPr>
          <w:szCs w:val="22"/>
        </w:rPr>
        <w:t>to</w:t>
      </w:r>
      <w:r w:rsidR="008C6508" w:rsidRPr="00513C66">
        <w:rPr>
          <w:szCs w:val="22"/>
        </w:rPr>
        <w:t xml:space="preserve"> </w:t>
      </w:r>
      <w:r w:rsidR="00B62DDD" w:rsidRPr="00513C66">
        <w:rPr>
          <w:szCs w:val="22"/>
        </w:rPr>
        <w:t>manipulat</w:t>
      </w:r>
      <w:r w:rsidR="008C6508">
        <w:rPr>
          <w:szCs w:val="22"/>
        </w:rPr>
        <w:t>e</w:t>
      </w:r>
      <w:r w:rsidR="00B62DDD" w:rsidRPr="00513C66">
        <w:rPr>
          <w:szCs w:val="22"/>
        </w:rPr>
        <w:t xml:space="preserve"> reported earnings op</w:t>
      </w:r>
      <w:r w:rsidR="00A774DD" w:rsidRPr="00513C66">
        <w:rPr>
          <w:szCs w:val="22"/>
        </w:rPr>
        <w:t>portunistically, and consequently</w:t>
      </w:r>
      <w:r w:rsidR="00B62DDD" w:rsidRPr="00513C66">
        <w:rPr>
          <w:szCs w:val="22"/>
        </w:rPr>
        <w:t xml:space="preserve"> shareholders</w:t>
      </w:r>
      <w:r w:rsidR="008C6508">
        <w:rPr>
          <w:szCs w:val="22"/>
        </w:rPr>
        <w:t>’</w:t>
      </w:r>
      <w:r w:rsidR="00B62DDD" w:rsidRPr="00513C66">
        <w:rPr>
          <w:szCs w:val="22"/>
        </w:rPr>
        <w:t xml:space="preserve"> or potential investors’ </w:t>
      </w:r>
      <w:r w:rsidR="00BE7E01" w:rsidRPr="00513C66">
        <w:rPr>
          <w:szCs w:val="22"/>
        </w:rPr>
        <w:t>attempts to distinguish</w:t>
      </w:r>
      <w:r w:rsidR="00B62DDD" w:rsidRPr="00513C66">
        <w:rPr>
          <w:szCs w:val="22"/>
        </w:rPr>
        <w:t xml:space="preserve"> which </w:t>
      </w:r>
      <w:r w:rsidR="00F51B83" w:rsidRPr="00513C66">
        <w:rPr>
          <w:szCs w:val="22"/>
        </w:rPr>
        <w:t>component of accruals is</w:t>
      </w:r>
      <w:r w:rsidR="00B62DDD" w:rsidRPr="00513C66">
        <w:rPr>
          <w:szCs w:val="22"/>
        </w:rPr>
        <w:t xml:space="preserve"> abnormal become even harder.</w:t>
      </w:r>
      <w:r w:rsidR="009C4F6D" w:rsidRPr="00513C66">
        <w:rPr>
          <w:szCs w:val="22"/>
        </w:rPr>
        <w:t xml:space="preserve"> </w:t>
      </w:r>
      <w:r w:rsidR="00DF527E" w:rsidRPr="00513C66">
        <w:rPr>
          <w:szCs w:val="22"/>
        </w:rPr>
        <w:t>As a result, it is important for financial statement use</w:t>
      </w:r>
      <w:r w:rsidR="00F51B83" w:rsidRPr="00513C66">
        <w:rPr>
          <w:szCs w:val="22"/>
        </w:rPr>
        <w:t>rs to identify the tru</w:t>
      </w:r>
      <w:r w:rsidR="006F70E4">
        <w:rPr>
          <w:szCs w:val="22"/>
        </w:rPr>
        <w:t>e</w:t>
      </w:r>
      <w:r w:rsidR="00F51B83" w:rsidRPr="00513C66">
        <w:rPr>
          <w:szCs w:val="22"/>
        </w:rPr>
        <w:t xml:space="preserve"> implications</w:t>
      </w:r>
      <w:r w:rsidR="00DF527E" w:rsidRPr="00513C66">
        <w:rPr>
          <w:szCs w:val="22"/>
        </w:rPr>
        <w:t xml:space="preserve"> of </w:t>
      </w:r>
      <w:r w:rsidR="00F51B83" w:rsidRPr="00513C66">
        <w:rPr>
          <w:szCs w:val="22"/>
        </w:rPr>
        <w:t xml:space="preserve">corporate </w:t>
      </w:r>
      <w:r w:rsidR="00DF527E" w:rsidRPr="00513C66">
        <w:rPr>
          <w:szCs w:val="22"/>
        </w:rPr>
        <w:t xml:space="preserve">accounting earnings shown in the announcement. </w:t>
      </w:r>
      <w:r w:rsidR="00F51B83" w:rsidRPr="00513C66">
        <w:rPr>
          <w:szCs w:val="22"/>
        </w:rPr>
        <w:t>To</w:t>
      </w:r>
      <w:r w:rsidR="00BE7E01" w:rsidRPr="00513C66">
        <w:rPr>
          <w:szCs w:val="22"/>
        </w:rPr>
        <w:t xml:space="preserve"> </w:t>
      </w:r>
      <w:r w:rsidR="00173AAB" w:rsidRPr="00513C66">
        <w:rPr>
          <w:szCs w:val="22"/>
        </w:rPr>
        <w:t>further understand</w:t>
      </w:r>
      <w:r w:rsidR="00C96805" w:rsidRPr="00513C66">
        <w:rPr>
          <w:szCs w:val="22"/>
        </w:rPr>
        <w:t xml:space="preserve"> the relation</w:t>
      </w:r>
      <w:r w:rsidR="00DF527E" w:rsidRPr="00513C66">
        <w:rPr>
          <w:szCs w:val="22"/>
        </w:rPr>
        <w:t>ship</w:t>
      </w:r>
      <w:r w:rsidR="00C96805" w:rsidRPr="00513C66">
        <w:rPr>
          <w:szCs w:val="22"/>
        </w:rPr>
        <w:t xml:space="preserve"> between abnormal accruals and future </w:t>
      </w:r>
      <w:r w:rsidR="00F51B83" w:rsidRPr="00513C66">
        <w:rPr>
          <w:szCs w:val="22"/>
        </w:rPr>
        <w:t xml:space="preserve">stock </w:t>
      </w:r>
      <w:r w:rsidR="00C96805" w:rsidRPr="00513C66">
        <w:rPr>
          <w:szCs w:val="22"/>
        </w:rPr>
        <w:t>returns</w:t>
      </w:r>
      <w:r w:rsidR="004C3F61" w:rsidRPr="00513C66">
        <w:rPr>
          <w:szCs w:val="22"/>
        </w:rPr>
        <w:t xml:space="preserve">, </w:t>
      </w:r>
      <w:r w:rsidR="00DF527E" w:rsidRPr="00513C66">
        <w:rPr>
          <w:szCs w:val="22"/>
        </w:rPr>
        <w:t xml:space="preserve">it is necessary to identify and examine the potential factors </w:t>
      </w:r>
      <w:r w:rsidR="00DE1A89" w:rsidRPr="00513C66">
        <w:rPr>
          <w:szCs w:val="22"/>
        </w:rPr>
        <w:t xml:space="preserve">that </w:t>
      </w:r>
      <w:r w:rsidR="00DF527E" w:rsidRPr="00513C66">
        <w:rPr>
          <w:szCs w:val="22"/>
        </w:rPr>
        <w:t>in</w:t>
      </w:r>
      <w:r w:rsidR="00B03372" w:rsidRPr="00513C66">
        <w:rPr>
          <w:szCs w:val="22"/>
        </w:rPr>
        <w:t>fluence</w:t>
      </w:r>
      <w:r w:rsidR="00E133AB" w:rsidRPr="00513C66">
        <w:rPr>
          <w:szCs w:val="22"/>
        </w:rPr>
        <w:t xml:space="preserve"> accounting earnings</w:t>
      </w:r>
      <w:r w:rsidR="00B03372" w:rsidRPr="00513C66">
        <w:rPr>
          <w:szCs w:val="22"/>
        </w:rPr>
        <w:t xml:space="preserve"> shown in the statement</w:t>
      </w:r>
      <w:r w:rsidR="00E133AB" w:rsidRPr="00513C66">
        <w:rPr>
          <w:szCs w:val="22"/>
        </w:rPr>
        <w:t>.</w:t>
      </w:r>
    </w:p>
    <w:p w:rsidR="00191574" w:rsidRDefault="008E5A5D" w:rsidP="007D75D2">
      <w:pPr>
        <w:ind w:firstLine="418"/>
        <w:contextualSpacing/>
        <w:rPr>
          <w:szCs w:val="22"/>
        </w:rPr>
      </w:pPr>
      <w:r>
        <w:rPr>
          <w:szCs w:val="22"/>
        </w:rPr>
        <w:t xml:space="preserve">In this </w:t>
      </w:r>
      <w:r w:rsidR="00886711">
        <w:rPr>
          <w:szCs w:val="22"/>
        </w:rPr>
        <w:t>study</w:t>
      </w:r>
      <w:r>
        <w:rPr>
          <w:szCs w:val="22"/>
        </w:rPr>
        <w:t>, we argue that</w:t>
      </w:r>
      <w:r w:rsidRPr="00F24C44">
        <w:rPr>
          <w:szCs w:val="22"/>
        </w:rPr>
        <w:t xml:space="preserve"> the accrual anomaly in large capital market</w:t>
      </w:r>
      <w:r>
        <w:rPr>
          <w:szCs w:val="22"/>
        </w:rPr>
        <w:t>s</w:t>
      </w:r>
      <w:r w:rsidRPr="00F24C44">
        <w:rPr>
          <w:szCs w:val="22"/>
        </w:rPr>
        <w:t xml:space="preserve"> has experienced a </w:t>
      </w:r>
      <w:r>
        <w:rPr>
          <w:szCs w:val="22"/>
        </w:rPr>
        <w:t>definite</w:t>
      </w:r>
      <w:r w:rsidRPr="00F24C44">
        <w:rPr>
          <w:szCs w:val="22"/>
        </w:rPr>
        <w:t xml:space="preserve"> change in accounting regulation.</w:t>
      </w:r>
      <w:r>
        <w:rPr>
          <w:color w:val="FF0000"/>
          <w:szCs w:val="22"/>
        </w:rPr>
        <w:t xml:space="preserve"> </w:t>
      </w:r>
      <w:r>
        <w:rPr>
          <w:szCs w:val="22"/>
        </w:rPr>
        <w:t>We</w:t>
      </w:r>
      <w:r w:rsidRPr="00117CFC">
        <w:rPr>
          <w:szCs w:val="22"/>
        </w:rPr>
        <w:t xml:space="preserve"> focus on UK listed companies, where FRS No.3 </w:t>
      </w:r>
      <w:r>
        <w:rPr>
          <w:szCs w:val="22"/>
        </w:rPr>
        <w:t>was</w:t>
      </w:r>
      <w:r w:rsidRPr="00117CFC">
        <w:rPr>
          <w:szCs w:val="22"/>
        </w:rPr>
        <w:t xml:space="preserve"> introduced by </w:t>
      </w:r>
      <w:r>
        <w:rPr>
          <w:szCs w:val="22"/>
        </w:rPr>
        <w:t xml:space="preserve">the </w:t>
      </w:r>
      <w:r w:rsidRPr="00117CFC">
        <w:rPr>
          <w:szCs w:val="22"/>
        </w:rPr>
        <w:t>local Accounting Standard</w:t>
      </w:r>
      <w:r>
        <w:rPr>
          <w:szCs w:val="22"/>
        </w:rPr>
        <w:t>s</w:t>
      </w:r>
      <w:r w:rsidRPr="00117CFC">
        <w:rPr>
          <w:szCs w:val="22"/>
        </w:rPr>
        <w:t xml:space="preserve"> Board in October 1992. FRS3 </w:t>
      </w:r>
      <w:r>
        <w:rPr>
          <w:szCs w:val="22"/>
        </w:rPr>
        <w:t>compels disclosure of</w:t>
      </w:r>
      <w:r w:rsidRPr="00117CFC">
        <w:rPr>
          <w:szCs w:val="22"/>
        </w:rPr>
        <w:t xml:space="preserve"> accounting information which is associated with earnings performance.</w:t>
      </w:r>
      <w:r w:rsidR="00886711">
        <w:rPr>
          <w:szCs w:val="22"/>
        </w:rPr>
        <w:t xml:space="preserve"> The main contribution of this study is</w:t>
      </w:r>
      <w:r w:rsidR="00886711" w:rsidRPr="00905ACC">
        <w:rPr>
          <w:szCs w:val="22"/>
        </w:rPr>
        <w:t xml:space="preserve"> </w:t>
      </w:r>
      <w:r w:rsidR="00886711">
        <w:rPr>
          <w:szCs w:val="22"/>
        </w:rPr>
        <w:t>to investigate</w:t>
      </w:r>
      <w:r w:rsidR="00886711" w:rsidRPr="00905ACC">
        <w:rPr>
          <w:szCs w:val="22"/>
        </w:rPr>
        <w:t xml:space="preserve"> of the quality of accruals in terms of predicting future returns </w:t>
      </w:r>
      <w:r w:rsidR="00886711">
        <w:rPr>
          <w:szCs w:val="22"/>
        </w:rPr>
        <w:t xml:space="preserve">via </w:t>
      </w:r>
      <w:r w:rsidR="00886711" w:rsidRPr="00905ACC">
        <w:rPr>
          <w:szCs w:val="22"/>
        </w:rPr>
        <w:t xml:space="preserve">examining cross-sectional regressions </w:t>
      </w:r>
      <w:r w:rsidR="00886711">
        <w:rPr>
          <w:szCs w:val="22"/>
        </w:rPr>
        <w:t xml:space="preserve">for </w:t>
      </w:r>
      <w:r w:rsidR="00A12F8B">
        <w:rPr>
          <w:szCs w:val="22"/>
        </w:rPr>
        <w:t xml:space="preserve">a </w:t>
      </w:r>
      <w:r w:rsidR="002D69B9">
        <w:rPr>
          <w:szCs w:val="22"/>
        </w:rPr>
        <w:t>period</w:t>
      </w:r>
      <w:r w:rsidR="00886711">
        <w:rPr>
          <w:szCs w:val="22"/>
        </w:rPr>
        <w:t xml:space="preserve"> of 10 years from</w:t>
      </w:r>
      <w:r w:rsidR="00886711" w:rsidRPr="00905ACC">
        <w:rPr>
          <w:szCs w:val="22"/>
        </w:rPr>
        <w:t xml:space="preserve"> 20</w:t>
      </w:r>
      <w:r w:rsidR="00886711">
        <w:rPr>
          <w:szCs w:val="22"/>
        </w:rPr>
        <w:t>08</w:t>
      </w:r>
      <w:r w:rsidR="00886711" w:rsidRPr="00905ACC">
        <w:rPr>
          <w:szCs w:val="22"/>
        </w:rPr>
        <w:t>-20</w:t>
      </w:r>
      <w:r w:rsidR="00886711">
        <w:rPr>
          <w:szCs w:val="22"/>
        </w:rPr>
        <w:t>17</w:t>
      </w:r>
      <w:r w:rsidR="00886711" w:rsidRPr="00905ACC">
        <w:rPr>
          <w:szCs w:val="22"/>
        </w:rPr>
        <w:t xml:space="preserve"> </w:t>
      </w:r>
      <w:r w:rsidR="00886711">
        <w:rPr>
          <w:szCs w:val="22"/>
        </w:rPr>
        <w:t xml:space="preserve">in </w:t>
      </w:r>
      <w:r w:rsidR="00886711" w:rsidRPr="00905ACC">
        <w:rPr>
          <w:szCs w:val="22"/>
        </w:rPr>
        <w:t xml:space="preserve">U.K. </w:t>
      </w:r>
      <w:r w:rsidR="002D69B9">
        <w:rPr>
          <w:szCs w:val="22"/>
        </w:rPr>
        <w:t>firms</w:t>
      </w:r>
      <w:r w:rsidR="00886711" w:rsidRPr="00905ACC">
        <w:rPr>
          <w:szCs w:val="22"/>
        </w:rPr>
        <w:t>.</w:t>
      </w:r>
    </w:p>
    <w:p w:rsidR="00106494" w:rsidRPr="00905ACC" w:rsidRDefault="00106494" w:rsidP="00191574">
      <w:pPr>
        <w:rPr>
          <w:szCs w:val="22"/>
        </w:rPr>
      </w:pPr>
    </w:p>
    <w:p w:rsidR="007F72D4" w:rsidRPr="007D75D2" w:rsidRDefault="00BC7707" w:rsidP="00BC7707">
      <w:pPr>
        <w:ind w:firstLine="0"/>
        <w:contextualSpacing/>
        <w:rPr>
          <w:rFonts w:asciiTheme="majorBidi" w:hAnsiTheme="majorBidi" w:cstheme="majorBidi"/>
          <w:b/>
          <w:szCs w:val="22"/>
        </w:rPr>
      </w:pPr>
      <w:r>
        <w:rPr>
          <w:rFonts w:asciiTheme="majorBidi" w:hAnsiTheme="majorBidi" w:cstheme="majorBidi"/>
          <w:b/>
          <w:szCs w:val="22"/>
        </w:rPr>
        <w:lastRenderedPageBreak/>
        <w:t xml:space="preserve">2. </w:t>
      </w:r>
      <w:r w:rsidR="00F15E03" w:rsidRPr="007D75D2">
        <w:rPr>
          <w:rFonts w:asciiTheme="majorBidi" w:hAnsiTheme="majorBidi" w:cstheme="majorBidi"/>
          <w:b/>
          <w:szCs w:val="22"/>
        </w:rPr>
        <w:t>Literature Review</w:t>
      </w:r>
    </w:p>
    <w:p w:rsidR="001C6398" w:rsidRPr="00513C66" w:rsidRDefault="001C6398" w:rsidP="007D75D2">
      <w:pPr>
        <w:ind w:firstLine="0"/>
        <w:contextualSpacing/>
        <w:outlineLvl w:val="0"/>
        <w:rPr>
          <w:bCs/>
          <w:i/>
          <w:iCs/>
          <w:szCs w:val="22"/>
        </w:rPr>
      </w:pPr>
      <w:r w:rsidRPr="00513C66">
        <w:rPr>
          <w:bCs/>
          <w:i/>
          <w:iCs/>
          <w:szCs w:val="22"/>
        </w:rPr>
        <w:t xml:space="preserve">2.1 </w:t>
      </w:r>
      <w:r w:rsidR="00513C66" w:rsidRPr="00513C66">
        <w:rPr>
          <w:bCs/>
          <w:i/>
          <w:iCs/>
          <w:szCs w:val="22"/>
        </w:rPr>
        <w:t>Abnormal accruals</w:t>
      </w:r>
      <w:r w:rsidR="00E53EAD">
        <w:rPr>
          <w:bCs/>
          <w:i/>
          <w:iCs/>
          <w:szCs w:val="22"/>
        </w:rPr>
        <w:t xml:space="preserve"> and earnings quality</w:t>
      </w:r>
    </w:p>
    <w:p w:rsidR="00A60852" w:rsidRPr="00905ACC" w:rsidRDefault="00F35D19">
      <w:pPr>
        <w:ind w:firstLine="0"/>
        <w:contextualSpacing/>
        <w:rPr>
          <w:szCs w:val="22"/>
        </w:rPr>
      </w:pPr>
      <w:r w:rsidRPr="00905ACC">
        <w:rPr>
          <w:szCs w:val="22"/>
          <w:lang w:val="en-GB"/>
        </w:rPr>
        <w:t xml:space="preserve">There have been </w:t>
      </w:r>
      <w:r w:rsidR="00F14F87" w:rsidRPr="00905ACC">
        <w:rPr>
          <w:szCs w:val="22"/>
          <w:lang w:val="en-GB"/>
        </w:rPr>
        <w:t>a number of</w:t>
      </w:r>
      <w:r w:rsidRPr="00905ACC">
        <w:rPr>
          <w:szCs w:val="22"/>
          <w:lang w:val="en-GB"/>
        </w:rPr>
        <w:t xml:space="preserve"> papers that </w:t>
      </w:r>
      <w:r w:rsidR="006F70E4">
        <w:rPr>
          <w:szCs w:val="22"/>
          <w:lang w:val="en-GB"/>
        </w:rPr>
        <w:t xml:space="preserve">have </w:t>
      </w:r>
      <w:r w:rsidRPr="00905ACC">
        <w:rPr>
          <w:szCs w:val="22"/>
          <w:lang w:val="en-GB"/>
        </w:rPr>
        <w:t xml:space="preserve">researched the </w:t>
      </w:r>
      <w:r w:rsidR="00BE7E01" w:rsidRPr="00905ACC">
        <w:rPr>
          <w:szCs w:val="22"/>
          <w:lang w:val="en-GB"/>
        </w:rPr>
        <w:t>quality of</w:t>
      </w:r>
      <w:r w:rsidRPr="00905ACC">
        <w:rPr>
          <w:szCs w:val="22"/>
          <w:lang w:val="en-GB"/>
        </w:rPr>
        <w:t xml:space="preserve"> accounting earnings and stock return </w:t>
      </w:r>
      <w:r w:rsidR="000301D4">
        <w:rPr>
          <w:szCs w:val="22"/>
          <w:lang w:val="en-GB"/>
        </w:rPr>
        <w:t>over</w:t>
      </w:r>
      <w:r w:rsidR="000301D4" w:rsidRPr="00905ACC">
        <w:rPr>
          <w:szCs w:val="22"/>
          <w:lang w:val="en-GB"/>
        </w:rPr>
        <w:t xml:space="preserve"> </w:t>
      </w:r>
      <w:r w:rsidR="00AE1BBA">
        <w:rPr>
          <w:szCs w:val="22"/>
          <w:lang w:val="en-GB"/>
        </w:rPr>
        <w:t xml:space="preserve">the </w:t>
      </w:r>
      <w:r w:rsidRPr="00905ACC">
        <w:rPr>
          <w:szCs w:val="22"/>
          <w:lang w:val="en-GB"/>
        </w:rPr>
        <w:t xml:space="preserve">last decade. However, the discussion </w:t>
      </w:r>
      <w:r w:rsidR="008C6508">
        <w:rPr>
          <w:szCs w:val="22"/>
          <w:lang w:val="en-GB"/>
        </w:rPr>
        <w:t>has become</w:t>
      </w:r>
      <w:r w:rsidR="008C6508" w:rsidRPr="00905ACC">
        <w:rPr>
          <w:szCs w:val="22"/>
          <w:lang w:val="en-GB"/>
        </w:rPr>
        <w:t xml:space="preserve"> </w:t>
      </w:r>
      <w:r w:rsidRPr="00905ACC">
        <w:rPr>
          <w:szCs w:val="22"/>
          <w:lang w:val="en-GB"/>
        </w:rPr>
        <w:t xml:space="preserve">intensive </w:t>
      </w:r>
      <w:r w:rsidR="000301D4">
        <w:rPr>
          <w:szCs w:val="22"/>
          <w:lang w:val="en-GB"/>
        </w:rPr>
        <w:t>since</w:t>
      </w:r>
      <w:r w:rsidR="000301D4" w:rsidRPr="00905ACC">
        <w:rPr>
          <w:szCs w:val="22"/>
          <w:lang w:val="en-GB"/>
        </w:rPr>
        <w:t xml:space="preserve"> </w:t>
      </w:r>
      <w:r w:rsidRPr="00905ACC">
        <w:rPr>
          <w:szCs w:val="22"/>
          <w:lang w:val="en-GB"/>
        </w:rPr>
        <w:t xml:space="preserve">the </w:t>
      </w:r>
      <w:r w:rsidR="000301D4">
        <w:rPr>
          <w:szCs w:val="22"/>
          <w:lang w:val="en-GB"/>
        </w:rPr>
        <w:t xml:space="preserve">end of the </w:t>
      </w:r>
      <w:r w:rsidRPr="00905ACC">
        <w:rPr>
          <w:szCs w:val="22"/>
          <w:lang w:val="en-GB"/>
        </w:rPr>
        <w:t xml:space="preserve">20th century. </w:t>
      </w:r>
      <w:r w:rsidR="00D1307F" w:rsidRPr="00905ACC">
        <w:rPr>
          <w:szCs w:val="22"/>
          <w:lang w:val="en-GB"/>
        </w:rPr>
        <w:t>To</w:t>
      </w:r>
      <w:r w:rsidR="00F51B83" w:rsidRPr="00905ACC">
        <w:rPr>
          <w:szCs w:val="22"/>
          <w:lang w:val="en-GB"/>
        </w:rPr>
        <w:t xml:space="preserve"> examine</w:t>
      </w:r>
      <w:r w:rsidR="004A2897" w:rsidRPr="00905ACC">
        <w:rPr>
          <w:szCs w:val="22"/>
          <w:lang w:val="en-GB"/>
        </w:rPr>
        <w:t xml:space="preserve"> the </w:t>
      </w:r>
      <w:r w:rsidR="00D1307F" w:rsidRPr="00905ACC">
        <w:rPr>
          <w:szCs w:val="22"/>
          <w:lang w:val="en-GB"/>
        </w:rPr>
        <w:t>Jones (1991) model</w:t>
      </w:r>
      <w:r w:rsidR="002605F0" w:rsidRPr="00905ACC">
        <w:rPr>
          <w:szCs w:val="22"/>
          <w:lang w:val="en-GB"/>
        </w:rPr>
        <w:t xml:space="preserve"> which </w:t>
      </w:r>
      <w:r w:rsidR="00F51B83" w:rsidRPr="00905ACC">
        <w:rPr>
          <w:szCs w:val="22"/>
          <w:lang w:val="en-GB"/>
        </w:rPr>
        <w:t>appraise</w:t>
      </w:r>
      <w:r w:rsidR="002605F0" w:rsidRPr="00905ACC">
        <w:rPr>
          <w:szCs w:val="22"/>
          <w:lang w:val="en-GB"/>
        </w:rPr>
        <w:t xml:space="preserve">s </w:t>
      </w:r>
      <w:r w:rsidR="000301D4">
        <w:rPr>
          <w:szCs w:val="22"/>
          <w:lang w:val="en-GB"/>
        </w:rPr>
        <w:t>whether</w:t>
      </w:r>
      <w:r w:rsidR="000301D4" w:rsidRPr="00905ACC">
        <w:rPr>
          <w:szCs w:val="22"/>
          <w:lang w:val="en-GB"/>
        </w:rPr>
        <w:t xml:space="preserve"> </w:t>
      </w:r>
      <w:r w:rsidR="00701A64" w:rsidRPr="00905ACC">
        <w:rPr>
          <w:szCs w:val="22"/>
          <w:lang w:val="en-GB"/>
        </w:rPr>
        <w:t>share</w:t>
      </w:r>
      <w:r w:rsidR="00D1307F" w:rsidRPr="00905ACC">
        <w:rPr>
          <w:szCs w:val="22"/>
          <w:lang w:val="en-GB"/>
        </w:rPr>
        <w:t xml:space="preserve"> prices </w:t>
      </w:r>
      <w:r w:rsidR="004A2897" w:rsidRPr="00905ACC">
        <w:rPr>
          <w:szCs w:val="22"/>
          <w:lang w:val="en-GB"/>
        </w:rPr>
        <w:t>rational</w:t>
      </w:r>
      <w:r w:rsidR="00D1307F" w:rsidRPr="00905ACC">
        <w:rPr>
          <w:szCs w:val="22"/>
          <w:lang w:val="en-GB"/>
        </w:rPr>
        <w:t>ly ref</w:t>
      </w:r>
      <w:r w:rsidR="00F51B83" w:rsidRPr="00905ACC">
        <w:rPr>
          <w:szCs w:val="22"/>
          <w:lang w:val="en-GB"/>
        </w:rPr>
        <w:t>lect the</w:t>
      </w:r>
      <w:r w:rsidR="00D1307F" w:rsidRPr="00905ACC">
        <w:rPr>
          <w:szCs w:val="22"/>
          <w:lang w:val="en-GB"/>
        </w:rPr>
        <w:t xml:space="preserve"> implications</w:t>
      </w:r>
      <w:r w:rsidR="00253216" w:rsidRPr="00905ACC">
        <w:rPr>
          <w:szCs w:val="22"/>
          <w:lang w:val="en-GB"/>
        </w:rPr>
        <w:t xml:space="preserve"> of one-year-ahead</w:t>
      </w:r>
      <w:r w:rsidR="00F51B83" w:rsidRPr="00905ACC">
        <w:rPr>
          <w:szCs w:val="22"/>
          <w:lang w:val="en-GB"/>
        </w:rPr>
        <w:t xml:space="preserve"> accounting earnings </w:t>
      </w:r>
      <w:r w:rsidR="00D1307F" w:rsidRPr="00905ACC">
        <w:rPr>
          <w:szCs w:val="22"/>
          <w:lang w:val="en-GB"/>
        </w:rPr>
        <w:t xml:space="preserve">of </w:t>
      </w:r>
      <w:r w:rsidR="002605F0" w:rsidRPr="00905ACC">
        <w:rPr>
          <w:szCs w:val="22"/>
          <w:lang w:val="en-GB"/>
        </w:rPr>
        <w:t>abnormal</w:t>
      </w:r>
      <w:r w:rsidR="00D1307F" w:rsidRPr="00905ACC">
        <w:rPr>
          <w:szCs w:val="22"/>
          <w:lang w:val="en-GB"/>
        </w:rPr>
        <w:t xml:space="preserve"> accruals, Subramanyam </w:t>
      </w:r>
      <w:r w:rsidR="000179CA" w:rsidRPr="00905ACC">
        <w:rPr>
          <w:szCs w:val="22"/>
          <w:lang w:val="en-GB"/>
        </w:rPr>
        <w:t xml:space="preserve">(1996) </w:t>
      </w:r>
      <w:r w:rsidR="00742735" w:rsidRPr="00905ACC">
        <w:rPr>
          <w:szCs w:val="22"/>
          <w:lang w:val="en-GB"/>
        </w:rPr>
        <w:t>provides</w:t>
      </w:r>
      <w:r w:rsidR="00C84E33" w:rsidRPr="00905ACC">
        <w:rPr>
          <w:szCs w:val="22"/>
          <w:lang w:val="en-GB"/>
        </w:rPr>
        <w:t xml:space="preserve"> proof</w:t>
      </w:r>
      <w:r w:rsidR="00D1307F" w:rsidRPr="00905ACC">
        <w:rPr>
          <w:szCs w:val="22"/>
          <w:lang w:val="en-GB"/>
        </w:rPr>
        <w:t xml:space="preserve"> that future profitability</w:t>
      </w:r>
      <w:r w:rsidR="00E35B1E" w:rsidRPr="00905ACC">
        <w:rPr>
          <w:szCs w:val="22"/>
          <w:lang w:val="en-GB"/>
        </w:rPr>
        <w:t xml:space="preserve"> has</w:t>
      </w:r>
      <w:r w:rsidR="008C6508">
        <w:rPr>
          <w:szCs w:val="22"/>
          <w:lang w:val="en-GB"/>
        </w:rPr>
        <w:t xml:space="preserve"> a</w:t>
      </w:r>
      <w:r w:rsidR="00742735" w:rsidRPr="00905ACC">
        <w:rPr>
          <w:szCs w:val="22"/>
          <w:lang w:val="en-GB"/>
        </w:rPr>
        <w:t xml:space="preserve"> positive association</w:t>
      </w:r>
      <w:r w:rsidR="00D1307F" w:rsidRPr="00905ACC">
        <w:rPr>
          <w:szCs w:val="22"/>
          <w:lang w:val="en-GB"/>
        </w:rPr>
        <w:t xml:space="preserve"> with abnormal accruals. </w:t>
      </w:r>
      <w:r w:rsidR="00EA3450" w:rsidRPr="00905ACC">
        <w:rPr>
          <w:szCs w:val="22"/>
          <w:lang w:val="en-GB"/>
        </w:rPr>
        <w:t>However</w:t>
      </w:r>
      <w:r w:rsidR="00D1307F" w:rsidRPr="00905ACC">
        <w:rPr>
          <w:szCs w:val="22"/>
          <w:lang w:val="en-GB"/>
        </w:rPr>
        <w:t>,</w:t>
      </w:r>
      <w:r w:rsidR="00D1307F" w:rsidRPr="00905ACC">
        <w:rPr>
          <w:szCs w:val="22"/>
        </w:rPr>
        <w:t xml:space="preserve"> </w:t>
      </w:r>
      <w:r w:rsidR="004F0B81" w:rsidRPr="00905ACC">
        <w:rPr>
          <w:szCs w:val="22"/>
        </w:rPr>
        <w:t>Sloan</w:t>
      </w:r>
      <w:r w:rsidR="00770EB4" w:rsidRPr="00905ACC">
        <w:rPr>
          <w:szCs w:val="22"/>
        </w:rPr>
        <w:t xml:space="preserve"> </w:t>
      </w:r>
      <w:r w:rsidR="004F0B81" w:rsidRPr="00905ACC">
        <w:rPr>
          <w:szCs w:val="22"/>
        </w:rPr>
        <w:t>(1996)</w:t>
      </w:r>
      <w:r w:rsidR="00D05112" w:rsidRPr="00905ACC">
        <w:rPr>
          <w:szCs w:val="22"/>
        </w:rPr>
        <w:t xml:space="preserve"> argues</w:t>
      </w:r>
      <w:r w:rsidR="00E12270" w:rsidRPr="00905ACC">
        <w:rPr>
          <w:szCs w:val="22"/>
        </w:rPr>
        <w:t xml:space="preserve"> that </w:t>
      </w:r>
      <w:r w:rsidR="00E35B1E" w:rsidRPr="00905ACC">
        <w:rPr>
          <w:szCs w:val="22"/>
        </w:rPr>
        <w:t xml:space="preserve">the </w:t>
      </w:r>
      <w:r w:rsidR="004F0B81" w:rsidRPr="00905ACC">
        <w:rPr>
          <w:szCs w:val="22"/>
        </w:rPr>
        <w:t>total accruals</w:t>
      </w:r>
      <w:r w:rsidR="00AE1BBA">
        <w:rPr>
          <w:szCs w:val="22"/>
        </w:rPr>
        <w:t xml:space="preserve"> are</w:t>
      </w:r>
      <w:r w:rsidR="004F0B81" w:rsidRPr="00905ACC">
        <w:rPr>
          <w:szCs w:val="22"/>
        </w:rPr>
        <w:t xml:space="preserve"> </w:t>
      </w:r>
      <w:r w:rsidR="003634A0" w:rsidRPr="00905ACC">
        <w:rPr>
          <w:szCs w:val="22"/>
        </w:rPr>
        <w:t>actually overpriced</w:t>
      </w:r>
      <w:r w:rsidR="00177434" w:rsidRPr="00905ACC">
        <w:rPr>
          <w:szCs w:val="22"/>
        </w:rPr>
        <w:t xml:space="preserve"> by the market </w:t>
      </w:r>
      <w:r w:rsidR="004F0B81" w:rsidRPr="00905ACC">
        <w:rPr>
          <w:szCs w:val="22"/>
        </w:rPr>
        <w:t xml:space="preserve">since </w:t>
      </w:r>
      <w:r w:rsidR="00043D92" w:rsidRPr="00905ACC">
        <w:rPr>
          <w:szCs w:val="22"/>
        </w:rPr>
        <w:t xml:space="preserve">the accrual </w:t>
      </w:r>
      <w:r w:rsidR="00997288" w:rsidRPr="00905ACC">
        <w:rPr>
          <w:szCs w:val="22"/>
        </w:rPr>
        <w:t>component</w:t>
      </w:r>
      <w:r w:rsidR="00043D92" w:rsidRPr="00905ACC">
        <w:rPr>
          <w:szCs w:val="22"/>
        </w:rPr>
        <w:t xml:space="preserve"> of accounting earnings </w:t>
      </w:r>
      <w:r w:rsidR="00E35B1E" w:rsidRPr="00905ACC">
        <w:rPr>
          <w:szCs w:val="22"/>
        </w:rPr>
        <w:t>includes a high level</w:t>
      </w:r>
      <w:r w:rsidR="00043D92" w:rsidRPr="00905ACC">
        <w:rPr>
          <w:szCs w:val="22"/>
        </w:rPr>
        <w:t xml:space="preserve"> of subjectivity </w:t>
      </w:r>
      <w:r w:rsidR="00E35B1E" w:rsidRPr="00905ACC">
        <w:rPr>
          <w:szCs w:val="22"/>
        </w:rPr>
        <w:t xml:space="preserve">but the market fails to reflect it </w:t>
      </w:r>
      <w:r w:rsidR="00043D92" w:rsidRPr="00905ACC">
        <w:rPr>
          <w:szCs w:val="22"/>
        </w:rPr>
        <w:t>and</w:t>
      </w:r>
      <w:r w:rsidR="008C6508">
        <w:rPr>
          <w:szCs w:val="22"/>
        </w:rPr>
        <w:t>,</w:t>
      </w:r>
      <w:r w:rsidR="008C02D6">
        <w:rPr>
          <w:szCs w:val="22"/>
        </w:rPr>
        <w:t xml:space="preserve"> </w:t>
      </w:r>
      <w:r w:rsidR="008C6508">
        <w:rPr>
          <w:szCs w:val="22"/>
        </w:rPr>
        <w:t>therefore,</w:t>
      </w:r>
      <w:r w:rsidR="00043D92" w:rsidRPr="00905ACC">
        <w:rPr>
          <w:szCs w:val="22"/>
        </w:rPr>
        <w:t xml:space="preserve"> </w:t>
      </w:r>
      <w:r w:rsidR="00E35B1E" w:rsidRPr="00905ACC">
        <w:rPr>
          <w:szCs w:val="22"/>
        </w:rPr>
        <w:t xml:space="preserve">he </w:t>
      </w:r>
      <w:r w:rsidR="000301D4" w:rsidRPr="00905ACC">
        <w:rPr>
          <w:szCs w:val="22"/>
        </w:rPr>
        <w:t>p</w:t>
      </w:r>
      <w:r w:rsidR="000301D4">
        <w:rPr>
          <w:szCs w:val="22"/>
        </w:rPr>
        <w:t>ro</w:t>
      </w:r>
      <w:r w:rsidR="000301D4" w:rsidRPr="00905ACC">
        <w:rPr>
          <w:szCs w:val="22"/>
        </w:rPr>
        <w:t xml:space="preserve">posed </w:t>
      </w:r>
      <w:r w:rsidR="005B7669" w:rsidRPr="00905ACC">
        <w:rPr>
          <w:szCs w:val="22"/>
        </w:rPr>
        <w:t>the concept of accrual anomaly</w:t>
      </w:r>
      <w:r w:rsidR="004F0B81" w:rsidRPr="00905ACC">
        <w:rPr>
          <w:szCs w:val="22"/>
        </w:rPr>
        <w:t xml:space="preserve">. </w:t>
      </w:r>
      <w:r w:rsidR="00770EB4" w:rsidRPr="00905ACC">
        <w:rPr>
          <w:szCs w:val="22"/>
        </w:rPr>
        <w:t xml:space="preserve">In order </w:t>
      </w:r>
      <w:r w:rsidR="00D1307F" w:rsidRPr="00905ACC">
        <w:rPr>
          <w:szCs w:val="22"/>
        </w:rPr>
        <w:t>t</w:t>
      </w:r>
      <w:r w:rsidR="00F81029" w:rsidRPr="00905ACC">
        <w:rPr>
          <w:szCs w:val="22"/>
        </w:rPr>
        <w:t xml:space="preserve">o investigate the longstanding view that </w:t>
      </w:r>
      <w:r w:rsidR="004B317B" w:rsidRPr="00905ACC">
        <w:rPr>
          <w:szCs w:val="22"/>
        </w:rPr>
        <w:t xml:space="preserve">investors </w:t>
      </w:r>
      <w:r w:rsidR="00AA7C81" w:rsidRPr="00905ACC">
        <w:rPr>
          <w:szCs w:val="22"/>
        </w:rPr>
        <w:t>overly focus their attentions</w:t>
      </w:r>
      <w:r w:rsidR="004B317B" w:rsidRPr="00905ACC">
        <w:rPr>
          <w:szCs w:val="22"/>
        </w:rPr>
        <w:t xml:space="preserve"> on </w:t>
      </w:r>
      <w:r w:rsidR="000301D4" w:rsidRPr="00905ACC">
        <w:rPr>
          <w:szCs w:val="22"/>
        </w:rPr>
        <w:t>compan</w:t>
      </w:r>
      <w:r w:rsidR="000301D4">
        <w:rPr>
          <w:szCs w:val="22"/>
        </w:rPr>
        <w:t>ie</w:t>
      </w:r>
      <w:r w:rsidR="000301D4" w:rsidRPr="00905ACC">
        <w:rPr>
          <w:szCs w:val="22"/>
        </w:rPr>
        <w:t>s</w:t>
      </w:r>
      <w:r w:rsidR="000301D4">
        <w:rPr>
          <w:szCs w:val="22"/>
        </w:rPr>
        <w:t>’</w:t>
      </w:r>
      <w:r w:rsidR="000301D4" w:rsidRPr="00905ACC">
        <w:rPr>
          <w:szCs w:val="22"/>
        </w:rPr>
        <w:t xml:space="preserve"> </w:t>
      </w:r>
      <w:r w:rsidR="00F81029" w:rsidRPr="00905ACC">
        <w:rPr>
          <w:szCs w:val="22"/>
        </w:rPr>
        <w:t xml:space="preserve">earnings rather than cash generation, Sloan (1996) </w:t>
      </w:r>
      <w:r w:rsidR="00997288" w:rsidRPr="00905ACC">
        <w:rPr>
          <w:szCs w:val="22"/>
        </w:rPr>
        <w:t>provide</w:t>
      </w:r>
      <w:r w:rsidR="00D05112" w:rsidRPr="00905ACC">
        <w:rPr>
          <w:szCs w:val="22"/>
        </w:rPr>
        <w:t>s</w:t>
      </w:r>
      <w:r w:rsidR="00997288" w:rsidRPr="00905ACC">
        <w:rPr>
          <w:szCs w:val="22"/>
        </w:rPr>
        <w:t xml:space="preserve"> evidence</w:t>
      </w:r>
      <w:r w:rsidR="00E12270" w:rsidRPr="00905ACC">
        <w:rPr>
          <w:szCs w:val="22"/>
        </w:rPr>
        <w:t xml:space="preserve"> that </w:t>
      </w:r>
      <w:r w:rsidR="00997288" w:rsidRPr="00905ACC">
        <w:rPr>
          <w:szCs w:val="22"/>
        </w:rPr>
        <w:t>accruals is a negative cross-sectional forecaster of abnormal future return</w:t>
      </w:r>
      <w:r w:rsidR="00D52CC4" w:rsidRPr="00905ACC">
        <w:rPr>
          <w:szCs w:val="22"/>
        </w:rPr>
        <w:t xml:space="preserve"> </w:t>
      </w:r>
      <w:r w:rsidR="00F81029" w:rsidRPr="00905ACC">
        <w:rPr>
          <w:szCs w:val="22"/>
        </w:rPr>
        <w:t xml:space="preserve">by ranking companies based on their </w:t>
      </w:r>
      <w:r w:rsidR="00BD3539" w:rsidRPr="00905ACC">
        <w:rPr>
          <w:szCs w:val="22"/>
        </w:rPr>
        <w:t>accrual</w:t>
      </w:r>
      <w:r w:rsidR="00F81029" w:rsidRPr="00905ACC">
        <w:rPr>
          <w:szCs w:val="22"/>
        </w:rPr>
        <w:t xml:space="preserve"> ratio</w:t>
      </w:r>
      <w:r w:rsidR="00BD3539" w:rsidRPr="00905ACC">
        <w:rPr>
          <w:szCs w:val="22"/>
        </w:rPr>
        <w:t xml:space="preserve"> (i.e. the size of non-cash earnings relative to total assets)</w:t>
      </w:r>
      <w:r w:rsidR="00F81029" w:rsidRPr="00905ACC">
        <w:rPr>
          <w:szCs w:val="22"/>
        </w:rPr>
        <w:t xml:space="preserve"> for last year’</w:t>
      </w:r>
      <w:r w:rsidR="007F72D4" w:rsidRPr="00905ACC">
        <w:rPr>
          <w:szCs w:val="22"/>
        </w:rPr>
        <w:t>s results and then</w:t>
      </w:r>
      <w:r w:rsidR="00CC7A47" w:rsidRPr="00905ACC">
        <w:rPr>
          <w:szCs w:val="22"/>
        </w:rPr>
        <w:t xml:space="preserve"> measur</w:t>
      </w:r>
      <w:r w:rsidR="00BD3539" w:rsidRPr="00905ACC">
        <w:rPr>
          <w:szCs w:val="22"/>
        </w:rPr>
        <w:t>ing the performance of thei</w:t>
      </w:r>
      <w:r w:rsidR="00742735" w:rsidRPr="00905ACC">
        <w:rPr>
          <w:szCs w:val="22"/>
        </w:rPr>
        <w:t>r shares after announcing to the public</w:t>
      </w:r>
      <w:r w:rsidR="00C50652" w:rsidRPr="00905ACC">
        <w:rPr>
          <w:szCs w:val="22"/>
        </w:rPr>
        <w:t>.</w:t>
      </w:r>
      <w:r w:rsidR="005B7669" w:rsidRPr="00905ACC">
        <w:rPr>
          <w:szCs w:val="22"/>
        </w:rPr>
        <w:t xml:space="preserve"> Further, he shows that </w:t>
      </w:r>
      <w:r w:rsidR="002C2BF7" w:rsidRPr="00905ACC">
        <w:rPr>
          <w:szCs w:val="22"/>
        </w:rPr>
        <w:t xml:space="preserve">managers may use </w:t>
      </w:r>
      <w:r w:rsidR="005B7669" w:rsidRPr="00905ACC">
        <w:rPr>
          <w:szCs w:val="22"/>
        </w:rPr>
        <w:t xml:space="preserve">hedge trading </w:t>
      </w:r>
      <w:r w:rsidR="002C2BF7" w:rsidRPr="00905ACC">
        <w:rPr>
          <w:szCs w:val="22"/>
        </w:rPr>
        <w:t>strategies</w:t>
      </w:r>
      <w:r w:rsidR="005B7669" w:rsidRPr="00905ACC">
        <w:rPr>
          <w:szCs w:val="22"/>
        </w:rPr>
        <w:t xml:space="preserve"> </w:t>
      </w:r>
      <w:r w:rsidR="00281C62" w:rsidRPr="00905ACC">
        <w:rPr>
          <w:szCs w:val="22"/>
        </w:rPr>
        <w:t>to sell firms with high accruals through purchas</w:t>
      </w:r>
      <w:r w:rsidR="005B7669" w:rsidRPr="00905ACC">
        <w:rPr>
          <w:szCs w:val="22"/>
        </w:rPr>
        <w:t xml:space="preserve">ing </w:t>
      </w:r>
      <w:r w:rsidR="00082A7F" w:rsidRPr="00905ACC">
        <w:rPr>
          <w:szCs w:val="22"/>
        </w:rPr>
        <w:t>companies with low accruals and posit</w:t>
      </w:r>
      <w:r w:rsidR="002C2BF7" w:rsidRPr="00905ACC">
        <w:rPr>
          <w:szCs w:val="22"/>
        </w:rPr>
        <w:t>ive risk-adjusted returns</w:t>
      </w:r>
      <w:r w:rsidR="00082A7F" w:rsidRPr="00905ACC">
        <w:rPr>
          <w:szCs w:val="22"/>
        </w:rPr>
        <w:t xml:space="preserve">. </w:t>
      </w:r>
      <w:r w:rsidR="007F72D4" w:rsidRPr="00905ACC">
        <w:rPr>
          <w:szCs w:val="22"/>
        </w:rPr>
        <w:t>Furthermore</w:t>
      </w:r>
      <w:r w:rsidR="001405B3" w:rsidRPr="00905ACC">
        <w:rPr>
          <w:szCs w:val="22"/>
        </w:rPr>
        <w:t xml:space="preserve">, </w:t>
      </w:r>
      <w:r w:rsidR="005A3A94" w:rsidRPr="00905ACC">
        <w:rPr>
          <w:szCs w:val="22"/>
        </w:rPr>
        <w:t>Ranga</w:t>
      </w:r>
      <w:r w:rsidR="00D05112" w:rsidRPr="00905ACC">
        <w:rPr>
          <w:szCs w:val="22"/>
        </w:rPr>
        <w:t>n (1998) states</w:t>
      </w:r>
      <w:r w:rsidR="00E12270" w:rsidRPr="00905ACC">
        <w:rPr>
          <w:szCs w:val="22"/>
        </w:rPr>
        <w:t xml:space="preserve"> that </w:t>
      </w:r>
      <w:r w:rsidR="005A3A94" w:rsidRPr="00905ACC">
        <w:rPr>
          <w:szCs w:val="22"/>
        </w:rPr>
        <w:t xml:space="preserve">managers </w:t>
      </w:r>
      <w:r w:rsidR="00B459DF" w:rsidRPr="00905ACC">
        <w:rPr>
          <w:szCs w:val="22"/>
        </w:rPr>
        <w:t xml:space="preserve">usually </w:t>
      </w:r>
      <w:r w:rsidR="00536768" w:rsidRPr="00905ACC">
        <w:rPr>
          <w:szCs w:val="22"/>
        </w:rPr>
        <w:t>select</w:t>
      </w:r>
      <w:r w:rsidR="002F7A0A" w:rsidRPr="00905ACC">
        <w:rPr>
          <w:szCs w:val="22"/>
        </w:rPr>
        <w:t xml:space="preserve"> positive abnormal accruals to </w:t>
      </w:r>
      <w:r w:rsidR="00B459DF" w:rsidRPr="00905ACC">
        <w:rPr>
          <w:szCs w:val="22"/>
        </w:rPr>
        <w:t>raise corporate earnings opportunistical</w:t>
      </w:r>
      <w:r w:rsidR="00536768" w:rsidRPr="00905ACC">
        <w:rPr>
          <w:szCs w:val="22"/>
        </w:rPr>
        <w:t>ly</w:t>
      </w:r>
      <w:r w:rsidR="002F7A0A" w:rsidRPr="00905ACC">
        <w:rPr>
          <w:szCs w:val="22"/>
        </w:rPr>
        <w:t xml:space="preserve"> before </w:t>
      </w:r>
      <w:r w:rsidR="00D52CC4" w:rsidRPr="00905ACC">
        <w:rPr>
          <w:szCs w:val="22"/>
        </w:rPr>
        <w:t>initial public offerings or secondary</w:t>
      </w:r>
      <w:r w:rsidR="002F7A0A" w:rsidRPr="00905ACC">
        <w:rPr>
          <w:szCs w:val="22"/>
        </w:rPr>
        <w:t xml:space="preserve"> equity offerings</w:t>
      </w:r>
      <w:r w:rsidR="00B459DF" w:rsidRPr="00905ACC">
        <w:rPr>
          <w:szCs w:val="22"/>
        </w:rPr>
        <w:t xml:space="preserve"> and</w:t>
      </w:r>
      <w:r w:rsidR="008C02D6">
        <w:rPr>
          <w:szCs w:val="22"/>
        </w:rPr>
        <w:t>,</w:t>
      </w:r>
      <w:r w:rsidR="00B459DF" w:rsidRPr="00905ACC">
        <w:rPr>
          <w:szCs w:val="22"/>
        </w:rPr>
        <w:t xml:space="preserve"> consequently</w:t>
      </w:r>
      <w:r w:rsidR="008C02D6">
        <w:rPr>
          <w:szCs w:val="22"/>
        </w:rPr>
        <w:t>,</w:t>
      </w:r>
      <w:r w:rsidR="00B459DF" w:rsidRPr="00905ACC">
        <w:rPr>
          <w:szCs w:val="22"/>
        </w:rPr>
        <w:t xml:space="preserve"> the market </w:t>
      </w:r>
      <w:r w:rsidR="0080084D" w:rsidRPr="00905ACC">
        <w:rPr>
          <w:szCs w:val="22"/>
        </w:rPr>
        <w:t xml:space="preserve">pricing of these abnormal accruals </w:t>
      </w:r>
      <w:r w:rsidR="00D52CC4" w:rsidRPr="00905ACC">
        <w:rPr>
          <w:szCs w:val="22"/>
        </w:rPr>
        <w:t>turns out to be over-</w:t>
      </w:r>
      <w:r w:rsidR="00AE1BBA">
        <w:rPr>
          <w:szCs w:val="22"/>
        </w:rPr>
        <w:t>valued</w:t>
      </w:r>
      <w:r w:rsidR="00D52CC4" w:rsidRPr="00905ACC">
        <w:rPr>
          <w:szCs w:val="22"/>
        </w:rPr>
        <w:t>.</w:t>
      </w:r>
    </w:p>
    <w:p w:rsidR="00267215" w:rsidRPr="00905ACC" w:rsidRDefault="00333246">
      <w:pPr>
        <w:ind w:firstLineChars="200" w:firstLine="440"/>
        <w:contextualSpacing/>
        <w:rPr>
          <w:szCs w:val="22"/>
        </w:rPr>
      </w:pPr>
      <w:r w:rsidRPr="00905ACC">
        <w:rPr>
          <w:szCs w:val="22"/>
        </w:rPr>
        <w:t xml:space="preserve">Since existing </w:t>
      </w:r>
      <w:r w:rsidR="00AE1BBA">
        <w:rPr>
          <w:szCs w:val="22"/>
        </w:rPr>
        <w:t>studies</w:t>
      </w:r>
      <w:r w:rsidR="00AE1BBA" w:rsidRPr="00905ACC">
        <w:rPr>
          <w:szCs w:val="22"/>
        </w:rPr>
        <w:t xml:space="preserve"> </w:t>
      </w:r>
      <w:r w:rsidR="00742735" w:rsidRPr="00905ACC">
        <w:rPr>
          <w:szCs w:val="22"/>
        </w:rPr>
        <w:t xml:space="preserve">fail to </w:t>
      </w:r>
      <w:r w:rsidR="00DA605A">
        <w:rPr>
          <w:szCs w:val="22"/>
        </w:rPr>
        <w:t>explain</w:t>
      </w:r>
      <w:r w:rsidR="00DA605A" w:rsidRPr="00905ACC">
        <w:rPr>
          <w:szCs w:val="22"/>
        </w:rPr>
        <w:t xml:space="preserve"> </w:t>
      </w:r>
      <w:r w:rsidR="00742735" w:rsidRPr="00905ACC">
        <w:rPr>
          <w:szCs w:val="22"/>
        </w:rPr>
        <w:t xml:space="preserve">the substantial reason </w:t>
      </w:r>
      <w:r w:rsidR="008C02D6">
        <w:rPr>
          <w:szCs w:val="22"/>
        </w:rPr>
        <w:t>for</w:t>
      </w:r>
      <w:r w:rsidR="008C02D6" w:rsidRPr="00905ACC">
        <w:rPr>
          <w:szCs w:val="22"/>
        </w:rPr>
        <w:t xml:space="preserve"> </w:t>
      </w:r>
      <w:r w:rsidR="00742735" w:rsidRPr="00905ACC">
        <w:rPr>
          <w:szCs w:val="22"/>
        </w:rPr>
        <w:t>market overpricing</w:t>
      </w:r>
      <w:r w:rsidR="0092096A" w:rsidRPr="00905ACC">
        <w:rPr>
          <w:szCs w:val="22"/>
        </w:rPr>
        <w:t>, Xie (2001)</w:t>
      </w:r>
      <w:r w:rsidR="00A02B35" w:rsidRPr="00905ACC">
        <w:rPr>
          <w:szCs w:val="22"/>
        </w:rPr>
        <w:t xml:space="preserve"> </w:t>
      </w:r>
      <w:r w:rsidR="00F818B4" w:rsidRPr="00905ACC">
        <w:rPr>
          <w:szCs w:val="22"/>
        </w:rPr>
        <w:t>uses</w:t>
      </w:r>
      <w:r w:rsidR="009E78BB" w:rsidRPr="00905ACC">
        <w:rPr>
          <w:szCs w:val="22"/>
        </w:rPr>
        <w:t xml:space="preserve"> </w:t>
      </w:r>
      <w:r w:rsidR="001405B3" w:rsidRPr="00905ACC">
        <w:rPr>
          <w:szCs w:val="22"/>
        </w:rPr>
        <w:t xml:space="preserve">the hedge-portfolio test </w:t>
      </w:r>
      <w:r w:rsidR="009E78BB" w:rsidRPr="00905ACC">
        <w:rPr>
          <w:szCs w:val="22"/>
        </w:rPr>
        <w:t>and the Mishkin (1983) test</w:t>
      </w:r>
      <w:r w:rsidR="001405B3" w:rsidRPr="00905ACC">
        <w:rPr>
          <w:szCs w:val="22"/>
        </w:rPr>
        <w:t xml:space="preserve"> </w:t>
      </w:r>
      <w:r w:rsidR="00367F9E" w:rsidRPr="00905ACC">
        <w:rPr>
          <w:szCs w:val="22"/>
        </w:rPr>
        <w:t>methods</w:t>
      </w:r>
      <w:r w:rsidR="00367F9E">
        <w:rPr>
          <w:szCs w:val="22"/>
        </w:rPr>
        <w:t xml:space="preserve"> that</w:t>
      </w:r>
      <w:r w:rsidR="007F72D4" w:rsidRPr="00905ACC">
        <w:rPr>
          <w:szCs w:val="22"/>
        </w:rPr>
        <w:t xml:space="preserve"> Sloan (1996) employed</w:t>
      </w:r>
      <w:r w:rsidR="008C02D6">
        <w:rPr>
          <w:szCs w:val="22"/>
        </w:rPr>
        <w:t>,</w:t>
      </w:r>
      <w:r w:rsidR="00A02B35" w:rsidRPr="00905ACC">
        <w:rPr>
          <w:szCs w:val="22"/>
        </w:rPr>
        <w:t xml:space="preserve"> to further examine</w:t>
      </w:r>
      <w:r w:rsidR="00E55B16" w:rsidRPr="00905ACC">
        <w:rPr>
          <w:szCs w:val="22"/>
        </w:rPr>
        <w:t xml:space="preserve"> if </w:t>
      </w:r>
      <w:r w:rsidR="00670E8A" w:rsidRPr="00905ACC">
        <w:rPr>
          <w:szCs w:val="22"/>
        </w:rPr>
        <w:t xml:space="preserve">market </w:t>
      </w:r>
      <w:r w:rsidR="00E55B16" w:rsidRPr="00905ACC">
        <w:rPr>
          <w:szCs w:val="22"/>
        </w:rPr>
        <w:t xml:space="preserve">overpricing </w:t>
      </w:r>
      <w:r w:rsidR="008C02D6">
        <w:rPr>
          <w:szCs w:val="22"/>
        </w:rPr>
        <w:t>is due</w:t>
      </w:r>
      <w:r w:rsidR="008C02D6" w:rsidRPr="00905ACC">
        <w:rPr>
          <w:szCs w:val="22"/>
        </w:rPr>
        <w:t xml:space="preserve"> </w:t>
      </w:r>
      <w:r w:rsidR="00536768" w:rsidRPr="00905ACC">
        <w:rPr>
          <w:szCs w:val="22"/>
        </w:rPr>
        <w:t>to</w:t>
      </w:r>
      <w:r w:rsidR="00E55B16" w:rsidRPr="00905ACC">
        <w:rPr>
          <w:szCs w:val="22"/>
        </w:rPr>
        <w:t xml:space="preserve"> </w:t>
      </w:r>
      <w:r w:rsidR="001F162E" w:rsidRPr="00905ACC">
        <w:rPr>
          <w:szCs w:val="22"/>
        </w:rPr>
        <w:t>normal ac</w:t>
      </w:r>
      <w:r w:rsidR="00061A14" w:rsidRPr="00905ACC">
        <w:rPr>
          <w:szCs w:val="22"/>
        </w:rPr>
        <w:t xml:space="preserve">cruals, </w:t>
      </w:r>
      <w:r w:rsidR="00E55B16" w:rsidRPr="00905ACC">
        <w:rPr>
          <w:szCs w:val="22"/>
        </w:rPr>
        <w:t>ab</w:t>
      </w:r>
      <w:r w:rsidR="00061A14" w:rsidRPr="00905ACC">
        <w:rPr>
          <w:szCs w:val="22"/>
        </w:rPr>
        <w:t>normal accruals, or both. He finds that</w:t>
      </w:r>
      <w:r w:rsidR="00827FB7" w:rsidRPr="00905ACC">
        <w:rPr>
          <w:szCs w:val="22"/>
        </w:rPr>
        <w:t xml:space="preserve"> </w:t>
      </w:r>
      <w:r w:rsidR="00061A14" w:rsidRPr="00905ACC">
        <w:rPr>
          <w:szCs w:val="22"/>
        </w:rPr>
        <w:t>the results of</w:t>
      </w:r>
      <w:r w:rsidR="00AE1BBA">
        <w:rPr>
          <w:szCs w:val="22"/>
        </w:rPr>
        <w:t xml:space="preserve"> the</w:t>
      </w:r>
      <w:r w:rsidR="00061A14" w:rsidRPr="00905ACC">
        <w:rPr>
          <w:szCs w:val="22"/>
        </w:rPr>
        <w:t xml:space="preserve"> Mishkin</w:t>
      </w:r>
      <w:r w:rsidR="00392E7C" w:rsidRPr="00905ACC">
        <w:rPr>
          <w:szCs w:val="22"/>
        </w:rPr>
        <w:t xml:space="preserve"> (1983)</w:t>
      </w:r>
      <w:r w:rsidR="00E55B16" w:rsidRPr="00905ACC">
        <w:rPr>
          <w:szCs w:val="22"/>
        </w:rPr>
        <w:t xml:space="preserve"> test suggest that both </w:t>
      </w:r>
      <w:r w:rsidR="00670E8A" w:rsidRPr="00905ACC">
        <w:rPr>
          <w:szCs w:val="22"/>
        </w:rPr>
        <w:t xml:space="preserve">the </w:t>
      </w:r>
      <w:r w:rsidR="001F6247" w:rsidRPr="00905ACC">
        <w:rPr>
          <w:szCs w:val="22"/>
        </w:rPr>
        <w:t>ab</w:t>
      </w:r>
      <w:r w:rsidR="00061A14" w:rsidRPr="00905ACC">
        <w:rPr>
          <w:szCs w:val="22"/>
        </w:rPr>
        <w:t xml:space="preserve">normal and normal accruals </w:t>
      </w:r>
      <w:r w:rsidR="001F6247" w:rsidRPr="00905ACC">
        <w:rPr>
          <w:szCs w:val="22"/>
        </w:rPr>
        <w:t xml:space="preserve">are overpriced by the market </w:t>
      </w:r>
      <w:r w:rsidR="005255FE" w:rsidRPr="00905ACC">
        <w:rPr>
          <w:szCs w:val="22"/>
        </w:rPr>
        <w:t>though</w:t>
      </w:r>
      <w:r w:rsidR="001F6247" w:rsidRPr="00905ACC">
        <w:rPr>
          <w:szCs w:val="22"/>
        </w:rPr>
        <w:t xml:space="preserve"> the overweight</w:t>
      </w:r>
      <w:r w:rsidR="00670E8A" w:rsidRPr="00905ACC">
        <w:rPr>
          <w:szCs w:val="22"/>
        </w:rPr>
        <w:t xml:space="preserve">ing of abnormal </w:t>
      </w:r>
      <w:r w:rsidR="008C02D6">
        <w:rPr>
          <w:szCs w:val="22"/>
        </w:rPr>
        <w:t>ones</w:t>
      </w:r>
      <w:r w:rsidR="008C02D6" w:rsidRPr="00905ACC">
        <w:rPr>
          <w:szCs w:val="22"/>
        </w:rPr>
        <w:t xml:space="preserve"> </w:t>
      </w:r>
      <w:r w:rsidR="00670E8A" w:rsidRPr="00905ACC">
        <w:rPr>
          <w:szCs w:val="22"/>
        </w:rPr>
        <w:t>appears</w:t>
      </w:r>
      <w:r w:rsidR="00061A14" w:rsidRPr="00905ACC">
        <w:rPr>
          <w:szCs w:val="22"/>
        </w:rPr>
        <w:t xml:space="preserve"> stronger while </w:t>
      </w:r>
      <w:r w:rsidR="00536768" w:rsidRPr="00905ACC">
        <w:rPr>
          <w:szCs w:val="22"/>
        </w:rPr>
        <w:t xml:space="preserve">the result of </w:t>
      </w:r>
      <w:r w:rsidR="008C02D6">
        <w:rPr>
          <w:szCs w:val="22"/>
        </w:rPr>
        <w:t xml:space="preserve">the </w:t>
      </w:r>
      <w:r w:rsidR="00536768" w:rsidRPr="00905ACC">
        <w:rPr>
          <w:szCs w:val="22"/>
        </w:rPr>
        <w:t>hedge-portfolio test</w:t>
      </w:r>
      <w:r w:rsidR="00670E8A" w:rsidRPr="00905ACC">
        <w:rPr>
          <w:szCs w:val="22"/>
        </w:rPr>
        <w:t xml:space="preserve"> only shows that the abnormal component of accruals are overpriced</w:t>
      </w:r>
      <w:r w:rsidR="008C02D6">
        <w:rPr>
          <w:szCs w:val="22"/>
        </w:rPr>
        <w:t>.</w:t>
      </w:r>
      <w:r w:rsidR="00670E8A" w:rsidRPr="00905ACC">
        <w:rPr>
          <w:szCs w:val="22"/>
        </w:rPr>
        <w:t xml:space="preserve"> </w:t>
      </w:r>
      <w:r w:rsidR="008C02D6">
        <w:rPr>
          <w:szCs w:val="22"/>
        </w:rPr>
        <w:t>H</w:t>
      </w:r>
      <w:r w:rsidR="005255FE" w:rsidRPr="00905ACC">
        <w:rPr>
          <w:szCs w:val="22"/>
        </w:rPr>
        <w:t xml:space="preserve">e </w:t>
      </w:r>
      <w:r w:rsidR="008C02D6">
        <w:rPr>
          <w:szCs w:val="22"/>
        </w:rPr>
        <w:t>further</w:t>
      </w:r>
      <w:r w:rsidR="008C02D6" w:rsidRPr="00905ACC">
        <w:rPr>
          <w:szCs w:val="22"/>
        </w:rPr>
        <w:t xml:space="preserve"> </w:t>
      </w:r>
      <w:r w:rsidR="007F72D4" w:rsidRPr="00905ACC">
        <w:rPr>
          <w:szCs w:val="22"/>
        </w:rPr>
        <w:t>conclude</w:t>
      </w:r>
      <w:r w:rsidR="008C02D6">
        <w:rPr>
          <w:szCs w:val="22"/>
        </w:rPr>
        <w:t>s</w:t>
      </w:r>
      <w:r w:rsidR="001F162E" w:rsidRPr="00905ACC">
        <w:rPr>
          <w:szCs w:val="22"/>
        </w:rPr>
        <w:t xml:space="preserve"> </w:t>
      </w:r>
      <w:r w:rsidR="00430D58" w:rsidRPr="00905ACC">
        <w:rPr>
          <w:szCs w:val="22"/>
        </w:rPr>
        <w:t>that the market over-evaluate</w:t>
      </w:r>
      <w:r w:rsidR="00E55B16" w:rsidRPr="00905ACC">
        <w:rPr>
          <w:szCs w:val="22"/>
        </w:rPr>
        <w:t xml:space="preserve">s </w:t>
      </w:r>
      <w:r w:rsidR="00430D58" w:rsidRPr="00905ACC">
        <w:rPr>
          <w:szCs w:val="22"/>
        </w:rPr>
        <w:t xml:space="preserve">the </w:t>
      </w:r>
      <w:r w:rsidR="000C1D25" w:rsidRPr="00905ACC">
        <w:rPr>
          <w:szCs w:val="22"/>
        </w:rPr>
        <w:t>sustainability</w:t>
      </w:r>
      <w:r w:rsidR="00430D58" w:rsidRPr="00905ACC">
        <w:rPr>
          <w:szCs w:val="22"/>
        </w:rPr>
        <w:t xml:space="preserve"> of </w:t>
      </w:r>
      <w:r w:rsidR="008C02D6">
        <w:rPr>
          <w:szCs w:val="22"/>
        </w:rPr>
        <w:t xml:space="preserve">the </w:t>
      </w:r>
      <w:r w:rsidR="00430D58" w:rsidRPr="00905ACC">
        <w:rPr>
          <w:szCs w:val="22"/>
        </w:rPr>
        <w:t xml:space="preserve">abnormal </w:t>
      </w:r>
      <w:r w:rsidR="006D305F" w:rsidRPr="00905ACC">
        <w:rPr>
          <w:szCs w:val="22"/>
        </w:rPr>
        <w:t xml:space="preserve">portion of </w:t>
      </w:r>
      <w:r w:rsidR="00430D58" w:rsidRPr="00905ACC">
        <w:rPr>
          <w:szCs w:val="22"/>
        </w:rPr>
        <w:t>accruals</w:t>
      </w:r>
      <w:r w:rsidR="0092096A" w:rsidRPr="00905ACC">
        <w:rPr>
          <w:szCs w:val="22"/>
        </w:rPr>
        <w:t xml:space="preserve">, or </w:t>
      </w:r>
      <w:r w:rsidR="00E55B16" w:rsidRPr="00905ACC">
        <w:rPr>
          <w:szCs w:val="22"/>
        </w:rPr>
        <w:t xml:space="preserve">its </w:t>
      </w:r>
      <w:r w:rsidR="00256385" w:rsidRPr="00905ACC">
        <w:rPr>
          <w:szCs w:val="22"/>
        </w:rPr>
        <w:t xml:space="preserve">one-year-ahead </w:t>
      </w:r>
      <w:r w:rsidR="0092096A" w:rsidRPr="00905ACC">
        <w:rPr>
          <w:szCs w:val="22"/>
        </w:rPr>
        <w:t xml:space="preserve">earnings implications </w:t>
      </w:r>
      <w:r w:rsidR="00670E8A" w:rsidRPr="00905ACC">
        <w:rPr>
          <w:szCs w:val="22"/>
        </w:rPr>
        <w:t>and</w:t>
      </w:r>
      <w:r w:rsidR="008C02D6">
        <w:rPr>
          <w:szCs w:val="22"/>
        </w:rPr>
        <w:t>,</w:t>
      </w:r>
      <w:r w:rsidR="00670E8A" w:rsidRPr="00905ACC">
        <w:rPr>
          <w:szCs w:val="22"/>
        </w:rPr>
        <w:t xml:space="preserve"> as a result</w:t>
      </w:r>
      <w:r w:rsidR="008C02D6">
        <w:rPr>
          <w:szCs w:val="22"/>
        </w:rPr>
        <w:t>,</w:t>
      </w:r>
      <w:r w:rsidR="00670E8A" w:rsidRPr="00905ACC">
        <w:rPr>
          <w:szCs w:val="22"/>
        </w:rPr>
        <w:t xml:space="preserve"> overprices</w:t>
      </w:r>
      <w:r w:rsidR="001405B3" w:rsidRPr="00905ACC">
        <w:rPr>
          <w:szCs w:val="22"/>
        </w:rPr>
        <w:t xml:space="preserve"> these accruals</w:t>
      </w:r>
      <w:r w:rsidR="008C02D6">
        <w:rPr>
          <w:szCs w:val="22"/>
        </w:rPr>
        <w:t>.</w:t>
      </w:r>
      <w:r w:rsidR="00670E8A" w:rsidRPr="00905ACC">
        <w:rPr>
          <w:szCs w:val="22"/>
        </w:rPr>
        <w:t xml:space="preserve"> </w:t>
      </w:r>
      <w:r w:rsidR="008C02D6">
        <w:rPr>
          <w:szCs w:val="22"/>
        </w:rPr>
        <w:t>However,</w:t>
      </w:r>
      <w:r w:rsidR="008C02D6" w:rsidRPr="00905ACC">
        <w:rPr>
          <w:szCs w:val="22"/>
        </w:rPr>
        <w:t xml:space="preserve"> </w:t>
      </w:r>
      <w:r w:rsidR="001F162E" w:rsidRPr="00905ACC">
        <w:rPr>
          <w:szCs w:val="22"/>
        </w:rPr>
        <w:t>the</w:t>
      </w:r>
      <w:r w:rsidR="00670E8A" w:rsidRPr="00905ACC">
        <w:rPr>
          <w:szCs w:val="22"/>
        </w:rPr>
        <w:t>re is no strong evidence for</w:t>
      </w:r>
      <w:r w:rsidR="001F162E" w:rsidRPr="00905ACC">
        <w:rPr>
          <w:szCs w:val="22"/>
        </w:rPr>
        <w:t xml:space="preserve"> the overpricing </w:t>
      </w:r>
      <w:r w:rsidR="00E55B16" w:rsidRPr="00905ACC">
        <w:rPr>
          <w:szCs w:val="22"/>
        </w:rPr>
        <w:t xml:space="preserve">of </w:t>
      </w:r>
      <w:r w:rsidR="0063010A" w:rsidRPr="00905ACC">
        <w:rPr>
          <w:szCs w:val="22"/>
        </w:rPr>
        <w:t xml:space="preserve">the </w:t>
      </w:r>
      <w:r w:rsidR="00E55B16" w:rsidRPr="00905ACC">
        <w:rPr>
          <w:szCs w:val="22"/>
        </w:rPr>
        <w:t xml:space="preserve">normal </w:t>
      </w:r>
      <w:r w:rsidR="0063010A" w:rsidRPr="00905ACC">
        <w:rPr>
          <w:szCs w:val="22"/>
        </w:rPr>
        <w:t>component</w:t>
      </w:r>
      <w:r w:rsidR="00E55B16" w:rsidRPr="00905ACC">
        <w:rPr>
          <w:szCs w:val="22"/>
        </w:rPr>
        <w:t xml:space="preserve"> </w:t>
      </w:r>
      <w:r w:rsidR="00430D58" w:rsidRPr="00905ACC">
        <w:rPr>
          <w:szCs w:val="22"/>
        </w:rPr>
        <w:t xml:space="preserve">and </w:t>
      </w:r>
      <w:r w:rsidR="00670E8A" w:rsidRPr="00905ACC">
        <w:rPr>
          <w:szCs w:val="22"/>
        </w:rPr>
        <w:t>he point</w:t>
      </w:r>
      <w:r w:rsidR="008C02D6">
        <w:rPr>
          <w:szCs w:val="22"/>
        </w:rPr>
        <w:t>s</w:t>
      </w:r>
      <w:r w:rsidR="00670E8A" w:rsidRPr="00905ACC">
        <w:rPr>
          <w:szCs w:val="22"/>
        </w:rPr>
        <w:t xml:space="preserve"> out that the</w:t>
      </w:r>
      <w:r w:rsidR="0007609E" w:rsidRPr="00905ACC">
        <w:rPr>
          <w:szCs w:val="22"/>
        </w:rPr>
        <w:t xml:space="preserve"> </w:t>
      </w:r>
      <w:r w:rsidR="008C02D6">
        <w:rPr>
          <w:szCs w:val="22"/>
        </w:rPr>
        <w:t xml:space="preserve">reason for the </w:t>
      </w:r>
      <w:r w:rsidR="0007609E" w:rsidRPr="00905ACC">
        <w:rPr>
          <w:szCs w:val="22"/>
        </w:rPr>
        <w:t xml:space="preserve">abnormal </w:t>
      </w:r>
      <w:r w:rsidR="00256385" w:rsidRPr="00905ACC">
        <w:rPr>
          <w:szCs w:val="22"/>
        </w:rPr>
        <w:t>portion</w:t>
      </w:r>
      <w:r w:rsidR="00670E8A" w:rsidRPr="00905ACC">
        <w:rPr>
          <w:szCs w:val="22"/>
        </w:rPr>
        <w:t xml:space="preserve"> of </w:t>
      </w:r>
      <w:r w:rsidR="0007609E" w:rsidRPr="00905ACC">
        <w:rPr>
          <w:szCs w:val="22"/>
        </w:rPr>
        <w:t xml:space="preserve">accruals </w:t>
      </w:r>
      <w:r w:rsidR="008C02D6">
        <w:rPr>
          <w:szCs w:val="22"/>
        </w:rPr>
        <w:t xml:space="preserve">being </w:t>
      </w:r>
      <w:r w:rsidR="0007609E" w:rsidRPr="00905ACC">
        <w:rPr>
          <w:szCs w:val="22"/>
        </w:rPr>
        <w:t>overpriced by the market stem</w:t>
      </w:r>
      <w:r w:rsidR="008C02D6">
        <w:rPr>
          <w:szCs w:val="22"/>
        </w:rPr>
        <w:t>s</w:t>
      </w:r>
      <w:r w:rsidR="0007609E" w:rsidRPr="00905ACC">
        <w:rPr>
          <w:szCs w:val="22"/>
        </w:rPr>
        <w:t xml:space="preserve"> from managerial discretion</w:t>
      </w:r>
      <w:r w:rsidR="001405B3" w:rsidRPr="00905ACC">
        <w:rPr>
          <w:szCs w:val="22"/>
        </w:rPr>
        <w:t>.</w:t>
      </w:r>
      <w:r w:rsidR="00DA605A">
        <w:rPr>
          <w:szCs w:val="22"/>
        </w:rPr>
        <w:t xml:space="preserve"> </w:t>
      </w:r>
      <w:r w:rsidR="007F72D4" w:rsidRPr="00905ACC">
        <w:rPr>
          <w:szCs w:val="22"/>
        </w:rPr>
        <w:t>Xie</w:t>
      </w:r>
      <w:r w:rsidR="00C43804" w:rsidRPr="00905ACC">
        <w:rPr>
          <w:szCs w:val="22"/>
        </w:rPr>
        <w:t>’s</w:t>
      </w:r>
      <w:r w:rsidR="007F72D4" w:rsidRPr="00905ACC">
        <w:rPr>
          <w:szCs w:val="22"/>
        </w:rPr>
        <w:t xml:space="preserve"> (2001) </w:t>
      </w:r>
      <w:r w:rsidR="00C43804" w:rsidRPr="00905ACC">
        <w:rPr>
          <w:szCs w:val="22"/>
        </w:rPr>
        <w:t>findi</w:t>
      </w:r>
      <w:r w:rsidR="007A0805" w:rsidRPr="00905ACC">
        <w:rPr>
          <w:szCs w:val="22"/>
        </w:rPr>
        <w:t>ngs extend</w:t>
      </w:r>
      <w:r w:rsidR="00C43804" w:rsidRPr="00905ACC">
        <w:rPr>
          <w:szCs w:val="22"/>
        </w:rPr>
        <w:t xml:space="preserve"> Sloan’s (1996) paper </w:t>
      </w:r>
      <w:r w:rsidR="0035243E" w:rsidRPr="00905ACC">
        <w:rPr>
          <w:szCs w:val="22"/>
        </w:rPr>
        <w:t xml:space="preserve">and provide </w:t>
      </w:r>
      <w:r w:rsidR="00C43804" w:rsidRPr="00905ACC">
        <w:rPr>
          <w:szCs w:val="22"/>
        </w:rPr>
        <w:t xml:space="preserve">further </w:t>
      </w:r>
      <w:r w:rsidR="008520A8" w:rsidRPr="00905ACC">
        <w:rPr>
          <w:szCs w:val="22"/>
        </w:rPr>
        <w:t>proof</w:t>
      </w:r>
      <w:r w:rsidR="0035243E" w:rsidRPr="00905ACC">
        <w:rPr>
          <w:szCs w:val="22"/>
        </w:rPr>
        <w:t xml:space="preserve"> </w:t>
      </w:r>
      <w:r w:rsidR="00C43804" w:rsidRPr="00905ACC">
        <w:rPr>
          <w:szCs w:val="22"/>
        </w:rPr>
        <w:t xml:space="preserve">that </w:t>
      </w:r>
      <w:r w:rsidR="001F162E" w:rsidRPr="00905ACC">
        <w:rPr>
          <w:szCs w:val="22"/>
        </w:rPr>
        <w:t xml:space="preserve">the overpricing of total accruals </w:t>
      </w:r>
      <w:r w:rsidR="0035243E" w:rsidRPr="00905ACC">
        <w:rPr>
          <w:szCs w:val="22"/>
        </w:rPr>
        <w:t xml:space="preserve">is </w:t>
      </w:r>
      <w:r w:rsidR="004065C2" w:rsidRPr="00905ACC">
        <w:rPr>
          <w:szCs w:val="22"/>
        </w:rPr>
        <w:t>most</w:t>
      </w:r>
      <w:r w:rsidR="001F162E" w:rsidRPr="00905ACC">
        <w:rPr>
          <w:szCs w:val="22"/>
        </w:rPr>
        <w:t xml:space="preserve">ly </w:t>
      </w:r>
      <w:r w:rsidR="008520A8" w:rsidRPr="00905ACC">
        <w:rPr>
          <w:szCs w:val="22"/>
        </w:rPr>
        <w:t>owing to</w:t>
      </w:r>
      <w:r w:rsidR="00256385" w:rsidRPr="00905ACC">
        <w:rPr>
          <w:szCs w:val="22"/>
        </w:rPr>
        <w:t xml:space="preserve"> the abnormal component</w:t>
      </w:r>
      <w:r w:rsidR="001F162E" w:rsidRPr="00905ACC">
        <w:rPr>
          <w:szCs w:val="22"/>
        </w:rPr>
        <w:t>.</w:t>
      </w:r>
      <w:r w:rsidR="00EC0B7F" w:rsidRPr="00905ACC">
        <w:rPr>
          <w:szCs w:val="22"/>
        </w:rPr>
        <w:t xml:space="preserve"> Secondly, he provides further evidence for</w:t>
      </w:r>
      <w:r w:rsidR="00FD5A7C" w:rsidRPr="00905ACC">
        <w:rPr>
          <w:szCs w:val="22"/>
        </w:rPr>
        <w:t xml:space="preserve"> Subramanyam’</w:t>
      </w:r>
      <w:r w:rsidR="00EC0B7F" w:rsidRPr="00905ACC">
        <w:rPr>
          <w:szCs w:val="22"/>
        </w:rPr>
        <w:t xml:space="preserve">s (1996) </w:t>
      </w:r>
      <w:r w:rsidR="00DA605A">
        <w:rPr>
          <w:szCs w:val="22"/>
        </w:rPr>
        <w:t>conclusions</w:t>
      </w:r>
      <w:r w:rsidR="00DA605A" w:rsidRPr="00905ACC">
        <w:rPr>
          <w:szCs w:val="22"/>
        </w:rPr>
        <w:t xml:space="preserve"> </w:t>
      </w:r>
      <w:r w:rsidR="00FD5A7C" w:rsidRPr="00905ACC">
        <w:rPr>
          <w:szCs w:val="22"/>
        </w:rPr>
        <w:t xml:space="preserve">and shows that </w:t>
      </w:r>
      <w:r w:rsidR="008D6EBE" w:rsidRPr="00905ACC">
        <w:rPr>
          <w:szCs w:val="22"/>
        </w:rPr>
        <w:t xml:space="preserve">the abnormal </w:t>
      </w:r>
      <w:r w:rsidR="00EC58E6" w:rsidRPr="00905ACC">
        <w:rPr>
          <w:szCs w:val="22"/>
        </w:rPr>
        <w:t>portion</w:t>
      </w:r>
      <w:r w:rsidR="00EC0B7F" w:rsidRPr="00905ACC">
        <w:rPr>
          <w:szCs w:val="22"/>
        </w:rPr>
        <w:t xml:space="preserve"> of </w:t>
      </w:r>
      <w:r w:rsidR="008D6EBE" w:rsidRPr="00905ACC">
        <w:rPr>
          <w:szCs w:val="22"/>
        </w:rPr>
        <w:t xml:space="preserve">accruals that </w:t>
      </w:r>
      <w:r w:rsidR="00DA605A">
        <w:rPr>
          <w:szCs w:val="22"/>
        </w:rPr>
        <w:t xml:space="preserve">are </w:t>
      </w:r>
      <w:r w:rsidR="008D6EBE" w:rsidRPr="00905ACC">
        <w:rPr>
          <w:szCs w:val="22"/>
        </w:rPr>
        <w:t xml:space="preserve">overestimated by the market </w:t>
      </w:r>
      <w:r w:rsidR="00EC0B7F" w:rsidRPr="00905ACC">
        <w:rPr>
          <w:szCs w:val="22"/>
        </w:rPr>
        <w:t>are related to</w:t>
      </w:r>
      <w:r w:rsidR="008D6EBE" w:rsidRPr="00905ACC">
        <w:rPr>
          <w:szCs w:val="22"/>
        </w:rPr>
        <w:t xml:space="preserve"> their correlation with </w:t>
      </w:r>
      <w:r w:rsidR="00EC58E6" w:rsidRPr="00905ACC">
        <w:rPr>
          <w:szCs w:val="22"/>
        </w:rPr>
        <w:t>one-year-ahead</w:t>
      </w:r>
      <w:r w:rsidR="00EC0B7F" w:rsidRPr="00905ACC">
        <w:rPr>
          <w:szCs w:val="22"/>
        </w:rPr>
        <w:t xml:space="preserve"> </w:t>
      </w:r>
      <w:r w:rsidR="008D6EBE" w:rsidRPr="00905ACC">
        <w:rPr>
          <w:szCs w:val="22"/>
        </w:rPr>
        <w:t>earnings. Furthermore, his paper extends Rangan’s (1998)</w:t>
      </w:r>
      <w:r w:rsidR="0041282E" w:rsidRPr="00905ACC">
        <w:rPr>
          <w:szCs w:val="22"/>
        </w:rPr>
        <w:t xml:space="preserve"> findings</w:t>
      </w:r>
      <w:r w:rsidR="008D6EBE" w:rsidRPr="00905ACC">
        <w:rPr>
          <w:szCs w:val="22"/>
        </w:rPr>
        <w:t xml:space="preserve"> by pr</w:t>
      </w:r>
      <w:r w:rsidR="00AE1BBA">
        <w:rPr>
          <w:szCs w:val="22"/>
        </w:rPr>
        <w:t>o</w:t>
      </w:r>
      <w:r w:rsidR="008D6EBE" w:rsidRPr="00905ACC">
        <w:rPr>
          <w:szCs w:val="22"/>
        </w:rPr>
        <w:t>posing that the occurrence</w:t>
      </w:r>
      <w:r w:rsidR="0038403E" w:rsidRPr="00905ACC">
        <w:rPr>
          <w:szCs w:val="22"/>
        </w:rPr>
        <w:t xml:space="preserve"> of overpric</w:t>
      </w:r>
      <w:r w:rsidR="008D6EBE" w:rsidRPr="00905ACC">
        <w:rPr>
          <w:szCs w:val="22"/>
        </w:rPr>
        <w:t>ing of abnormal accruals is not restricted to seasoned equity offerings or IPOs.</w:t>
      </w:r>
      <w:r w:rsidR="00DA605A">
        <w:rPr>
          <w:szCs w:val="22"/>
        </w:rPr>
        <w:t xml:space="preserve"> </w:t>
      </w:r>
      <w:r w:rsidR="00367F9E">
        <w:rPr>
          <w:szCs w:val="22"/>
        </w:rPr>
        <w:t xml:space="preserve">On the other hand, </w:t>
      </w:r>
      <w:r w:rsidR="00A60852" w:rsidRPr="00367F9E">
        <w:rPr>
          <w:szCs w:val="22"/>
        </w:rPr>
        <w:t>Moehele (2002)</w:t>
      </w:r>
      <w:r w:rsidR="00A60852" w:rsidRPr="00905ACC">
        <w:rPr>
          <w:szCs w:val="22"/>
        </w:rPr>
        <w:t xml:space="preserve"> </w:t>
      </w:r>
      <w:r w:rsidR="003E5C32" w:rsidRPr="00905ACC">
        <w:rPr>
          <w:szCs w:val="22"/>
        </w:rPr>
        <w:t xml:space="preserve">finds that companies </w:t>
      </w:r>
      <w:r w:rsidR="00DA605A">
        <w:rPr>
          <w:szCs w:val="22"/>
        </w:rPr>
        <w:t xml:space="preserve">which </w:t>
      </w:r>
      <w:r w:rsidR="003E5C32" w:rsidRPr="00905ACC">
        <w:rPr>
          <w:szCs w:val="22"/>
        </w:rPr>
        <w:t>previous</w:t>
      </w:r>
      <w:r w:rsidR="00A60852" w:rsidRPr="00905ACC">
        <w:rPr>
          <w:szCs w:val="22"/>
        </w:rPr>
        <w:t>ly record</w:t>
      </w:r>
      <w:r w:rsidR="00DA605A">
        <w:rPr>
          <w:szCs w:val="22"/>
        </w:rPr>
        <w:t>ed</w:t>
      </w:r>
      <w:r w:rsidR="00A60852" w:rsidRPr="00905ACC">
        <w:rPr>
          <w:szCs w:val="22"/>
        </w:rPr>
        <w:t xml:space="preserve"> </w:t>
      </w:r>
      <w:r w:rsidR="0038403E" w:rsidRPr="00905ACC">
        <w:rPr>
          <w:szCs w:val="22"/>
        </w:rPr>
        <w:t xml:space="preserve">huge </w:t>
      </w:r>
      <w:r w:rsidR="00A60852" w:rsidRPr="00905ACC">
        <w:rPr>
          <w:szCs w:val="22"/>
        </w:rPr>
        <w:t xml:space="preserve">liabilities </w:t>
      </w:r>
      <w:r w:rsidR="0038403E" w:rsidRPr="00905ACC">
        <w:rPr>
          <w:szCs w:val="22"/>
        </w:rPr>
        <w:t xml:space="preserve">are restructured to account </w:t>
      </w:r>
      <w:r w:rsidR="00DA605A">
        <w:rPr>
          <w:szCs w:val="22"/>
        </w:rPr>
        <w:t xml:space="preserve">for them </w:t>
      </w:r>
      <w:r w:rsidR="00A60852" w:rsidRPr="00905ACC">
        <w:rPr>
          <w:szCs w:val="22"/>
        </w:rPr>
        <w:t>and later reverse the</w:t>
      </w:r>
      <w:r w:rsidR="0038403E" w:rsidRPr="00905ACC">
        <w:rPr>
          <w:szCs w:val="22"/>
        </w:rPr>
        <w:t>se</w:t>
      </w:r>
      <w:r w:rsidR="00A60852" w:rsidRPr="00905ACC">
        <w:rPr>
          <w:szCs w:val="22"/>
        </w:rPr>
        <w:t xml:space="preserve"> liabilities</w:t>
      </w:r>
      <w:r w:rsidR="0038403E" w:rsidRPr="00905ACC">
        <w:rPr>
          <w:szCs w:val="22"/>
        </w:rPr>
        <w:t xml:space="preserve"> </w:t>
      </w:r>
      <w:r w:rsidR="0038403E" w:rsidRPr="00905ACC">
        <w:rPr>
          <w:szCs w:val="22"/>
        </w:rPr>
        <w:lastRenderedPageBreak/>
        <w:t>using strategies to achieve</w:t>
      </w:r>
      <w:r w:rsidR="00A60852" w:rsidRPr="00905ACC">
        <w:rPr>
          <w:szCs w:val="22"/>
        </w:rPr>
        <w:t xml:space="preserve"> </w:t>
      </w:r>
      <w:r w:rsidR="003E5C32" w:rsidRPr="00905ACC">
        <w:rPr>
          <w:szCs w:val="22"/>
        </w:rPr>
        <w:t xml:space="preserve">the corporate </w:t>
      </w:r>
      <w:r w:rsidR="0038403E" w:rsidRPr="00905ACC">
        <w:rPr>
          <w:szCs w:val="22"/>
        </w:rPr>
        <w:t>earnings goal</w:t>
      </w:r>
      <w:r w:rsidR="00A60852" w:rsidRPr="00905ACC">
        <w:rPr>
          <w:szCs w:val="22"/>
        </w:rPr>
        <w:t xml:space="preserve">s by examining the reversal of restructuring liability accruals. </w:t>
      </w:r>
      <w:r w:rsidR="004144F0" w:rsidRPr="00905ACC">
        <w:rPr>
          <w:szCs w:val="22"/>
        </w:rPr>
        <w:t>Meanwhile, Thomas an</w:t>
      </w:r>
      <w:r w:rsidR="00D05112" w:rsidRPr="00905ACC">
        <w:rPr>
          <w:szCs w:val="22"/>
        </w:rPr>
        <w:t>d Zhang (2002) provide</w:t>
      </w:r>
      <w:r w:rsidR="003E5C32" w:rsidRPr="00905ACC">
        <w:rPr>
          <w:szCs w:val="22"/>
        </w:rPr>
        <w:t xml:space="preserve"> proof</w:t>
      </w:r>
      <w:r w:rsidR="004144F0" w:rsidRPr="00905ACC">
        <w:rPr>
          <w:szCs w:val="22"/>
        </w:rPr>
        <w:t xml:space="preserve"> that</w:t>
      </w:r>
      <w:r w:rsidR="00B162AE">
        <w:rPr>
          <w:szCs w:val="22"/>
        </w:rPr>
        <w:t xml:space="preserve"> </w:t>
      </w:r>
      <w:r w:rsidR="004144F0" w:rsidRPr="00905ACC">
        <w:rPr>
          <w:szCs w:val="22"/>
        </w:rPr>
        <w:t>inventory a</w:t>
      </w:r>
      <w:r w:rsidR="003E5C32" w:rsidRPr="00905ACC">
        <w:rPr>
          <w:szCs w:val="22"/>
        </w:rPr>
        <w:t xml:space="preserve">ccruals are strongly </w:t>
      </w:r>
      <w:r w:rsidR="004144F0" w:rsidRPr="00905ACC">
        <w:rPr>
          <w:szCs w:val="22"/>
        </w:rPr>
        <w:t xml:space="preserve">in </w:t>
      </w:r>
      <w:r w:rsidR="003E5C32" w:rsidRPr="00905ACC">
        <w:rPr>
          <w:szCs w:val="22"/>
        </w:rPr>
        <w:t>negative correla</w:t>
      </w:r>
      <w:r w:rsidR="004144F0" w:rsidRPr="00905ACC">
        <w:rPr>
          <w:szCs w:val="22"/>
        </w:rPr>
        <w:t>tion with future stock returns.</w:t>
      </w:r>
      <w:r w:rsidR="00267215" w:rsidRPr="00905ACC">
        <w:rPr>
          <w:szCs w:val="22"/>
        </w:rPr>
        <w:t xml:space="preserve"> Dec</w:t>
      </w:r>
      <w:r w:rsidR="00BD5E7C" w:rsidRPr="00905ACC">
        <w:rPr>
          <w:szCs w:val="22"/>
        </w:rPr>
        <w:t>how and Ge (2006) show</w:t>
      </w:r>
      <w:r w:rsidR="006816B9">
        <w:rPr>
          <w:szCs w:val="22"/>
        </w:rPr>
        <w:t>s</w:t>
      </w:r>
      <w:r w:rsidR="003E5C32" w:rsidRPr="00905ACC">
        <w:rPr>
          <w:szCs w:val="22"/>
        </w:rPr>
        <w:t xml:space="preserve"> evidence</w:t>
      </w:r>
      <w:r w:rsidR="00267215" w:rsidRPr="00905ACC">
        <w:rPr>
          <w:szCs w:val="22"/>
        </w:rPr>
        <w:t xml:space="preserve"> that </w:t>
      </w:r>
      <w:r w:rsidR="00656E5C" w:rsidRPr="00905ACC">
        <w:rPr>
          <w:szCs w:val="22"/>
        </w:rPr>
        <w:t xml:space="preserve">the </w:t>
      </w:r>
      <w:r w:rsidR="00267215" w:rsidRPr="00905ACC">
        <w:rPr>
          <w:szCs w:val="22"/>
        </w:rPr>
        <w:t xml:space="preserve">special items help to explain the mispricing of companies with low-accruals. </w:t>
      </w:r>
      <w:r w:rsidR="00342C61" w:rsidRPr="00905ACC">
        <w:rPr>
          <w:szCs w:val="22"/>
        </w:rPr>
        <w:t>On the other hand, Hung</w:t>
      </w:r>
      <w:r w:rsidR="00E46065" w:rsidRPr="00905ACC">
        <w:rPr>
          <w:szCs w:val="22"/>
        </w:rPr>
        <w:t xml:space="preserve"> (2000</w:t>
      </w:r>
      <w:r w:rsidR="00342C61" w:rsidRPr="00905ACC">
        <w:rPr>
          <w:szCs w:val="22"/>
        </w:rPr>
        <w:t xml:space="preserve">) </w:t>
      </w:r>
      <w:r w:rsidR="00E46065" w:rsidRPr="00905ACC">
        <w:rPr>
          <w:szCs w:val="22"/>
        </w:rPr>
        <w:t>states that</w:t>
      </w:r>
      <w:r w:rsidR="003E5C32" w:rsidRPr="00905ACC">
        <w:rPr>
          <w:szCs w:val="22"/>
        </w:rPr>
        <w:t xml:space="preserve"> the application</w:t>
      </w:r>
      <w:r w:rsidR="00E46065" w:rsidRPr="00905ACC">
        <w:rPr>
          <w:szCs w:val="22"/>
        </w:rPr>
        <w:t xml:space="preserve"> of accrual accounting </w:t>
      </w:r>
      <w:r w:rsidR="003E5C32" w:rsidRPr="00905ACC">
        <w:rPr>
          <w:szCs w:val="22"/>
        </w:rPr>
        <w:t xml:space="preserve">has </w:t>
      </w:r>
      <w:r w:rsidR="00DA605A">
        <w:rPr>
          <w:szCs w:val="22"/>
        </w:rPr>
        <w:t xml:space="preserve">a </w:t>
      </w:r>
      <w:r w:rsidR="003E5C32" w:rsidRPr="00905ACC">
        <w:rPr>
          <w:szCs w:val="22"/>
        </w:rPr>
        <w:t>bad</w:t>
      </w:r>
      <w:r w:rsidR="00900EDD" w:rsidRPr="00905ACC">
        <w:rPr>
          <w:szCs w:val="22"/>
        </w:rPr>
        <w:t xml:space="preserve"> influence on</w:t>
      </w:r>
      <w:r w:rsidR="00E02F1F" w:rsidRPr="00905ACC">
        <w:rPr>
          <w:szCs w:val="22"/>
        </w:rPr>
        <w:t xml:space="preserve"> accounting </w:t>
      </w:r>
      <w:r w:rsidR="00E46065" w:rsidRPr="00905ACC">
        <w:rPr>
          <w:szCs w:val="22"/>
        </w:rPr>
        <w:t>value</w:t>
      </w:r>
      <w:r w:rsidR="00E02F1F" w:rsidRPr="00905ACC">
        <w:rPr>
          <w:szCs w:val="22"/>
        </w:rPr>
        <w:t>s</w:t>
      </w:r>
      <w:r w:rsidR="00E46065" w:rsidRPr="00905ACC">
        <w:rPr>
          <w:szCs w:val="22"/>
        </w:rPr>
        <w:t xml:space="preserve"> </w:t>
      </w:r>
      <w:r w:rsidR="00E02F1F" w:rsidRPr="00905ACC">
        <w:rPr>
          <w:szCs w:val="22"/>
        </w:rPr>
        <w:t>correlated to</w:t>
      </w:r>
      <w:r w:rsidR="00E46065" w:rsidRPr="00905ACC">
        <w:rPr>
          <w:szCs w:val="22"/>
        </w:rPr>
        <w:t xml:space="preserve"> financial statements </w:t>
      </w:r>
      <w:r w:rsidR="00AE747C" w:rsidRPr="00905ACC">
        <w:rPr>
          <w:szCs w:val="22"/>
        </w:rPr>
        <w:t xml:space="preserve">in countries with poor shareholder protection </w:t>
      </w:r>
      <w:r w:rsidR="00342C61" w:rsidRPr="00905ACC">
        <w:rPr>
          <w:szCs w:val="22"/>
        </w:rPr>
        <w:t>and show</w:t>
      </w:r>
      <w:r w:rsidR="00E02F1F" w:rsidRPr="00905ACC">
        <w:rPr>
          <w:szCs w:val="22"/>
        </w:rPr>
        <w:t>s</w:t>
      </w:r>
      <w:r w:rsidR="00342C61" w:rsidRPr="00905ACC">
        <w:rPr>
          <w:szCs w:val="22"/>
        </w:rPr>
        <w:t xml:space="preserve"> that </w:t>
      </w:r>
      <w:r w:rsidR="00AE747C" w:rsidRPr="00905ACC">
        <w:rPr>
          <w:szCs w:val="22"/>
        </w:rPr>
        <w:t xml:space="preserve">in countries where </w:t>
      </w:r>
      <w:r w:rsidR="00DA605A">
        <w:rPr>
          <w:szCs w:val="22"/>
        </w:rPr>
        <w:t>there is</w:t>
      </w:r>
      <w:r w:rsidR="00DA605A" w:rsidRPr="00905ACC">
        <w:rPr>
          <w:szCs w:val="22"/>
        </w:rPr>
        <w:t xml:space="preserve"> </w:t>
      </w:r>
      <w:r w:rsidR="00AE747C" w:rsidRPr="00905ACC">
        <w:rPr>
          <w:szCs w:val="22"/>
        </w:rPr>
        <w:t xml:space="preserve">greater permission to use accrual accounting, </w:t>
      </w:r>
      <w:r w:rsidR="00342C61" w:rsidRPr="00905ACC">
        <w:rPr>
          <w:szCs w:val="22"/>
        </w:rPr>
        <w:t>firms</w:t>
      </w:r>
      <w:r w:rsidR="00DA605A">
        <w:rPr>
          <w:szCs w:val="22"/>
        </w:rPr>
        <w:t>’</w:t>
      </w:r>
      <w:r w:rsidR="00342C61" w:rsidRPr="00905ACC">
        <w:rPr>
          <w:szCs w:val="22"/>
        </w:rPr>
        <w:t xml:space="preserve"> executives have higher motivation </w:t>
      </w:r>
      <w:r w:rsidR="00DA605A">
        <w:rPr>
          <w:szCs w:val="22"/>
        </w:rPr>
        <w:t>to</w:t>
      </w:r>
      <w:r w:rsidR="00DA605A" w:rsidRPr="00905ACC">
        <w:rPr>
          <w:szCs w:val="22"/>
        </w:rPr>
        <w:t xml:space="preserve"> </w:t>
      </w:r>
      <w:r w:rsidR="00342C61" w:rsidRPr="00905ACC">
        <w:rPr>
          <w:szCs w:val="22"/>
        </w:rPr>
        <w:t>manag</w:t>
      </w:r>
      <w:r w:rsidR="00DA605A">
        <w:rPr>
          <w:szCs w:val="22"/>
        </w:rPr>
        <w:t>e</w:t>
      </w:r>
      <w:r w:rsidR="00342C61" w:rsidRPr="00905ACC">
        <w:rPr>
          <w:szCs w:val="22"/>
        </w:rPr>
        <w:t xml:space="preserve"> </w:t>
      </w:r>
      <w:r w:rsidR="00AE747C" w:rsidRPr="00905ACC">
        <w:rPr>
          <w:szCs w:val="22"/>
        </w:rPr>
        <w:t xml:space="preserve">accounting </w:t>
      </w:r>
      <w:r w:rsidR="00E02F1F" w:rsidRPr="00905ACC">
        <w:rPr>
          <w:szCs w:val="22"/>
        </w:rPr>
        <w:t>earnings</w:t>
      </w:r>
      <w:r w:rsidR="00DA605A">
        <w:rPr>
          <w:szCs w:val="22"/>
        </w:rPr>
        <w:t>;</w:t>
      </w:r>
      <w:r w:rsidR="00E02F1F" w:rsidRPr="00905ACC">
        <w:rPr>
          <w:szCs w:val="22"/>
        </w:rPr>
        <w:t xml:space="preserve"> </w:t>
      </w:r>
      <w:r w:rsidR="00342C61" w:rsidRPr="00905ACC">
        <w:rPr>
          <w:szCs w:val="22"/>
        </w:rPr>
        <w:t>the</w:t>
      </w:r>
      <w:r w:rsidR="007D3E5C" w:rsidRPr="00905ACC">
        <w:rPr>
          <w:szCs w:val="22"/>
        </w:rPr>
        <w:t>refore</w:t>
      </w:r>
      <w:r w:rsidR="00DA605A">
        <w:rPr>
          <w:szCs w:val="22"/>
        </w:rPr>
        <w:t>,</w:t>
      </w:r>
      <w:r w:rsidR="007D3E5C" w:rsidRPr="00905ACC">
        <w:rPr>
          <w:szCs w:val="22"/>
        </w:rPr>
        <w:t xml:space="preserve"> t</w:t>
      </w:r>
      <w:r w:rsidR="00AE747C" w:rsidRPr="00905ACC">
        <w:rPr>
          <w:szCs w:val="22"/>
        </w:rPr>
        <w:t xml:space="preserve">he extent </w:t>
      </w:r>
      <w:r w:rsidR="007D3E5C" w:rsidRPr="00905ACC">
        <w:rPr>
          <w:szCs w:val="22"/>
        </w:rPr>
        <w:t>of hedge abnormal stock returns owing to accruals is relative to the level of allowance to use accrual accounting.</w:t>
      </w:r>
    </w:p>
    <w:p w:rsidR="0063015E" w:rsidRDefault="00BD5071" w:rsidP="007D75D2">
      <w:pPr>
        <w:ind w:firstLineChars="200" w:firstLine="440"/>
        <w:contextualSpacing/>
        <w:rPr>
          <w:szCs w:val="22"/>
        </w:rPr>
      </w:pPr>
      <w:r w:rsidRPr="00905ACC">
        <w:rPr>
          <w:szCs w:val="22"/>
        </w:rPr>
        <w:t xml:space="preserve">To further investigate Sloan’s (1996) proposal, </w:t>
      </w:r>
      <w:r w:rsidR="0063015E" w:rsidRPr="00905ACC">
        <w:rPr>
          <w:szCs w:val="22"/>
        </w:rPr>
        <w:t>Pincus et al. (2007) examine the accrual an</w:t>
      </w:r>
      <w:r w:rsidR="00806B85" w:rsidRPr="00905ACC">
        <w:rPr>
          <w:szCs w:val="22"/>
        </w:rPr>
        <w:t xml:space="preserve">omaly </w:t>
      </w:r>
      <w:r w:rsidR="004E2771">
        <w:rPr>
          <w:szCs w:val="22"/>
        </w:rPr>
        <w:t>at</w:t>
      </w:r>
      <w:r w:rsidR="004E2771" w:rsidRPr="00905ACC">
        <w:rPr>
          <w:szCs w:val="22"/>
        </w:rPr>
        <w:t xml:space="preserve"> </w:t>
      </w:r>
      <w:r w:rsidR="004E2771">
        <w:rPr>
          <w:szCs w:val="22"/>
        </w:rPr>
        <w:t>the</w:t>
      </w:r>
      <w:r w:rsidR="004E2771" w:rsidRPr="00905ACC">
        <w:rPr>
          <w:szCs w:val="22"/>
        </w:rPr>
        <w:t xml:space="preserve"> </w:t>
      </w:r>
      <w:r w:rsidR="00806B85" w:rsidRPr="00905ACC">
        <w:rPr>
          <w:szCs w:val="22"/>
        </w:rPr>
        <w:t>global level and</w:t>
      </w:r>
      <w:r w:rsidR="0063015E" w:rsidRPr="00905ACC">
        <w:rPr>
          <w:szCs w:val="22"/>
        </w:rPr>
        <w:t xml:space="preserve"> show that the lower </w:t>
      </w:r>
      <w:r w:rsidR="003E65DF" w:rsidRPr="00905ACC">
        <w:rPr>
          <w:szCs w:val="22"/>
        </w:rPr>
        <w:t xml:space="preserve">sustainability </w:t>
      </w:r>
      <w:r w:rsidR="0063015E" w:rsidRPr="00905ACC">
        <w:rPr>
          <w:szCs w:val="22"/>
        </w:rPr>
        <w:t>of working c</w:t>
      </w:r>
      <w:r w:rsidR="008F4517" w:rsidRPr="00905ACC">
        <w:rPr>
          <w:szCs w:val="22"/>
        </w:rPr>
        <w:t xml:space="preserve">apital accruals </w:t>
      </w:r>
      <w:r w:rsidR="00716B4A" w:rsidRPr="00905ACC">
        <w:rPr>
          <w:szCs w:val="22"/>
        </w:rPr>
        <w:t>were overestimat</w:t>
      </w:r>
      <w:r w:rsidR="00F97370" w:rsidRPr="00905ACC">
        <w:rPr>
          <w:szCs w:val="22"/>
        </w:rPr>
        <w:t>ed by the market</w:t>
      </w:r>
      <w:r w:rsidR="00716B4A" w:rsidRPr="00905ACC">
        <w:rPr>
          <w:szCs w:val="22"/>
        </w:rPr>
        <w:t xml:space="preserve"> in Britain, Canada and Australia,</w:t>
      </w:r>
      <w:r w:rsidR="0063015E" w:rsidRPr="00905ACC">
        <w:rPr>
          <w:szCs w:val="22"/>
        </w:rPr>
        <w:t xml:space="preserve"> and </w:t>
      </w:r>
      <w:r w:rsidR="00716B4A" w:rsidRPr="00905ACC">
        <w:rPr>
          <w:szCs w:val="22"/>
        </w:rPr>
        <w:t>there is</w:t>
      </w:r>
      <w:r w:rsidR="00A15C16">
        <w:rPr>
          <w:szCs w:val="22"/>
        </w:rPr>
        <w:t xml:space="preserve"> a</w:t>
      </w:r>
      <w:r w:rsidR="00716B4A" w:rsidRPr="00905ACC">
        <w:rPr>
          <w:szCs w:val="22"/>
        </w:rPr>
        <w:t xml:space="preserve"> correlation between its </w:t>
      </w:r>
      <w:r w:rsidR="003E65DF" w:rsidRPr="00905ACC">
        <w:rPr>
          <w:szCs w:val="22"/>
        </w:rPr>
        <w:t>incidence</w:t>
      </w:r>
      <w:r w:rsidR="00716B4A" w:rsidRPr="00905ACC">
        <w:rPr>
          <w:szCs w:val="22"/>
        </w:rPr>
        <w:t xml:space="preserve"> and</w:t>
      </w:r>
      <w:r w:rsidR="0063015E" w:rsidRPr="00905ACC">
        <w:rPr>
          <w:szCs w:val="22"/>
        </w:rPr>
        <w:t xml:space="preserve"> </w:t>
      </w:r>
      <w:r w:rsidR="00716B4A" w:rsidRPr="00905ACC">
        <w:rPr>
          <w:szCs w:val="22"/>
        </w:rPr>
        <w:t>particular</w:t>
      </w:r>
      <w:r w:rsidR="0063015E" w:rsidRPr="00905ACC">
        <w:rPr>
          <w:szCs w:val="22"/>
        </w:rPr>
        <w:t xml:space="preserve"> institutional </w:t>
      </w:r>
      <w:r w:rsidR="00716B4A" w:rsidRPr="00905ACC">
        <w:rPr>
          <w:szCs w:val="22"/>
        </w:rPr>
        <w:t xml:space="preserve">and accounting </w:t>
      </w:r>
      <w:r w:rsidR="0063015E" w:rsidRPr="00905ACC">
        <w:rPr>
          <w:szCs w:val="22"/>
        </w:rPr>
        <w:t>factors, for instance, protection</w:t>
      </w:r>
      <w:r w:rsidR="00716B4A" w:rsidRPr="00905ACC">
        <w:rPr>
          <w:szCs w:val="22"/>
        </w:rPr>
        <w:t xml:space="preserve"> of shareholder</w:t>
      </w:r>
      <w:r w:rsidR="00A15C16">
        <w:rPr>
          <w:szCs w:val="22"/>
        </w:rPr>
        <w:t>s</w:t>
      </w:r>
      <w:r w:rsidR="0063015E" w:rsidRPr="00905ACC">
        <w:rPr>
          <w:szCs w:val="22"/>
        </w:rPr>
        <w:t>, legal tradition and ownership concentration</w:t>
      </w:r>
      <w:r w:rsidR="003824C0" w:rsidRPr="00905ACC">
        <w:rPr>
          <w:szCs w:val="22"/>
        </w:rPr>
        <w:t xml:space="preserve">, and in </w:t>
      </w:r>
      <w:r w:rsidR="008D043E" w:rsidRPr="00905ACC">
        <w:rPr>
          <w:szCs w:val="22"/>
        </w:rPr>
        <w:t xml:space="preserve">countries like </w:t>
      </w:r>
      <w:r w:rsidR="003824C0" w:rsidRPr="00905ACC">
        <w:rPr>
          <w:szCs w:val="22"/>
        </w:rPr>
        <w:t>Indonesia and Singapore</w:t>
      </w:r>
      <w:r w:rsidR="008D043E" w:rsidRPr="00905ACC">
        <w:rPr>
          <w:szCs w:val="22"/>
        </w:rPr>
        <w:t>,</w:t>
      </w:r>
      <w:r w:rsidR="003824C0" w:rsidRPr="00905ACC">
        <w:rPr>
          <w:szCs w:val="22"/>
        </w:rPr>
        <w:t xml:space="preserve"> a significant positive number of size-adjusted returns can be acquired by using accruals’ underweighting strategy</w:t>
      </w:r>
      <w:r w:rsidR="0063015E" w:rsidRPr="00905ACC">
        <w:rPr>
          <w:szCs w:val="22"/>
        </w:rPr>
        <w:t xml:space="preserve">. Further, they point out that in countries with poorer legal enforcement </w:t>
      </w:r>
      <w:r w:rsidR="00DA605A">
        <w:rPr>
          <w:szCs w:val="22"/>
        </w:rPr>
        <w:t>it is</w:t>
      </w:r>
      <w:r w:rsidR="00DA605A" w:rsidRPr="00905ACC">
        <w:rPr>
          <w:szCs w:val="22"/>
        </w:rPr>
        <w:t xml:space="preserve"> </w:t>
      </w:r>
      <w:r w:rsidR="0063015E" w:rsidRPr="00905ACC">
        <w:rPr>
          <w:szCs w:val="22"/>
        </w:rPr>
        <w:t xml:space="preserve">more likely </w:t>
      </w:r>
      <w:r w:rsidR="00DA605A">
        <w:rPr>
          <w:szCs w:val="22"/>
        </w:rPr>
        <w:t xml:space="preserve">that there will be </w:t>
      </w:r>
      <w:r w:rsidR="0063015E" w:rsidRPr="00905ACC">
        <w:rPr>
          <w:szCs w:val="22"/>
        </w:rPr>
        <w:t xml:space="preserve">accruals’ overweighting while </w:t>
      </w:r>
      <w:r w:rsidR="004E2771">
        <w:rPr>
          <w:szCs w:val="22"/>
        </w:rPr>
        <w:t xml:space="preserve">in </w:t>
      </w:r>
      <w:r w:rsidR="0063015E" w:rsidRPr="00905ACC">
        <w:rPr>
          <w:szCs w:val="22"/>
        </w:rPr>
        <w:t xml:space="preserve">those countries with stronger outside shareholder rights </w:t>
      </w:r>
      <w:r w:rsidR="00DA605A">
        <w:rPr>
          <w:szCs w:val="22"/>
        </w:rPr>
        <w:t>it is</w:t>
      </w:r>
      <w:r w:rsidR="00DA605A" w:rsidRPr="00905ACC">
        <w:rPr>
          <w:szCs w:val="22"/>
        </w:rPr>
        <w:t xml:space="preserve"> </w:t>
      </w:r>
      <w:r w:rsidR="0063015E" w:rsidRPr="00905ACC">
        <w:rPr>
          <w:szCs w:val="22"/>
        </w:rPr>
        <w:t>less probab</w:t>
      </w:r>
      <w:r w:rsidR="00DA605A">
        <w:rPr>
          <w:szCs w:val="22"/>
        </w:rPr>
        <w:t>le</w:t>
      </w:r>
      <w:r w:rsidR="0063015E" w:rsidRPr="00905ACC">
        <w:rPr>
          <w:szCs w:val="22"/>
        </w:rPr>
        <w:t>. Moreover, they</w:t>
      </w:r>
      <w:r w:rsidR="003E65DF" w:rsidRPr="00905ACC">
        <w:rPr>
          <w:szCs w:val="22"/>
        </w:rPr>
        <w:t xml:space="preserve"> emphasize that accrual</w:t>
      </w:r>
      <w:r w:rsidR="0063015E" w:rsidRPr="00905ACC">
        <w:rPr>
          <w:szCs w:val="22"/>
        </w:rPr>
        <w:t xml:space="preserve"> overweighting</w:t>
      </w:r>
      <w:r w:rsidR="003E65DF" w:rsidRPr="00905ACC">
        <w:rPr>
          <w:szCs w:val="22"/>
        </w:rPr>
        <w:t xml:space="preserve"> do</w:t>
      </w:r>
      <w:r w:rsidR="00DA605A">
        <w:rPr>
          <w:szCs w:val="22"/>
        </w:rPr>
        <w:t>es</w:t>
      </w:r>
      <w:r w:rsidR="003E65DF" w:rsidRPr="00905ACC">
        <w:rPr>
          <w:szCs w:val="22"/>
        </w:rPr>
        <w:t xml:space="preserve"> significantly influence share</w:t>
      </w:r>
      <w:r w:rsidR="0063015E" w:rsidRPr="00905ACC">
        <w:rPr>
          <w:szCs w:val="22"/>
        </w:rPr>
        <w:t xml:space="preserve"> returns </w:t>
      </w:r>
      <w:r w:rsidR="00082D6E" w:rsidRPr="00905ACC">
        <w:rPr>
          <w:szCs w:val="22"/>
        </w:rPr>
        <w:t xml:space="preserve">and this phenomenon happens extensively throughout the world. </w:t>
      </w:r>
      <w:r w:rsidR="00DA605A">
        <w:rPr>
          <w:szCs w:val="22"/>
        </w:rPr>
        <w:t>T</w:t>
      </w:r>
      <w:r w:rsidR="00082D6E" w:rsidRPr="00905ACC">
        <w:rPr>
          <w:szCs w:val="22"/>
        </w:rPr>
        <w:t xml:space="preserve">hey further </w:t>
      </w:r>
      <w:r w:rsidR="00EF7211" w:rsidRPr="00905ACC">
        <w:rPr>
          <w:szCs w:val="22"/>
        </w:rPr>
        <w:t xml:space="preserve">draw </w:t>
      </w:r>
      <w:r w:rsidR="00DA605A">
        <w:rPr>
          <w:szCs w:val="22"/>
        </w:rPr>
        <w:t>the</w:t>
      </w:r>
      <w:r w:rsidR="00DA605A" w:rsidRPr="00905ACC">
        <w:rPr>
          <w:szCs w:val="22"/>
        </w:rPr>
        <w:t xml:space="preserve"> </w:t>
      </w:r>
      <w:r w:rsidR="00EF7211" w:rsidRPr="00905ACC">
        <w:rPr>
          <w:szCs w:val="22"/>
        </w:rPr>
        <w:t>conclusion</w:t>
      </w:r>
      <w:r w:rsidR="0063015E" w:rsidRPr="00905ACC">
        <w:rPr>
          <w:szCs w:val="22"/>
        </w:rPr>
        <w:t xml:space="preserve"> that the accrual anomaly may </w:t>
      </w:r>
      <w:r w:rsidR="00EF7211" w:rsidRPr="00905ACC">
        <w:rPr>
          <w:szCs w:val="22"/>
        </w:rPr>
        <w:t xml:space="preserve">be </w:t>
      </w:r>
      <w:r w:rsidR="003E65DF" w:rsidRPr="00905ACC">
        <w:rPr>
          <w:szCs w:val="22"/>
        </w:rPr>
        <w:t>caused by</w:t>
      </w:r>
      <w:r w:rsidR="0063015E" w:rsidRPr="00905ACC">
        <w:rPr>
          <w:szCs w:val="22"/>
        </w:rPr>
        <w:t xml:space="preserve"> earnings manipulation and arbitrage</w:t>
      </w:r>
      <w:r w:rsidR="003E65DF" w:rsidRPr="00905ACC">
        <w:rPr>
          <w:szCs w:val="22"/>
        </w:rPr>
        <w:t xml:space="preserve"> barriers</w:t>
      </w:r>
      <w:r w:rsidR="0063015E" w:rsidRPr="00905ACC">
        <w:rPr>
          <w:szCs w:val="22"/>
        </w:rPr>
        <w:t>.</w:t>
      </w:r>
      <w:r w:rsidR="005B2BD7" w:rsidRPr="00905ACC">
        <w:rPr>
          <w:szCs w:val="22"/>
        </w:rPr>
        <w:t xml:space="preserve"> </w:t>
      </w:r>
    </w:p>
    <w:p w:rsidR="00644F02" w:rsidRDefault="00644F02" w:rsidP="007D75D2">
      <w:pPr>
        <w:contextualSpacing/>
        <w:rPr>
          <w:szCs w:val="22"/>
        </w:rPr>
      </w:pPr>
    </w:p>
    <w:p w:rsidR="00E53EAD" w:rsidRPr="00905ACC" w:rsidRDefault="00E53EAD" w:rsidP="007D75D2">
      <w:pPr>
        <w:ind w:firstLine="0"/>
        <w:contextualSpacing/>
        <w:outlineLvl w:val="0"/>
        <w:rPr>
          <w:szCs w:val="22"/>
        </w:rPr>
      </w:pPr>
      <w:r>
        <w:rPr>
          <w:szCs w:val="22"/>
        </w:rPr>
        <w:t xml:space="preserve">2.2 </w:t>
      </w:r>
      <w:r w:rsidRPr="00513C66">
        <w:rPr>
          <w:bCs/>
          <w:i/>
          <w:iCs/>
          <w:szCs w:val="22"/>
        </w:rPr>
        <w:t>Abnormal accruals</w:t>
      </w:r>
      <w:r>
        <w:rPr>
          <w:bCs/>
          <w:i/>
          <w:iCs/>
          <w:szCs w:val="22"/>
        </w:rPr>
        <w:t xml:space="preserve"> and stock returns</w:t>
      </w:r>
    </w:p>
    <w:p w:rsidR="009F40A1" w:rsidRPr="00905ACC" w:rsidRDefault="00DA605A">
      <w:pPr>
        <w:ind w:firstLine="0"/>
        <w:contextualSpacing/>
        <w:rPr>
          <w:szCs w:val="22"/>
        </w:rPr>
      </w:pPr>
      <w:r>
        <w:rPr>
          <w:szCs w:val="22"/>
        </w:rPr>
        <w:t>R</w:t>
      </w:r>
      <w:r w:rsidR="00CE0847" w:rsidRPr="00905ACC">
        <w:rPr>
          <w:szCs w:val="22"/>
        </w:rPr>
        <w:t>ather than examini</w:t>
      </w:r>
      <w:r w:rsidR="00C91663" w:rsidRPr="00905ACC">
        <w:rPr>
          <w:szCs w:val="22"/>
        </w:rPr>
        <w:t>ng the company</w:t>
      </w:r>
      <w:r w:rsidR="00CE0847" w:rsidRPr="00905ACC">
        <w:rPr>
          <w:szCs w:val="22"/>
        </w:rPr>
        <w:t xml:space="preserve">-level </w:t>
      </w:r>
      <w:r w:rsidR="00AF1CB6" w:rsidRPr="00905ACC">
        <w:rPr>
          <w:szCs w:val="22"/>
        </w:rPr>
        <w:t xml:space="preserve">cash flow and </w:t>
      </w:r>
      <w:r w:rsidR="00CE0847" w:rsidRPr="00905ACC">
        <w:rPr>
          <w:szCs w:val="22"/>
        </w:rPr>
        <w:t>accrual</w:t>
      </w:r>
      <w:r w:rsidR="002D36F7" w:rsidRPr="00905ACC">
        <w:rPr>
          <w:szCs w:val="22"/>
        </w:rPr>
        <w:t>s</w:t>
      </w:r>
      <w:r w:rsidR="00CE0847" w:rsidRPr="00905ACC">
        <w:rPr>
          <w:szCs w:val="22"/>
        </w:rPr>
        <w:t xml:space="preserve"> effects, </w:t>
      </w:r>
      <w:r w:rsidR="0071578F" w:rsidRPr="00905ACC">
        <w:rPr>
          <w:szCs w:val="22"/>
        </w:rPr>
        <w:t>Hirshleifer</w:t>
      </w:r>
      <w:r w:rsidR="00CE0847" w:rsidRPr="00905ACC">
        <w:rPr>
          <w:szCs w:val="22"/>
        </w:rPr>
        <w:t xml:space="preserve"> et al. (2009) extend the investigation to the aggregate sto</w:t>
      </w:r>
      <w:r w:rsidR="00AF1CB6" w:rsidRPr="00905ACC">
        <w:rPr>
          <w:szCs w:val="22"/>
        </w:rPr>
        <w:t>ck market and</w:t>
      </w:r>
      <w:r>
        <w:rPr>
          <w:szCs w:val="22"/>
        </w:rPr>
        <w:t>,</w:t>
      </w:r>
      <w:r w:rsidR="00AF1CB6" w:rsidRPr="00905ACC">
        <w:rPr>
          <w:szCs w:val="22"/>
        </w:rPr>
        <w:t xml:space="preserve"> surprisingly</w:t>
      </w:r>
      <w:r>
        <w:rPr>
          <w:szCs w:val="22"/>
        </w:rPr>
        <w:t>,</w:t>
      </w:r>
      <w:r w:rsidR="00AF1CB6" w:rsidRPr="00905ACC">
        <w:rPr>
          <w:szCs w:val="22"/>
        </w:rPr>
        <w:t xml:space="preserve"> find</w:t>
      </w:r>
      <w:r w:rsidR="00CE0847" w:rsidRPr="00905ACC">
        <w:rPr>
          <w:szCs w:val="22"/>
        </w:rPr>
        <w:t xml:space="preserve"> that</w:t>
      </w:r>
      <w:r w:rsidR="00391E12" w:rsidRPr="00905ACC">
        <w:rPr>
          <w:szCs w:val="22"/>
        </w:rPr>
        <w:t xml:space="preserve"> </w:t>
      </w:r>
      <w:r w:rsidR="003F2F90" w:rsidRPr="00905ACC">
        <w:rPr>
          <w:szCs w:val="22"/>
        </w:rPr>
        <w:t>the result of the time series</w:t>
      </w:r>
      <w:r w:rsidR="00AF1CB6" w:rsidRPr="00905ACC">
        <w:rPr>
          <w:szCs w:val="22"/>
        </w:rPr>
        <w:t xml:space="preserve"> analysis between </w:t>
      </w:r>
      <w:r w:rsidR="00391E12" w:rsidRPr="00905ACC">
        <w:rPr>
          <w:szCs w:val="22"/>
        </w:rPr>
        <w:t xml:space="preserve">aggregate accruals </w:t>
      </w:r>
      <w:r w:rsidR="00AF1CB6" w:rsidRPr="00905ACC">
        <w:rPr>
          <w:szCs w:val="22"/>
        </w:rPr>
        <w:t xml:space="preserve">and aggregate stock return </w:t>
      </w:r>
      <w:r w:rsidR="00391E12" w:rsidRPr="00905ACC">
        <w:rPr>
          <w:szCs w:val="22"/>
        </w:rPr>
        <w:t>is</w:t>
      </w:r>
      <w:r w:rsidR="00AF1CB6" w:rsidRPr="00905ACC">
        <w:rPr>
          <w:szCs w:val="22"/>
        </w:rPr>
        <w:t xml:space="preserve"> </w:t>
      </w:r>
      <w:r w:rsidR="00B04C4A" w:rsidRPr="00905ACC">
        <w:rPr>
          <w:szCs w:val="22"/>
        </w:rPr>
        <w:t xml:space="preserve">statistically </w:t>
      </w:r>
      <w:r w:rsidR="00AF1CB6" w:rsidRPr="00905ACC">
        <w:rPr>
          <w:szCs w:val="22"/>
        </w:rPr>
        <w:t xml:space="preserve">and </w:t>
      </w:r>
      <w:r w:rsidR="00B04C4A" w:rsidRPr="00905ACC">
        <w:rPr>
          <w:szCs w:val="22"/>
        </w:rPr>
        <w:t xml:space="preserve">highly </w:t>
      </w:r>
      <w:r w:rsidR="00CE0847" w:rsidRPr="00905ACC">
        <w:rPr>
          <w:szCs w:val="22"/>
        </w:rPr>
        <w:t>positive</w:t>
      </w:r>
      <w:r w:rsidR="00314F32" w:rsidRPr="00905ACC">
        <w:rPr>
          <w:szCs w:val="22"/>
        </w:rPr>
        <w:t xml:space="preserve"> while the result of cash flows appear</w:t>
      </w:r>
      <w:r w:rsidR="003D4C12">
        <w:rPr>
          <w:szCs w:val="22"/>
        </w:rPr>
        <w:t>s</w:t>
      </w:r>
      <w:r w:rsidR="00314F32" w:rsidRPr="00905ACC">
        <w:rPr>
          <w:szCs w:val="22"/>
        </w:rPr>
        <w:t xml:space="preserve"> dramatically negative</w:t>
      </w:r>
      <w:r w:rsidR="00CE0847" w:rsidRPr="00905ACC">
        <w:rPr>
          <w:szCs w:val="22"/>
        </w:rPr>
        <w:t xml:space="preserve">, which is sharply </w:t>
      </w:r>
      <w:r>
        <w:rPr>
          <w:szCs w:val="22"/>
        </w:rPr>
        <w:t>in contradiction</w:t>
      </w:r>
      <w:r w:rsidRPr="00905ACC">
        <w:rPr>
          <w:szCs w:val="22"/>
        </w:rPr>
        <w:t xml:space="preserve"> </w:t>
      </w:r>
      <w:r w:rsidR="00314F32" w:rsidRPr="00905ACC">
        <w:rPr>
          <w:szCs w:val="22"/>
        </w:rPr>
        <w:t>to the previous company</w:t>
      </w:r>
      <w:r w:rsidR="00CE0847" w:rsidRPr="00905ACC">
        <w:rPr>
          <w:szCs w:val="22"/>
        </w:rPr>
        <w:t>-level findings.</w:t>
      </w:r>
      <w:r w:rsidR="00683B4F" w:rsidRPr="00905ACC">
        <w:rPr>
          <w:szCs w:val="22"/>
        </w:rPr>
        <w:t xml:space="preserve"> </w:t>
      </w:r>
      <w:r w:rsidR="00F847EA" w:rsidRPr="00905ACC">
        <w:rPr>
          <w:szCs w:val="22"/>
        </w:rPr>
        <w:t>To</w:t>
      </w:r>
      <w:r w:rsidR="00A5472A" w:rsidRPr="00905ACC">
        <w:rPr>
          <w:szCs w:val="22"/>
        </w:rPr>
        <w:t xml:space="preserve"> improve the performance</w:t>
      </w:r>
      <w:r w:rsidR="00F847EA" w:rsidRPr="00905ACC">
        <w:rPr>
          <w:szCs w:val="22"/>
        </w:rPr>
        <w:t xml:space="preserve"> of accrual-hedge portfolios, they use the modulus</w:t>
      </w:r>
      <w:r w:rsidR="00A5472A" w:rsidRPr="00905ACC">
        <w:rPr>
          <w:szCs w:val="22"/>
        </w:rPr>
        <w:t xml:space="preserve"> of earnings rather than the </w:t>
      </w:r>
      <w:r w:rsidR="00F847EA" w:rsidRPr="00905ACC">
        <w:rPr>
          <w:szCs w:val="22"/>
        </w:rPr>
        <w:t>mean</w:t>
      </w:r>
      <w:r w:rsidR="00A5472A" w:rsidRPr="00905ACC">
        <w:rPr>
          <w:szCs w:val="22"/>
        </w:rPr>
        <w:t xml:space="preserve"> of total assets to scale </w:t>
      </w:r>
      <w:r w:rsidR="00F847EA" w:rsidRPr="00905ACC">
        <w:rPr>
          <w:szCs w:val="22"/>
        </w:rPr>
        <w:t xml:space="preserve">total accruals or </w:t>
      </w:r>
      <w:r w:rsidR="00A5472A" w:rsidRPr="00905ACC">
        <w:rPr>
          <w:szCs w:val="22"/>
        </w:rPr>
        <w:t xml:space="preserve">working capital </w:t>
      </w:r>
      <w:r w:rsidR="00181E52" w:rsidRPr="00905ACC">
        <w:rPr>
          <w:szCs w:val="22"/>
        </w:rPr>
        <w:t xml:space="preserve">accruals </w:t>
      </w:r>
      <w:r w:rsidR="00D21938">
        <w:rPr>
          <w:szCs w:val="22"/>
        </w:rPr>
        <w:t>also they</w:t>
      </w:r>
      <w:r w:rsidR="00D21938" w:rsidRPr="00905ACC">
        <w:rPr>
          <w:szCs w:val="22"/>
        </w:rPr>
        <w:t xml:space="preserve"> </w:t>
      </w:r>
      <w:r w:rsidR="00181E52" w:rsidRPr="00905ACC">
        <w:rPr>
          <w:szCs w:val="22"/>
        </w:rPr>
        <w:t xml:space="preserve">label their new measures as </w:t>
      </w:r>
      <w:r w:rsidR="00D717D9">
        <w:rPr>
          <w:szCs w:val="22"/>
        </w:rPr>
        <w:t>“</w:t>
      </w:r>
      <w:r w:rsidR="00181E52" w:rsidRPr="00905ACC">
        <w:rPr>
          <w:szCs w:val="22"/>
        </w:rPr>
        <w:t>percen</w:t>
      </w:r>
      <w:r w:rsidR="007A0805" w:rsidRPr="00905ACC">
        <w:rPr>
          <w:szCs w:val="22"/>
        </w:rPr>
        <w:t>t</w:t>
      </w:r>
      <w:r w:rsidR="005255FE" w:rsidRPr="00905ACC">
        <w:rPr>
          <w:szCs w:val="22"/>
        </w:rPr>
        <w:t xml:space="preserve"> accruals</w:t>
      </w:r>
      <w:r w:rsidR="00D717D9">
        <w:rPr>
          <w:szCs w:val="22"/>
        </w:rPr>
        <w:t>”</w:t>
      </w:r>
      <w:r w:rsidR="005255FE" w:rsidRPr="00905ACC">
        <w:rPr>
          <w:szCs w:val="22"/>
        </w:rPr>
        <w:t xml:space="preserve"> and the previous measurement </w:t>
      </w:r>
      <w:r w:rsidR="00181E52" w:rsidRPr="00905ACC">
        <w:rPr>
          <w:szCs w:val="22"/>
        </w:rPr>
        <w:t xml:space="preserve">as </w:t>
      </w:r>
      <w:r w:rsidR="00D717D9">
        <w:rPr>
          <w:szCs w:val="22"/>
        </w:rPr>
        <w:t>“</w:t>
      </w:r>
      <w:r w:rsidR="00181E52" w:rsidRPr="00905ACC">
        <w:rPr>
          <w:szCs w:val="22"/>
        </w:rPr>
        <w:t>traditional accruals</w:t>
      </w:r>
      <w:r w:rsidR="00D717D9">
        <w:rPr>
          <w:szCs w:val="22"/>
        </w:rPr>
        <w:t>”</w:t>
      </w:r>
      <w:r w:rsidR="00181E52" w:rsidRPr="00905ACC">
        <w:rPr>
          <w:szCs w:val="22"/>
        </w:rPr>
        <w:t xml:space="preserve">. Furthermore, they </w:t>
      </w:r>
      <w:r w:rsidR="00A5472A" w:rsidRPr="00905ACC">
        <w:rPr>
          <w:szCs w:val="22"/>
        </w:rPr>
        <w:t>sta</w:t>
      </w:r>
      <w:r w:rsidR="00A81965" w:rsidRPr="00905ACC">
        <w:rPr>
          <w:szCs w:val="22"/>
        </w:rPr>
        <w:t>te that the</w:t>
      </w:r>
      <w:r w:rsidR="009211E4" w:rsidRPr="00905ACC">
        <w:rPr>
          <w:szCs w:val="22"/>
        </w:rPr>
        <w:t>ir</w:t>
      </w:r>
      <w:r w:rsidR="00A81965" w:rsidRPr="00905ACC">
        <w:rPr>
          <w:szCs w:val="22"/>
        </w:rPr>
        <w:t xml:space="preserve"> improvements more accurately show that</w:t>
      </w:r>
      <w:r w:rsidR="00A5472A" w:rsidRPr="00905ACC">
        <w:rPr>
          <w:szCs w:val="22"/>
        </w:rPr>
        <w:t xml:space="preserve"> investors mi</w:t>
      </w:r>
      <w:r w:rsidR="001358C9" w:rsidRPr="00905ACC">
        <w:rPr>
          <w:szCs w:val="22"/>
        </w:rPr>
        <w:t>sunderstand the reverting characteristic</w:t>
      </w:r>
      <w:r w:rsidR="00A5472A" w:rsidRPr="00905ACC">
        <w:rPr>
          <w:szCs w:val="22"/>
        </w:rPr>
        <w:t xml:space="preserve"> of accruals by providing statistics </w:t>
      </w:r>
      <w:r w:rsidR="00D21938">
        <w:rPr>
          <w:szCs w:val="22"/>
        </w:rPr>
        <w:t xml:space="preserve">showing </w:t>
      </w:r>
      <w:r w:rsidR="00A5472A" w:rsidRPr="00905ACC">
        <w:rPr>
          <w:szCs w:val="22"/>
        </w:rPr>
        <w:t xml:space="preserve">that </w:t>
      </w:r>
      <w:r w:rsidR="00AC559F" w:rsidRPr="00905ACC">
        <w:rPr>
          <w:szCs w:val="22"/>
        </w:rPr>
        <w:t xml:space="preserve">for total accruals, </w:t>
      </w:r>
      <w:r w:rsidR="00410D45" w:rsidRPr="00905ACC">
        <w:rPr>
          <w:szCs w:val="22"/>
        </w:rPr>
        <w:t xml:space="preserve">the </w:t>
      </w:r>
      <w:r w:rsidR="001358C9" w:rsidRPr="00905ACC">
        <w:rPr>
          <w:szCs w:val="22"/>
        </w:rPr>
        <w:t xml:space="preserve">scale-adjusted </w:t>
      </w:r>
      <w:r w:rsidR="00410D45" w:rsidRPr="00905ACC">
        <w:rPr>
          <w:szCs w:val="22"/>
        </w:rPr>
        <w:t xml:space="preserve">hedge </w:t>
      </w:r>
      <w:r w:rsidR="00D8226B" w:rsidRPr="00905ACC">
        <w:rPr>
          <w:szCs w:val="22"/>
        </w:rPr>
        <w:t>stock</w:t>
      </w:r>
      <w:r w:rsidR="001358C9" w:rsidRPr="00905ACC">
        <w:rPr>
          <w:szCs w:val="22"/>
        </w:rPr>
        <w:t xml:space="preserve"> return</w:t>
      </w:r>
      <w:r w:rsidR="00D21938">
        <w:rPr>
          <w:szCs w:val="22"/>
        </w:rPr>
        <w:t>,</w:t>
      </w:r>
      <w:r w:rsidR="00AC559F" w:rsidRPr="00905ACC">
        <w:rPr>
          <w:szCs w:val="22"/>
        </w:rPr>
        <w:t xml:space="preserve"> using percent measure</w:t>
      </w:r>
      <w:r w:rsidR="00D21938">
        <w:rPr>
          <w:szCs w:val="22"/>
        </w:rPr>
        <w:t>,</w:t>
      </w:r>
      <w:r w:rsidR="00AC559F" w:rsidRPr="00905ACC">
        <w:rPr>
          <w:szCs w:val="22"/>
        </w:rPr>
        <w:t xml:space="preserve"> </w:t>
      </w:r>
      <w:r w:rsidR="00410D45" w:rsidRPr="00905ACC">
        <w:rPr>
          <w:szCs w:val="22"/>
        </w:rPr>
        <w:t xml:space="preserve">is over 45% higher than the </w:t>
      </w:r>
      <w:r w:rsidR="001358C9" w:rsidRPr="00905ACC">
        <w:rPr>
          <w:szCs w:val="22"/>
        </w:rPr>
        <w:t xml:space="preserve">corresponding return </w:t>
      </w:r>
      <w:r w:rsidR="00AC559F" w:rsidRPr="00905ACC">
        <w:rPr>
          <w:szCs w:val="22"/>
        </w:rPr>
        <w:t>with the traditional approach</w:t>
      </w:r>
      <w:r w:rsidR="00410D45" w:rsidRPr="00905ACC">
        <w:rPr>
          <w:szCs w:val="22"/>
        </w:rPr>
        <w:t xml:space="preserve">, </w:t>
      </w:r>
      <w:r w:rsidR="001358C9" w:rsidRPr="00905ACC">
        <w:rPr>
          <w:szCs w:val="22"/>
        </w:rPr>
        <w:t>and</w:t>
      </w:r>
      <w:r w:rsidR="00410D45" w:rsidRPr="00905ACC">
        <w:rPr>
          <w:szCs w:val="22"/>
        </w:rPr>
        <w:t xml:space="preserve"> </w:t>
      </w:r>
      <w:r w:rsidR="00AC559F" w:rsidRPr="00905ACC">
        <w:rPr>
          <w:szCs w:val="22"/>
        </w:rPr>
        <w:t xml:space="preserve">for working capital accruals, </w:t>
      </w:r>
      <w:r w:rsidR="00410D45" w:rsidRPr="00905ACC">
        <w:rPr>
          <w:szCs w:val="22"/>
        </w:rPr>
        <w:t xml:space="preserve">the </w:t>
      </w:r>
      <w:r w:rsidR="00AC559F" w:rsidRPr="00905ACC">
        <w:rPr>
          <w:szCs w:val="22"/>
        </w:rPr>
        <w:t xml:space="preserve">scaled-adjusted </w:t>
      </w:r>
      <w:r w:rsidR="00410D45" w:rsidRPr="00905ACC">
        <w:rPr>
          <w:szCs w:val="22"/>
        </w:rPr>
        <w:t xml:space="preserve">hedge return </w:t>
      </w:r>
      <w:r w:rsidR="00AC559F" w:rsidRPr="00905ACC">
        <w:rPr>
          <w:szCs w:val="22"/>
        </w:rPr>
        <w:t>with percent measure</w:t>
      </w:r>
      <w:r w:rsidR="00181E52" w:rsidRPr="00905ACC">
        <w:rPr>
          <w:szCs w:val="22"/>
        </w:rPr>
        <w:t xml:space="preserve"> is approximately</w:t>
      </w:r>
      <w:r w:rsidR="001358C9" w:rsidRPr="00905ACC">
        <w:rPr>
          <w:szCs w:val="22"/>
        </w:rPr>
        <w:t xml:space="preserve"> three-quarter</w:t>
      </w:r>
      <w:r w:rsidR="00D21938">
        <w:rPr>
          <w:szCs w:val="22"/>
        </w:rPr>
        <w:t>s</w:t>
      </w:r>
      <w:r w:rsidR="00181E52" w:rsidRPr="00905ACC">
        <w:rPr>
          <w:szCs w:val="22"/>
        </w:rPr>
        <w:t xml:space="preserve"> higher than the corresponding</w:t>
      </w:r>
      <w:r w:rsidR="00AC559F" w:rsidRPr="00905ACC">
        <w:rPr>
          <w:szCs w:val="22"/>
        </w:rPr>
        <w:t xml:space="preserve"> return with</w:t>
      </w:r>
      <w:r w:rsidR="00410D45" w:rsidRPr="00905ACC">
        <w:rPr>
          <w:szCs w:val="22"/>
        </w:rPr>
        <w:t xml:space="preserve"> </w:t>
      </w:r>
      <w:r w:rsidR="00D21938">
        <w:rPr>
          <w:szCs w:val="22"/>
        </w:rPr>
        <w:t xml:space="preserve">the </w:t>
      </w:r>
      <w:r w:rsidR="00410D45" w:rsidRPr="00905ACC">
        <w:rPr>
          <w:szCs w:val="22"/>
        </w:rPr>
        <w:t xml:space="preserve">traditional </w:t>
      </w:r>
      <w:r w:rsidR="00AC559F" w:rsidRPr="00905ACC">
        <w:rPr>
          <w:szCs w:val="22"/>
        </w:rPr>
        <w:t>approach</w:t>
      </w:r>
      <w:r w:rsidR="00410D45" w:rsidRPr="00905ACC">
        <w:rPr>
          <w:szCs w:val="22"/>
        </w:rPr>
        <w:t>.</w:t>
      </w:r>
      <w:r w:rsidR="00181E52" w:rsidRPr="00905ACC">
        <w:rPr>
          <w:szCs w:val="22"/>
        </w:rPr>
        <w:t xml:space="preserve"> </w:t>
      </w:r>
      <w:r w:rsidR="00683B4F" w:rsidRPr="00905ACC">
        <w:rPr>
          <w:szCs w:val="22"/>
        </w:rPr>
        <w:t>They</w:t>
      </w:r>
      <w:r w:rsidR="00577FFA" w:rsidRPr="00905ACC">
        <w:rPr>
          <w:szCs w:val="22"/>
        </w:rPr>
        <w:t xml:space="preserve"> further point o</w:t>
      </w:r>
      <w:r w:rsidR="00B04C4A" w:rsidRPr="00905ACC">
        <w:rPr>
          <w:szCs w:val="22"/>
        </w:rPr>
        <w:t xml:space="preserve">ut that </w:t>
      </w:r>
      <w:r w:rsidR="00577FFA" w:rsidRPr="00905ACC">
        <w:rPr>
          <w:szCs w:val="22"/>
        </w:rPr>
        <w:t xml:space="preserve">there is a negative relation between </w:t>
      </w:r>
      <w:r w:rsidR="00B04C4A" w:rsidRPr="00905ACC">
        <w:rPr>
          <w:szCs w:val="22"/>
        </w:rPr>
        <w:t xml:space="preserve">innovations in aggregate accruals </w:t>
      </w:r>
      <w:r w:rsidR="00577FFA" w:rsidRPr="00905ACC">
        <w:rPr>
          <w:szCs w:val="22"/>
        </w:rPr>
        <w:t xml:space="preserve">and </w:t>
      </w:r>
      <w:r w:rsidR="00B04C4A" w:rsidRPr="00905ACC">
        <w:rPr>
          <w:szCs w:val="22"/>
        </w:rPr>
        <w:t>contemporaneous aggregate</w:t>
      </w:r>
      <w:r w:rsidR="002D36F7" w:rsidRPr="00905ACC">
        <w:rPr>
          <w:szCs w:val="22"/>
        </w:rPr>
        <w:t xml:space="preserve"> stock returns</w:t>
      </w:r>
      <w:r w:rsidR="00577FFA" w:rsidRPr="00905ACC">
        <w:rPr>
          <w:szCs w:val="22"/>
        </w:rPr>
        <w:t xml:space="preserve"> while</w:t>
      </w:r>
      <w:r w:rsidR="00B04C4A" w:rsidRPr="00905ACC">
        <w:rPr>
          <w:szCs w:val="22"/>
        </w:rPr>
        <w:t xml:space="preserve"> </w:t>
      </w:r>
      <w:r w:rsidR="00577FFA" w:rsidRPr="00905ACC">
        <w:rPr>
          <w:szCs w:val="22"/>
        </w:rPr>
        <w:t xml:space="preserve">the correlation between </w:t>
      </w:r>
      <w:r w:rsidR="00B04C4A" w:rsidRPr="00905ACC">
        <w:rPr>
          <w:szCs w:val="22"/>
        </w:rPr>
        <w:lastRenderedPageBreak/>
        <w:t>innovations in aggregate c</w:t>
      </w:r>
      <w:r w:rsidR="00C90D59" w:rsidRPr="00905ACC">
        <w:rPr>
          <w:szCs w:val="22"/>
        </w:rPr>
        <w:t xml:space="preserve">ash flows </w:t>
      </w:r>
      <w:r w:rsidR="00577FFA" w:rsidRPr="00905ACC">
        <w:rPr>
          <w:szCs w:val="22"/>
        </w:rPr>
        <w:t>and</w:t>
      </w:r>
      <w:r w:rsidR="00B04C4A" w:rsidRPr="00905ACC">
        <w:rPr>
          <w:szCs w:val="22"/>
        </w:rPr>
        <w:t xml:space="preserve"> aggregate returns</w:t>
      </w:r>
      <w:r w:rsidR="00577FFA" w:rsidRPr="00905ACC">
        <w:rPr>
          <w:szCs w:val="22"/>
        </w:rPr>
        <w:t xml:space="preserve"> appears positive</w:t>
      </w:r>
      <w:r w:rsidR="00B04C4A" w:rsidRPr="00905ACC">
        <w:rPr>
          <w:szCs w:val="22"/>
        </w:rPr>
        <w:t xml:space="preserve">. </w:t>
      </w:r>
      <w:r w:rsidR="00342C61" w:rsidRPr="00905ACC">
        <w:rPr>
          <w:szCs w:val="22"/>
        </w:rPr>
        <w:t>In addition, Zhang (2007) also state</w:t>
      </w:r>
      <w:r w:rsidR="00D05112" w:rsidRPr="00905ACC">
        <w:rPr>
          <w:szCs w:val="22"/>
        </w:rPr>
        <w:t>s</w:t>
      </w:r>
      <w:r w:rsidR="00342C61" w:rsidRPr="00905ACC">
        <w:rPr>
          <w:szCs w:val="22"/>
        </w:rPr>
        <w:t xml:space="preserve"> that the investors’ overreaction to </w:t>
      </w:r>
      <w:r w:rsidR="007A0805" w:rsidRPr="00905ACC">
        <w:rPr>
          <w:szCs w:val="22"/>
        </w:rPr>
        <w:t xml:space="preserve">the </w:t>
      </w:r>
      <w:r w:rsidR="00342C61" w:rsidRPr="00905ACC">
        <w:rPr>
          <w:szCs w:val="22"/>
        </w:rPr>
        <w:t>past grow</w:t>
      </w:r>
      <w:r w:rsidR="00C31EED" w:rsidRPr="00905ACC">
        <w:rPr>
          <w:szCs w:val="22"/>
        </w:rPr>
        <w:t>th may cause accrual anomaly</w:t>
      </w:r>
      <w:r w:rsidR="00D21938">
        <w:rPr>
          <w:szCs w:val="22"/>
        </w:rPr>
        <w:t>;</w:t>
      </w:r>
      <w:r w:rsidR="00C31EED" w:rsidRPr="00905ACC">
        <w:rPr>
          <w:szCs w:val="22"/>
        </w:rPr>
        <w:t xml:space="preserve"> therefore</w:t>
      </w:r>
      <w:r w:rsidR="00D21938">
        <w:rPr>
          <w:szCs w:val="22"/>
        </w:rPr>
        <w:t>,</w:t>
      </w:r>
      <w:r w:rsidR="00342C61" w:rsidRPr="00905ACC">
        <w:rPr>
          <w:szCs w:val="22"/>
        </w:rPr>
        <w:t xml:space="preserve"> investors’ misunderstanding of reducing marginal returns to new investment is the reason </w:t>
      </w:r>
      <w:r w:rsidR="00D21938">
        <w:rPr>
          <w:szCs w:val="22"/>
        </w:rPr>
        <w:t>for the</w:t>
      </w:r>
      <w:r w:rsidR="00342C61" w:rsidRPr="00905ACC">
        <w:rPr>
          <w:szCs w:val="22"/>
        </w:rPr>
        <w:t xml:space="preserve"> accrual anomaly</w:t>
      </w:r>
      <w:r w:rsidR="008D043E" w:rsidRPr="00905ACC">
        <w:rPr>
          <w:szCs w:val="22"/>
        </w:rPr>
        <w:t xml:space="preserve"> phenomenon</w:t>
      </w:r>
      <w:r w:rsidR="00342C61" w:rsidRPr="00905ACC">
        <w:rPr>
          <w:szCs w:val="22"/>
        </w:rPr>
        <w:t>.</w:t>
      </w:r>
      <w:r w:rsidR="00556147">
        <w:rPr>
          <w:szCs w:val="22"/>
        </w:rPr>
        <w:t xml:space="preserve"> </w:t>
      </w:r>
      <w:r w:rsidR="00556147" w:rsidRPr="00B773B5">
        <w:rPr>
          <w:szCs w:val="22"/>
        </w:rPr>
        <w:t xml:space="preserve">Moreover, recent research by Hope et al. (2017), indicates that accrual quality increases with the demand for monitoring by equity investors, </w:t>
      </w:r>
      <w:hyperlink r:id="rId8" w:tooltip="Learn more about Supplier" w:history="1">
        <w:r w:rsidR="00556147" w:rsidRPr="00B773B5">
          <w:rPr>
            <w:szCs w:val="22"/>
          </w:rPr>
          <w:t>suppliers</w:t>
        </w:r>
      </w:hyperlink>
      <w:r w:rsidR="00556147" w:rsidRPr="00B773B5">
        <w:rPr>
          <w:szCs w:val="22"/>
        </w:rPr>
        <w:t xml:space="preserve"> and lenders in some U.S. privately-held fir</w:t>
      </w:r>
      <w:r w:rsidR="006468F2">
        <w:rPr>
          <w:szCs w:val="22"/>
        </w:rPr>
        <w:t xml:space="preserve">ms. Their finding shows that </w:t>
      </w:r>
      <w:r w:rsidR="00556147" w:rsidRPr="00B773B5">
        <w:rPr>
          <w:szCs w:val="22"/>
        </w:rPr>
        <w:t>overall, accrua</w:t>
      </w:r>
      <w:r w:rsidR="004904B7">
        <w:rPr>
          <w:szCs w:val="22"/>
        </w:rPr>
        <w:t xml:space="preserve">l quality of private U.S. firms </w:t>
      </w:r>
      <w:r w:rsidR="00556147" w:rsidRPr="00B773B5">
        <w:rPr>
          <w:szCs w:val="22"/>
        </w:rPr>
        <w:t>varies predictably with certain firm characteristics.</w:t>
      </w:r>
    </w:p>
    <w:p w:rsidR="00AE6C49" w:rsidRDefault="003C2304">
      <w:pPr>
        <w:ind w:firstLineChars="200" w:firstLine="440"/>
        <w:contextualSpacing/>
        <w:rPr>
          <w:szCs w:val="22"/>
        </w:rPr>
      </w:pPr>
      <w:r w:rsidRPr="00905ACC">
        <w:rPr>
          <w:szCs w:val="22"/>
        </w:rPr>
        <w:t xml:space="preserve">Allen et al. (2013) provide </w:t>
      </w:r>
      <w:r w:rsidR="005C05FE" w:rsidRPr="00905ACC">
        <w:rPr>
          <w:szCs w:val="22"/>
        </w:rPr>
        <w:t xml:space="preserve">convincing evidence </w:t>
      </w:r>
      <w:r w:rsidR="00803EDE">
        <w:rPr>
          <w:szCs w:val="22"/>
        </w:rPr>
        <w:t>at</w:t>
      </w:r>
      <w:r w:rsidR="00803EDE" w:rsidRPr="00905ACC">
        <w:rPr>
          <w:szCs w:val="22"/>
        </w:rPr>
        <w:t xml:space="preserve"> </w:t>
      </w:r>
      <w:r w:rsidR="00803EDE">
        <w:rPr>
          <w:szCs w:val="22"/>
        </w:rPr>
        <w:t>the</w:t>
      </w:r>
      <w:r w:rsidR="00803EDE" w:rsidRPr="00905ACC">
        <w:rPr>
          <w:szCs w:val="22"/>
        </w:rPr>
        <w:t xml:space="preserve"> </w:t>
      </w:r>
      <w:r w:rsidR="005C05FE" w:rsidRPr="00905ACC">
        <w:rPr>
          <w:szCs w:val="22"/>
        </w:rPr>
        <w:t>firm-level that</w:t>
      </w:r>
      <w:r w:rsidRPr="00905ACC">
        <w:rPr>
          <w:szCs w:val="22"/>
        </w:rPr>
        <w:t xml:space="preserve"> working capital accruals</w:t>
      </w:r>
      <w:r w:rsidR="005C05FE" w:rsidRPr="00905ACC">
        <w:rPr>
          <w:szCs w:val="22"/>
        </w:rPr>
        <w:t xml:space="preserve"> can be reversed. They</w:t>
      </w:r>
      <w:r w:rsidRPr="00905ACC">
        <w:rPr>
          <w:szCs w:val="22"/>
        </w:rPr>
        <w:t xml:space="preserve"> </w:t>
      </w:r>
      <w:r w:rsidR="005C05FE" w:rsidRPr="00905ACC">
        <w:rPr>
          <w:szCs w:val="22"/>
        </w:rPr>
        <w:t>point out</w:t>
      </w:r>
      <w:r w:rsidRPr="00905ACC">
        <w:rPr>
          <w:szCs w:val="22"/>
        </w:rPr>
        <w:t xml:space="preserve"> that</w:t>
      </w:r>
      <w:r w:rsidR="005C05FE" w:rsidRPr="00905ACC">
        <w:rPr>
          <w:szCs w:val="22"/>
        </w:rPr>
        <w:t xml:space="preserve"> there are at least two specific potential procedures in accrual reversal</w:t>
      </w:r>
      <w:r w:rsidR="00312F13">
        <w:rPr>
          <w:szCs w:val="22"/>
        </w:rPr>
        <w:t>:</w:t>
      </w:r>
      <w:r w:rsidR="005C05FE" w:rsidRPr="00905ACC">
        <w:rPr>
          <w:szCs w:val="22"/>
        </w:rPr>
        <w:t xml:space="preserve"> </w:t>
      </w:r>
      <w:r w:rsidR="00803EDE">
        <w:rPr>
          <w:szCs w:val="22"/>
        </w:rPr>
        <w:t>one is</w:t>
      </w:r>
      <w:r w:rsidR="005C05FE" w:rsidRPr="00905ACC">
        <w:rPr>
          <w:szCs w:val="22"/>
        </w:rPr>
        <w:t xml:space="preserve"> positively serial</w:t>
      </w:r>
      <w:r w:rsidR="00803EDE">
        <w:rPr>
          <w:szCs w:val="22"/>
        </w:rPr>
        <w:t>ly</w:t>
      </w:r>
      <w:r w:rsidR="005C05FE" w:rsidRPr="00905ACC">
        <w:rPr>
          <w:szCs w:val="22"/>
        </w:rPr>
        <w:t xml:space="preserve">-correlated with returns and the other </w:t>
      </w:r>
      <w:r w:rsidR="00E31A74" w:rsidRPr="00905ACC">
        <w:rPr>
          <w:szCs w:val="22"/>
        </w:rPr>
        <w:t xml:space="preserve">is </w:t>
      </w:r>
      <w:r w:rsidR="00803EDE">
        <w:rPr>
          <w:szCs w:val="22"/>
        </w:rPr>
        <w:t>negatively correlated</w:t>
      </w:r>
      <w:r w:rsidR="005C05FE" w:rsidRPr="00905ACC">
        <w:rPr>
          <w:szCs w:val="22"/>
        </w:rPr>
        <w:t xml:space="preserve">. </w:t>
      </w:r>
      <w:r w:rsidR="00803EDE">
        <w:rPr>
          <w:szCs w:val="22"/>
        </w:rPr>
        <w:t>T</w:t>
      </w:r>
      <w:r w:rsidR="005A69EF" w:rsidRPr="00905ACC">
        <w:rPr>
          <w:szCs w:val="22"/>
        </w:rPr>
        <w:t>hey</w:t>
      </w:r>
      <w:r w:rsidR="005C05FE" w:rsidRPr="00905ACC">
        <w:rPr>
          <w:szCs w:val="22"/>
        </w:rPr>
        <w:t xml:space="preserve"> suggest</w:t>
      </w:r>
      <w:r w:rsidRPr="00905ACC">
        <w:rPr>
          <w:szCs w:val="22"/>
        </w:rPr>
        <w:t xml:space="preserve"> that </w:t>
      </w:r>
      <w:r w:rsidR="000D33B7" w:rsidRPr="00905ACC">
        <w:rPr>
          <w:szCs w:val="22"/>
        </w:rPr>
        <w:t>good accruals reversals lead to higher earnings persistence</w:t>
      </w:r>
      <w:r w:rsidR="005C05FE" w:rsidRPr="00905ACC">
        <w:rPr>
          <w:szCs w:val="22"/>
        </w:rPr>
        <w:t xml:space="preserve"> while</w:t>
      </w:r>
      <w:r w:rsidRPr="00905ACC">
        <w:rPr>
          <w:szCs w:val="22"/>
        </w:rPr>
        <w:t xml:space="preserve"> </w:t>
      </w:r>
      <w:r w:rsidR="005E6A63" w:rsidRPr="00905ACC">
        <w:rPr>
          <w:szCs w:val="22"/>
        </w:rPr>
        <w:t>accrual</w:t>
      </w:r>
      <w:r w:rsidR="009F40A1" w:rsidRPr="00905ACC">
        <w:rPr>
          <w:szCs w:val="22"/>
        </w:rPr>
        <w:t>s estimation error</w:t>
      </w:r>
      <w:r w:rsidRPr="00905ACC">
        <w:rPr>
          <w:szCs w:val="22"/>
        </w:rPr>
        <w:t xml:space="preserve"> </w:t>
      </w:r>
      <w:r w:rsidR="005E6A63" w:rsidRPr="00905ACC">
        <w:rPr>
          <w:szCs w:val="22"/>
        </w:rPr>
        <w:t>has</w:t>
      </w:r>
      <w:r w:rsidR="005C05FE" w:rsidRPr="00905ACC">
        <w:rPr>
          <w:szCs w:val="22"/>
        </w:rPr>
        <w:t xml:space="preserve"> the lowest persistence</w:t>
      </w:r>
      <w:r w:rsidRPr="00905ACC">
        <w:rPr>
          <w:szCs w:val="22"/>
        </w:rPr>
        <w:t xml:space="preserve"> </w:t>
      </w:r>
      <w:r w:rsidR="005606EF" w:rsidRPr="00905ACC">
        <w:rPr>
          <w:szCs w:val="22"/>
        </w:rPr>
        <w:t xml:space="preserve">within </w:t>
      </w:r>
      <w:r w:rsidR="00BF59F9" w:rsidRPr="00905ACC">
        <w:rPr>
          <w:szCs w:val="22"/>
        </w:rPr>
        <w:t>the component of earnings</w:t>
      </w:r>
      <w:r w:rsidRPr="00905ACC">
        <w:rPr>
          <w:szCs w:val="22"/>
        </w:rPr>
        <w:t xml:space="preserve"> and the </w:t>
      </w:r>
      <w:r w:rsidR="005C05FE" w:rsidRPr="00905ACC">
        <w:rPr>
          <w:szCs w:val="22"/>
        </w:rPr>
        <w:t xml:space="preserve">mispricing of accruals is </w:t>
      </w:r>
      <w:r w:rsidR="005E6A63" w:rsidRPr="00905ACC">
        <w:rPr>
          <w:szCs w:val="22"/>
        </w:rPr>
        <w:t xml:space="preserve">the result </w:t>
      </w:r>
      <w:r w:rsidR="00EB558F" w:rsidRPr="00905ACC">
        <w:rPr>
          <w:szCs w:val="22"/>
        </w:rPr>
        <w:t xml:space="preserve">of both </w:t>
      </w:r>
      <w:r w:rsidR="005C05FE" w:rsidRPr="00905ACC">
        <w:rPr>
          <w:szCs w:val="22"/>
        </w:rPr>
        <w:t xml:space="preserve">firm growth and accrual evaluation </w:t>
      </w:r>
      <w:r w:rsidR="00D31E25">
        <w:rPr>
          <w:szCs w:val="22"/>
        </w:rPr>
        <w:t>errors</w:t>
      </w:r>
      <w:r w:rsidR="00AE2184" w:rsidRPr="00905ACC">
        <w:rPr>
          <w:szCs w:val="22"/>
        </w:rPr>
        <w:t>.</w:t>
      </w:r>
      <w:r w:rsidR="0025776B" w:rsidRPr="002E4684">
        <w:rPr>
          <w:szCs w:val="22"/>
        </w:rPr>
        <w:t xml:space="preserve"> </w:t>
      </w:r>
      <w:r w:rsidR="00D31E25">
        <w:rPr>
          <w:szCs w:val="22"/>
        </w:rPr>
        <w:t>Consistent with this thinking</w:t>
      </w:r>
      <w:r w:rsidR="000667F2">
        <w:rPr>
          <w:szCs w:val="22"/>
        </w:rPr>
        <w:t xml:space="preserve">, </w:t>
      </w:r>
      <w:r w:rsidR="008011E2" w:rsidRPr="002E4684">
        <w:rPr>
          <w:szCs w:val="22"/>
        </w:rPr>
        <w:t>Izadi</w:t>
      </w:r>
      <w:r w:rsidR="00C94DA9" w:rsidRPr="002E4684">
        <w:rPr>
          <w:szCs w:val="22"/>
        </w:rPr>
        <w:t xml:space="preserve"> </w:t>
      </w:r>
      <w:r w:rsidR="00BB2E5D" w:rsidRPr="002E4684">
        <w:rPr>
          <w:szCs w:val="22"/>
        </w:rPr>
        <w:t>(201</w:t>
      </w:r>
      <w:r w:rsidR="002E4684">
        <w:rPr>
          <w:szCs w:val="22"/>
        </w:rPr>
        <w:t>6</w:t>
      </w:r>
      <w:r w:rsidR="00BB2E5D" w:rsidRPr="002E4684">
        <w:rPr>
          <w:szCs w:val="22"/>
        </w:rPr>
        <w:t xml:space="preserve">) </w:t>
      </w:r>
      <w:r w:rsidR="0060484F" w:rsidRPr="002E4684">
        <w:rPr>
          <w:szCs w:val="22"/>
        </w:rPr>
        <w:t>provide</w:t>
      </w:r>
      <w:r w:rsidR="00D31E25">
        <w:rPr>
          <w:szCs w:val="22"/>
        </w:rPr>
        <w:t>s</w:t>
      </w:r>
      <w:r w:rsidR="0060484F" w:rsidRPr="002E4684">
        <w:rPr>
          <w:szCs w:val="22"/>
        </w:rPr>
        <w:t xml:space="preserve"> empirical evidence </w:t>
      </w:r>
      <w:r w:rsidR="005606EF" w:rsidRPr="002E4684">
        <w:rPr>
          <w:szCs w:val="22"/>
        </w:rPr>
        <w:t>using British firms’ financial</w:t>
      </w:r>
      <w:r w:rsidR="00C94DA9" w:rsidRPr="002E4684">
        <w:rPr>
          <w:szCs w:val="22"/>
        </w:rPr>
        <w:t xml:space="preserve"> </w:t>
      </w:r>
      <w:r w:rsidR="001E3AD0" w:rsidRPr="002E4684">
        <w:rPr>
          <w:szCs w:val="22"/>
        </w:rPr>
        <w:t xml:space="preserve">data </w:t>
      </w:r>
      <w:r w:rsidR="008011E2" w:rsidRPr="002E4684">
        <w:rPr>
          <w:szCs w:val="22"/>
        </w:rPr>
        <w:t xml:space="preserve">to highlight the importance of </w:t>
      </w:r>
      <w:r w:rsidR="008011E2" w:rsidRPr="000667F2">
        <w:rPr>
          <w:szCs w:val="22"/>
        </w:rPr>
        <w:t>the role of accrual estimation errors. His finding</w:t>
      </w:r>
      <w:r w:rsidR="00D31E25">
        <w:rPr>
          <w:szCs w:val="22"/>
        </w:rPr>
        <w:t>s</w:t>
      </w:r>
      <w:r w:rsidR="008011E2" w:rsidRPr="000667F2">
        <w:rPr>
          <w:szCs w:val="22"/>
        </w:rPr>
        <w:t xml:space="preserve"> indicate that the quality of accruals and earnings can </w:t>
      </w:r>
      <w:r w:rsidR="005E0FC4" w:rsidRPr="000667F2">
        <w:rPr>
          <w:szCs w:val="22"/>
        </w:rPr>
        <w:t>reduce</w:t>
      </w:r>
      <w:r w:rsidR="008011E2" w:rsidRPr="000667F2">
        <w:rPr>
          <w:szCs w:val="22"/>
        </w:rPr>
        <w:t xml:space="preserve"> the magnitude of </w:t>
      </w:r>
      <w:r w:rsidR="00D31E25">
        <w:rPr>
          <w:szCs w:val="22"/>
        </w:rPr>
        <w:t xml:space="preserve">the </w:t>
      </w:r>
      <w:r w:rsidR="005E0FC4" w:rsidRPr="000667F2">
        <w:rPr>
          <w:szCs w:val="22"/>
        </w:rPr>
        <w:t xml:space="preserve">accruals </w:t>
      </w:r>
      <w:r w:rsidR="008011E2" w:rsidRPr="000667F2">
        <w:rPr>
          <w:szCs w:val="22"/>
        </w:rPr>
        <w:t>estimation error.</w:t>
      </w:r>
      <w:r w:rsidR="000667F2" w:rsidRPr="002E4684">
        <w:rPr>
          <w:szCs w:val="22"/>
        </w:rPr>
        <w:t xml:space="preserve"> </w:t>
      </w:r>
    </w:p>
    <w:p w:rsidR="00AE6C49" w:rsidRDefault="00900E3F">
      <w:pPr>
        <w:ind w:firstLineChars="200" w:firstLine="440"/>
        <w:contextualSpacing/>
        <w:rPr>
          <w:szCs w:val="22"/>
        </w:rPr>
      </w:pPr>
      <w:r>
        <w:rPr>
          <w:szCs w:val="22"/>
        </w:rPr>
        <w:t>Re</w:t>
      </w:r>
      <w:r w:rsidR="00AE6C49">
        <w:rPr>
          <w:szCs w:val="22"/>
        </w:rPr>
        <w:t xml:space="preserve">search by </w:t>
      </w:r>
      <w:r w:rsidR="00AE6C49" w:rsidRPr="00D75349">
        <w:rPr>
          <w:szCs w:val="22"/>
        </w:rPr>
        <w:t xml:space="preserve">Chan et al. (2009) </w:t>
      </w:r>
      <w:r>
        <w:rPr>
          <w:szCs w:val="22"/>
        </w:rPr>
        <w:t xml:space="preserve">was the first which </w:t>
      </w:r>
      <w:r w:rsidR="00AE6C49">
        <w:rPr>
          <w:szCs w:val="22"/>
        </w:rPr>
        <w:t>contribute</w:t>
      </w:r>
      <w:r>
        <w:rPr>
          <w:szCs w:val="22"/>
        </w:rPr>
        <w:t>s</w:t>
      </w:r>
      <w:r w:rsidR="00AE6C49">
        <w:rPr>
          <w:szCs w:val="22"/>
        </w:rPr>
        <w:t xml:space="preserve"> to </w:t>
      </w:r>
      <w:r w:rsidR="00AE6C49" w:rsidRPr="007D75D2">
        <w:rPr>
          <w:szCs w:val="22"/>
        </w:rPr>
        <w:t xml:space="preserve">the literature </w:t>
      </w:r>
      <w:r w:rsidR="00AE6C49">
        <w:rPr>
          <w:szCs w:val="22"/>
        </w:rPr>
        <w:t>by using</w:t>
      </w:r>
      <w:r w:rsidR="00AE6C49" w:rsidRPr="007D75D2">
        <w:rPr>
          <w:szCs w:val="22"/>
        </w:rPr>
        <w:t xml:space="preserve"> accrual anomaly in the context of</w:t>
      </w:r>
      <w:r w:rsidR="00AE6C49">
        <w:rPr>
          <w:szCs w:val="22"/>
        </w:rPr>
        <w:t xml:space="preserve"> </w:t>
      </w:r>
      <w:r w:rsidRPr="00900E3F">
        <w:rPr>
          <w:szCs w:val="22"/>
        </w:rPr>
        <w:t xml:space="preserve">FRS3. </w:t>
      </w:r>
      <w:r>
        <w:rPr>
          <w:szCs w:val="22"/>
        </w:rPr>
        <w:t xml:space="preserve">Regarding </w:t>
      </w:r>
      <w:r w:rsidRPr="009B1C34">
        <w:rPr>
          <w:szCs w:val="22"/>
        </w:rPr>
        <w:t>the adoption of FRS3 by</w:t>
      </w:r>
      <w:r>
        <w:rPr>
          <w:szCs w:val="22"/>
        </w:rPr>
        <w:t xml:space="preserve"> </w:t>
      </w:r>
      <w:r w:rsidRPr="009B1C34">
        <w:rPr>
          <w:szCs w:val="22"/>
        </w:rPr>
        <w:t>UK firms</w:t>
      </w:r>
      <w:r>
        <w:rPr>
          <w:szCs w:val="22"/>
        </w:rPr>
        <w:t>, their finding shows</w:t>
      </w:r>
      <w:r w:rsidR="00AE6C49" w:rsidRPr="007D75D2">
        <w:rPr>
          <w:szCs w:val="22"/>
        </w:rPr>
        <w:t xml:space="preserve"> that the</w:t>
      </w:r>
      <w:r>
        <w:rPr>
          <w:szCs w:val="22"/>
        </w:rPr>
        <w:t>re is a</w:t>
      </w:r>
      <w:r w:rsidR="00AE6C49" w:rsidRPr="007D75D2">
        <w:rPr>
          <w:szCs w:val="22"/>
        </w:rPr>
        <w:t xml:space="preserve"> negative </w:t>
      </w:r>
      <w:r>
        <w:rPr>
          <w:szCs w:val="22"/>
        </w:rPr>
        <w:t xml:space="preserve">association </w:t>
      </w:r>
      <w:r w:rsidR="00AE6C49" w:rsidRPr="007D75D2">
        <w:rPr>
          <w:szCs w:val="22"/>
        </w:rPr>
        <w:t xml:space="preserve">between working capital accruals and subsequent </w:t>
      </w:r>
      <w:r w:rsidRPr="00900E3F">
        <w:rPr>
          <w:szCs w:val="22"/>
        </w:rPr>
        <w:t>returns</w:t>
      </w:r>
      <w:r>
        <w:rPr>
          <w:szCs w:val="22"/>
        </w:rPr>
        <w:t>. However, their regression result demonstrates that</w:t>
      </w:r>
      <w:r w:rsidRPr="00900E3F">
        <w:rPr>
          <w:szCs w:val="22"/>
        </w:rPr>
        <w:t xml:space="preserve"> </w:t>
      </w:r>
      <w:r w:rsidR="004B274A">
        <w:rPr>
          <w:szCs w:val="22"/>
        </w:rPr>
        <w:t xml:space="preserve">it </w:t>
      </w:r>
      <w:r w:rsidRPr="00900E3F">
        <w:rPr>
          <w:szCs w:val="22"/>
        </w:rPr>
        <w:t>is</w:t>
      </w:r>
      <w:r w:rsidR="00AE6C49" w:rsidRPr="007D75D2">
        <w:rPr>
          <w:szCs w:val="22"/>
        </w:rPr>
        <w:t xml:space="preserve"> not sig</w:t>
      </w:r>
      <w:r w:rsidRPr="00900E3F">
        <w:rPr>
          <w:szCs w:val="22"/>
        </w:rPr>
        <w:t>nificant at conventional levels</w:t>
      </w:r>
      <w:r>
        <w:rPr>
          <w:szCs w:val="22"/>
        </w:rPr>
        <w:t>. Also, they use</w:t>
      </w:r>
      <w:r w:rsidR="00AE6C49" w:rsidRPr="007D75D2">
        <w:rPr>
          <w:szCs w:val="22"/>
        </w:rPr>
        <w:t xml:space="preserve">, working capital accruals as a </w:t>
      </w:r>
      <w:r>
        <w:rPr>
          <w:szCs w:val="22"/>
        </w:rPr>
        <w:t>part</w:t>
      </w:r>
      <w:r w:rsidR="00AE6C49" w:rsidRPr="007D75D2">
        <w:rPr>
          <w:szCs w:val="22"/>
        </w:rPr>
        <w:t xml:space="preserve"> of total accruals </w:t>
      </w:r>
      <w:r>
        <w:rPr>
          <w:szCs w:val="22"/>
        </w:rPr>
        <w:t xml:space="preserve">which </w:t>
      </w:r>
      <w:r w:rsidR="00AE6C49" w:rsidRPr="007D75D2">
        <w:rPr>
          <w:szCs w:val="22"/>
        </w:rPr>
        <w:t xml:space="preserve">could not </w:t>
      </w:r>
      <w:r>
        <w:rPr>
          <w:szCs w:val="22"/>
        </w:rPr>
        <w:t>cover</w:t>
      </w:r>
      <w:r w:rsidR="00AE6C49" w:rsidRPr="007D75D2">
        <w:rPr>
          <w:szCs w:val="22"/>
        </w:rPr>
        <w:t xml:space="preserve"> accounting</w:t>
      </w:r>
      <w:r>
        <w:rPr>
          <w:szCs w:val="22"/>
        </w:rPr>
        <w:t xml:space="preserve"> </w:t>
      </w:r>
      <w:r w:rsidRPr="001E2807">
        <w:t>misrepresentations</w:t>
      </w:r>
      <w:r w:rsidRPr="00900E3F">
        <w:rPr>
          <w:szCs w:val="22"/>
        </w:rPr>
        <w:t xml:space="preserve"> </w:t>
      </w:r>
      <w:r>
        <w:rPr>
          <w:szCs w:val="22"/>
        </w:rPr>
        <w:t xml:space="preserve">for </w:t>
      </w:r>
      <w:r w:rsidR="00AE6C49" w:rsidRPr="007D75D2">
        <w:rPr>
          <w:szCs w:val="22"/>
        </w:rPr>
        <w:t xml:space="preserve">long-term accruals. </w:t>
      </w:r>
      <w:r>
        <w:rPr>
          <w:szCs w:val="22"/>
        </w:rPr>
        <w:t>Given that</w:t>
      </w:r>
      <w:r w:rsidR="00AE6C49" w:rsidRPr="007D75D2">
        <w:rPr>
          <w:szCs w:val="22"/>
        </w:rPr>
        <w:t xml:space="preserve">, </w:t>
      </w:r>
      <w:r>
        <w:rPr>
          <w:szCs w:val="22"/>
        </w:rPr>
        <w:t xml:space="preserve">only using </w:t>
      </w:r>
      <w:r w:rsidR="00AE6C49" w:rsidRPr="007D75D2">
        <w:rPr>
          <w:szCs w:val="22"/>
        </w:rPr>
        <w:t>working capital accruals could not also</w:t>
      </w:r>
      <w:r>
        <w:rPr>
          <w:szCs w:val="22"/>
        </w:rPr>
        <w:t xml:space="preserve"> </w:t>
      </w:r>
      <w:r w:rsidR="00172763">
        <w:rPr>
          <w:szCs w:val="22"/>
        </w:rPr>
        <w:t xml:space="preserve">be </w:t>
      </w:r>
      <w:r w:rsidR="00047194">
        <w:rPr>
          <w:szCs w:val="22"/>
        </w:rPr>
        <w:t>consider</w:t>
      </w:r>
      <w:r w:rsidR="00172763">
        <w:rPr>
          <w:szCs w:val="22"/>
        </w:rPr>
        <w:t>ed</w:t>
      </w:r>
      <w:r w:rsidR="00047194">
        <w:rPr>
          <w:szCs w:val="22"/>
        </w:rPr>
        <w:t xml:space="preserve"> </w:t>
      </w:r>
      <w:r w:rsidR="00AE6C49" w:rsidRPr="007D75D2">
        <w:rPr>
          <w:szCs w:val="22"/>
        </w:rPr>
        <w:t xml:space="preserve">investment in long-term capital. </w:t>
      </w:r>
    </w:p>
    <w:p w:rsidR="00AC3F06" w:rsidRPr="00905ACC" w:rsidRDefault="00D12CFD">
      <w:pPr>
        <w:ind w:firstLineChars="200" w:firstLine="440"/>
        <w:contextualSpacing/>
        <w:rPr>
          <w:szCs w:val="22"/>
        </w:rPr>
      </w:pPr>
      <w:r w:rsidRPr="00905ACC">
        <w:rPr>
          <w:szCs w:val="22"/>
        </w:rPr>
        <w:t>However, Papanastasopoulos (2015) investigates accrual anomaly by considering total accruals and finds that total accr</w:t>
      </w:r>
      <w:r w:rsidR="001D5417" w:rsidRPr="00905ACC">
        <w:rPr>
          <w:szCs w:val="22"/>
        </w:rPr>
        <w:t>uals are equal to the total</w:t>
      </w:r>
      <w:r w:rsidRPr="00905ACC">
        <w:rPr>
          <w:szCs w:val="22"/>
        </w:rPr>
        <w:t xml:space="preserve"> of long-term accruals </w:t>
      </w:r>
      <w:r w:rsidR="001D5417" w:rsidRPr="00905ACC">
        <w:rPr>
          <w:szCs w:val="22"/>
        </w:rPr>
        <w:t>and working capital accruals</w:t>
      </w:r>
      <w:r w:rsidR="00D31E25">
        <w:rPr>
          <w:szCs w:val="22"/>
        </w:rPr>
        <w:t>;</w:t>
      </w:r>
      <w:r w:rsidR="001D5417" w:rsidRPr="00905ACC">
        <w:rPr>
          <w:szCs w:val="22"/>
        </w:rPr>
        <w:t xml:space="preserve"> </w:t>
      </w:r>
      <w:r w:rsidRPr="00905ACC">
        <w:rPr>
          <w:szCs w:val="22"/>
        </w:rPr>
        <w:t>therefore</w:t>
      </w:r>
      <w:r w:rsidR="00D31E25">
        <w:rPr>
          <w:szCs w:val="22"/>
        </w:rPr>
        <w:t>,</w:t>
      </w:r>
      <w:r w:rsidRPr="00905ACC">
        <w:rPr>
          <w:szCs w:val="22"/>
        </w:rPr>
        <w:t xml:space="preserve"> he points out that accounting distortion could also have significant influence on the </w:t>
      </w:r>
      <w:r w:rsidR="000C1833" w:rsidRPr="00905ACC">
        <w:rPr>
          <w:szCs w:val="22"/>
        </w:rPr>
        <w:t>componen</w:t>
      </w:r>
      <w:r w:rsidR="008B5CD3" w:rsidRPr="00905ACC">
        <w:rPr>
          <w:szCs w:val="22"/>
        </w:rPr>
        <w:t>t of long-term accruals</w:t>
      </w:r>
      <w:r w:rsidR="00BF0EC5" w:rsidRPr="00905ACC">
        <w:rPr>
          <w:szCs w:val="22"/>
        </w:rPr>
        <w:t>, which</w:t>
      </w:r>
      <w:r w:rsidR="008B5CD3" w:rsidRPr="00905ACC">
        <w:rPr>
          <w:szCs w:val="22"/>
        </w:rPr>
        <w:t xml:space="preserve"> are likely to</w:t>
      </w:r>
      <w:r w:rsidR="000C1833" w:rsidRPr="00905ACC">
        <w:rPr>
          <w:szCs w:val="22"/>
        </w:rPr>
        <w:t xml:space="preserve"> include information about investment growth.</w:t>
      </w:r>
    </w:p>
    <w:p w:rsidR="00AE2184" w:rsidRPr="00905ACC" w:rsidRDefault="00AE2184" w:rsidP="007D75D2">
      <w:pPr>
        <w:ind w:firstLineChars="200" w:firstLine="440"/>
        <w:contextualSpacing/>
        <w:jc w:val="center"/>
        <w:rPr>
          <w:szCs w:val="22"/>
        </w:rPr>
      </w:pPr>
    </w:p>
    <w:p w:rsidR="002A6E46" w:rsidRPr="00F15E03" w:rsidRDefault="00F15E03">
      <w:pPr>
        <w:numPr>
          <w:ilvl w:val="0"/>
          <w:numId w:val="5"/>
        </w:numPr>
        <w:ind w:left="284" w:hanging="284"/>
        <w:contextualSpacing/>
        <w:rPr>
          <w:b/>
          <w:szCs w:val="22"/>
        </w:rPr>
      </w:pPr>
      <w:r w:rsidRPr="00F15E03">
        <w:rPr>
          <w:b/>
          <w:szCs w:val="22"/>
        </w:rPr>
        <w:t xml:space="preserve">Data </w:t>
      </w:r>
      <w:r w:rsidR="00EA24C1">
        <w:rPr>
          <w:b/>
          <w:szCs w:val="22"/>
        </w:rPr>
        <w:t>a</w:t>
      </w:r>
      <w:r w:rsidR="00EA24C1" w:rsidRPr="00F15E03">
        <w:rPr>
          <w:b/>
          <w:szCs w:val="22"/>
        </w:rPr>
        <w:t xml:space="preserve">nd </w:t>
      </w:r>
      <w:r w:rsidRPr="00F15E03">
        <w:rPr>
          <w:b/>
          <w:szCs w:val="22"/>
        </w:rPr>
        <w:t>Research Methods</w:t>
      </w:r>
    </w:p>
    <w:p w:rsidR="0066694E" w:rsidRPr="00905ACC" w:rsidRDefault="005A4634">
      <w:pPr>
        <w:ind w:firstLine="0"/>
        <w:contextualSpacing/>
        <w:rPr>
          <w:szCs w:val="22"/>
        </w:rPr>
      </w:pPr>
      <w:r w:rsidRPr="00905ACC">
        <w:rPr>
          <w:szCs w:val="22"/>
        </w:rPr>
        <w:t xml:space="preserve">Previous studies </w:t>
      </w:r>
      <w:r w:rsidR="006651C4">
        <w:rPr>
          <w:szCs w:val="22"/>
        </w:rPr>
        <w:t>have</w:t>
      </w:r>
      <w:r w:rsidR="006651C4" w:rsidRPr="00905ACC">
        <w:rPr>
          <w:szCs w:val="22"/>
        </w:rPr>
        <w:t xml:space="preserve"> </w:t>
      </w:r>
      <w:r w:rsidRPr="00905ACC">
        <w:rPr>
          <w:szCs w:val="22"/>
        </w:rPr>
        <w:t>proposed a number of mo</w:t>
      </w:r>
      <w:r w:rsidR="009A3216" w:rsidRPr="00905ACC">
        <w:rPr>
          <w:szCs w:val="22"/>
        </w:rPr>
        <w:t xml:space="preserve">dels and methods </w:t>
      </w:r>
      <w:r w:rsidR="006651C4">
        <w:rPr>
          <w:szCs w:val="22"/>
        </w:rPr>
        <w:t>for</w:t>
      </w:r>
      <w:r w:rsidR="006651C4" w:rsidRPr="00905ACC">
        <w:rPr>
          <w:szCs w:val="22"/>
        </w:rPr>
        <w:t xml:space="preserve"> </w:t>
      </w:r>
      <w:r w:rsidR="009A3216" w:rsidRPr="00905ACC">
        <w:rPr>
          <w:szCs w:val="22"/>
        </w:rPr>
        <w:t>research</w:t>
      </w:r>
      <w:r w:rsidR="006651C4">
        <w:rPr>
          <w:szCs w:val="22"/>
        </w:rPr>
        <w:t>ing</w:t>
      </w:r>
      <w:r w:rsidR="009A3216" w:rsidRPr="00905ACC">
        <w:rPr>
          <w:szCs w:val="22"/>
        </w:rPr>
        <w:t xml:space="preserve"> the relation</w:t>
      </w:r>
      <w:r w:rsidR="006651C4">
        <w:rPr>
          <w:szCs w:val="22"/>
        </w:rPr>
        <w:t>ship</w:t>
      </w:r>
      <w:r w:rsidRPr="00905ACC">
        <w:rPr>
          <w:szCs w:val="22"/>
        </w:rPr>
        <w:t xml:space="preserve"> between accruals and sto</w:t>
      </w:r>
      <w:r w:rsidR="001A3CEC" w:rsidRPr="00905ACC">
        <w:rPr>
          <w:szCs w:val="22"/>
        </w:rPr>
        <w:t>ck return</w:t>
      </w:r>
      <w:r w:rsidR="006651C4">
        <w:rPr>
          <w:szCs w:val="22"/>
        </w:rPr>
        <w:t>s.</w:t>
      </w:r>
      <w:r w:rsidR="001A3CEC" w:rsidRPr="00905ACC">
        <w:rPr>
          <w:szCs w:val="22"/>
        </w:rPr>
        <w:t xml:space="preserve"> </w:t>
      </w:r>
      <w:r w:rsidR="00263E66" w:rsidRPr="00905ACC">
        <w:rPr>
          <w:szCs w:val="22"/>
        </w:rPr>
        <w:t>Thomas</w:t>
      </w:r>
      <w:r w:rsidR="009A3216" w:rsidRPr="00905ACC">
        <w:rPr>
          <w:szCs w:val="22"/>
        </w:rPr>
        <w:t xml:space="preserve"> et al. (2012) estimate</w:t>
      </w:r>
      <w:r w:rsidR="00AC3F06" w:rsidRPr="00905ACC">
        <w:rPr>
          <w:szCs w:val="22"/>
        </w:rPr>
        <w:t xml:space="preserve"> three </w:t>
      </w:r>
      <w:r w:rsidR="009A3216" w:rsidRPr="00905ACC">
        <w:rPr>
          <w:szCs w:val="22"/>
        </w:rPr>
        <w:t>typical</w:t>
      </w:r>
      <w:r w:rsidR="00AC3F06" w:rsidRPr="00905ACC">
        <w:rPr>
          <w:szCs w:val="22"/>
        </w:rPr>
        <w:t xml:space="preserve"> accrual prediction mo</w:t>
      </w:r>
      <w:r w:rsidR="009A3216" w:rsidRPr="00905ACC">
        <w:rPr>
          <w:szCs w:val="22"/>
        </w:rPr>
        <w:t>dels</w:t>
      </w:r>
      <w:r w:rsidR="006651C4">
        <w:rPr>
          <w:szCs w:val="22"/>
        </w:rPr>
        <w:t>:</w:t>
      </w:r>
      <w:r w:rsidR="009A3216" w:rsidRPr="00905ACC">
        <w:rPr>
          <w:szCs w:val="22"/>
        </w:rPr>
        <w:t xml:space="preserve"> </w:t>
      </w:r>
      <w:r w:rsidR="006651C4">
        <w:rPr>
          <w:szCs w:val="22"/>
        </w:rPr>
        <w:t xml:space="preserve">the </w:t>
      </w:r>
      <w:r w:rsidR="009A3216" w:rsidRPr="00905ACC">
        <w:rPr>
          <w:szCs w:val="22"/>
        </w:rPr>
        <w:t>modified Jones</w:t>
      </w:r>
      <w:r w:rsidR="00A361E2">
        <w:rPr>
          <w:szCs w:val="22"/>
        </w:rPr>
        <w:t xml:space="preserve"> </w:t>
      </w:r>
      <w:r w:rsidR="00A75F80" w:rsidRPr="00905ACC">
        <w:rPr>
          <w:szCs w:val="22"/>
        </w:rPr>
        <w:t>(MJ)</w:t>
      </w:r>
      <w:r w:rsidR="009A3216" w:rsidRPr="00905ACC">
        <w:rPr>
          <w:szCs w:val="22"/>
        </w:rPr>
        <w:t xml:space="preserve"> model and </w:t>
      </w:r>
      <w:r w:rsidR="006651C4">
        <w:rPr>
          <w:szCs w:val="22"/>
        </w:rPr>
        <w:t xml:space="preserve">the </w:t>
      </w:r>
      <w:r w:rsidR="009A3216" w:rsidRPr="00905ACC">
        <w:rPr>
          <w:szCs w:val="22"/>
        </w:rPr>
        <w:t>modified Jones model</w:t>
      </w:r>
      <w:r w:rsidR="006651C4">
        <w:rPr>
          <w:szCs w:val="22"/>
        </w:rPr>
        <w:t xml:space="preserve"> which</w:t>
      </w:r>
      <w:r w:rsidR="009A3216" w:rsidRPr="00905ACC">
        <w:rPr>
          <w:szCs w:val="22"/>
        </w:rPr>
        <w:t xml:space="preserve"> includ</w:t>
      </w:r>
      <w:r w:rsidR="006651C4">
        <w:rPr>
          <w:szCs w:val="22"/>
        </w:rPr>
        <w:t>es</w:t>
      </w:r>
      <w:r w:rsidR="009A3216" w:rsidRPr="00905ACC">
        <w:rPr>
          <w:szCs w:val="22"/>
        </w:rPr>
        <w:t xml:space="preserve"> return on </w:t>
      </w:r>
      <w:r w:rsidR="004D0C30" w:rsidRPr="00905ACC">
        <w:rPr>
          <w:szCs w:val="22"/>
        </w:rPr>
        <w:t xml:space="preserve">assets or operating cash flows and </w:t>
      </w:r>
      <w:r w:rsidR="009A3216" w:rsidRPr="00905ACC">
        <w:rPr>
          <w:szCs w:val="22"/>
        </w:rPr>
        <w:t xml:space="preserve">two </w:t>
      </w:r>
      <w:r w:rsidR="00CD0A4C" w:rsidRPr="00905ACC">
        <w:rPr>
          <w:szCs w:val="22"/>
        </w:rPr>
        <w:t>estimation procedures</w:t>
      </w:r>
      <w:r w:rsidR="009A3216" w:rsidRPr="00905ACC">
        <w:rPr>
          <w:szCs w:val="22"/>
        </w:rPr>
        <w:t xml:space="preserve"> </w:t>
      </w:r>
      <w:r w:rsidR="006651C4">
        <w:rPr>
          <w:szCs w:val="22"/>
        </w:rPr>
        <w:t>that</w:t>
      </w:r>
      <w:r w:rsidR="006651C4" w:rsidRPr="00905ACC">
        <w:rPr>
          <w:szCs w:val="22"/>
        </w:rPr>
        <w:t xml:space="preserve"> </w:t>
      </w:r>
      <w:r w:rsidR="009A3216" w:rsidRPr="00905ACC">
        <w:rPr>
          <w:szCs w:val="22"/>
        </w:rPr>
        <w:t xml:space="preserve">are </w:t>
      </w:r>
      <w:r w:rsidR="00AC3F06" w:rsidRPr="00905ACC">
        <w:rPr>
          <w:szCs w:val="22"/>
        </w:rPr>
        <w:t xml:space="preserve">firm-specific </w:t>
      </w:r>
      <w:r w:rsidR="009A3216" w:rsidRPr="00905ACC">
        <w:rPr>
          <w:szCs w:val="22"/>
        </w:rPr>
        <w:t>regression and industry-specific regression</w:t>
      </w:r>
      <w:r w:rsidR="00AC3F06" w:rsidRPr="00905ACC">
        <w:rPr>
          <w:szCs w:val="22"/>
        </w:rPr>
        <w:t xml:space="preserve"> using mispricing tests</w:t>
      </w:r>
      <w:r w:rsidR="006651C4">
        <w:rPr>
          <w:szCs w:val="22"/>
        </w:rPr>
        <w:t>.</w:t>
      </w:r>
      <w:r w:rsidR="00AC3F06" w:rsidRPr="00905ACC">
        <w:rPr>
          <w:szCs w:val="22"/>
        </w:rPr>
        <w:t xml:space="preserve"> </w:t>
      </w:r>
      <w:r w:rsidR="006651C4">
        <w:rPr>
          <w:szCs w:val="22"/>
        </w:rPr>
        <w:t>The study</w:t>
      </w:r>
      <w:r w:rsidR="006651C4" w:rsidRPr="00905ACC">
        <w:rPr>
          <w:szCs w:val="22"/>
        </w:rPr>
        <w:t xml:space="preserve"> </w:t>
      </w:r>
      <w:r w:rsidR="00AC3F06" w:rsidRPr="00905ACC">
        <w:rPr>
          <w:szCs w:val="22"/>
        </w:rPr>
        <w:t>conclude</w:t>
      </w:r>
      <w:r w:rsidR="006651C4">
        <w:rPr>
          <w:szCs w:val="22"/>
        </w:rPr>
        <w:t>s</w:t>
      </w:r>
      <w:r w:rsidR="00AC3F06" w:rsidRPr="00905ACC">
        <w:rPr>
          <w:szCs w:val="22"/>
        </w:rPr>
        <w:t xml:space="preserve"> that the industry-specific MJ </w:t>
      </w:r>
      <w:r w:rsidR="006651C4">
        <w:rPr>
          <w:szCs w:val="22"/>
        </w:rPr>
        <w:t xml:space="preserve">model </w:t>
      </w:r>
      <w:r w:rsidR="00AC3F06" w:rsidRPr="00905ACC">
        <w:rPr>
          <w:szCs w:val="22"/>
        </w:rPr>
        <w:t xml:space="preserve">with return on assets is the </w:t>
      </w:r>
      <w:r w:rsidR="006651C4">
        <w:rPr>
          <w:szCs w:val="22"/>
        </w:rPr>
        <w:t>better</w:t>
      </w:r>
      <w:r w:rsidR="006651C4" w:rsidRPr="00905ACC">
        <w:rPr>
          <w:szCs w:val="22"/>
        </w:rPr>
        <w:t xml:space="preserve"> </w:t>
      </w:r>
      <w:r w:rsidR="00AC3F06" w:rsidRPr="00905ACC">
        <w:rPr>
          <w:szCs w:val="22"/>
        </w:rPr>
        <w:t xml:space="preserve">model for investigating earnings management as </w:t>
      </w:r>
      <w:r w:rsidR="006651C4">
        <w:rPr>
          <w:szCs w:val="22"/>
        </w:rPr>
        <w:t xml:space="preserve">by </w:t>
      </w:r>
      <w:r w:rsidR="00AC3F06" w:rsidRPr="00905ACC">
        <w:rPr>
          <w:szCs w:val="22"/>
        </w:rPr>
        <w:t>inclu</w:t>
      </w:r>
      <w:r w:rsidR="006651C4">
        <w:rPr>
          <w:szCs w:val="22"/>
        </w:rPr>
        <w:t>ding</w:t>
      </w:r>
      <w:r w:rsidR="00AC3F06" w:rsidRPr="00905ACC">
        <w:rPr>
          <w:szCs w:val="22"/>
        </w:rPr>
        <w:t xml:space="preserve"> return on assets measurement errors</w:t>
      </w:r>
      <w:r w:rsidR="006651C4">
        <w:rPr>
          <w:szCs w:val="22"/>
        </w:rPr>
        <w:t xml:space="preserve"> can be reduced</w:t>
      </w:r>
      <w:r w:rsidR="00AC3F06" w:rsidRPr="00905ACC">
        <w:rPr>
          <w:szCs w:val="22"/>
        </w:rPr>
        <w:t xml:space="preserve"> result</w:t>
      </w:r>
      <w:r w:rsidR="006651C4">
        <w:rPr>
          <w:szCs w:val="22"/>
        </w:rPr>
        <w:t>ing</w:t>
      </w:r>
      <w:r w:rsidR="00AC3F06" w:rsidRPr="00905ACC">
        <w:rPr>
          <w:szCs w:val="22"/>
        </w:rPr>
        <w:t xml:space="preserve"> in better control of abnormal accruals while </w:t>
      </w:r>
      <w:r w:rsidR="006651C4">
        <w:rPr>
          <w:szCs w:val="22"/>
        </w:rPr>
        <w:t xml:space="preserve">the </w:t>
      </w:r>
      <w:r w:rsidR="00AC3F06" w:rsidRPr="00905ACC">
        <w:rPr>
          <w:szCs w:val="22"/>
        </w:rPr>
        <w:t xml:space="preserve">MJ </w:t>
      </w:r>
      <w:r w:rsidR="00AC3F06" w:rsidRPr="00905ACC">
        <w:rPr>
          <w:szCs w:val="22"/>
        </w:rPr>
        <w:lastRenderedPageBreak/>
        <w:t xml:space="preserve">with operating cash flows </w:t>
      </w:r>
      <w:r w:rsidR="006651C4">
        <w:rPr>
          <w:szCs w:val="22"/>
        </w:rPr>
        <w:t xml:space="preserve">model </w:t>
      </w:r>
      <w:r w:rsidR="00AC3F06" w:rsidRPr="00905ACC">
        <w:rPr>
          <w:szCs w:val="22"/>
        </w:rPr>
        <w:t>would be best for e</w:t>
      </w:r>
      <w:r w:rsidR="009A3216" w:rsidRPr="00905ACC">
        <w:rPr>
          <w:szCs w:val="22"/>
        </w:rPr>
        <w:t>stimating the</w:t>
      </w:r>
      <w:r w:rsidR="00AC3F06" w:rsidRPr="00905ACC">
        <w:rPr>
          <w:szCs w:val="22"/>
        </w:rPr>
        <w:t xml:space="preserve"> quality </w:t>
      </w:r>
      <w:r w:rsidR="009A3216" w:rsidRPr="00905ACC">
        <w:rPr>
          <w:szCs w:val="22"/>
        </w:rPr>
        <w:t xml:space="preserve">of earnings </w:t>
      </w:r>
      <w:r w:rsidR="006651C4">
        <w:rPr>
          <w:szCs w:val="22"/>
        </w:rPr>
        <w:t>though</w:t>
      </w:r>
      <w:r w:rsidR="006651C4" w:rsidRPr="00905ACC">
        <w:rPr>
          <w:szCs w:val="22"/>
        </w:rPr>
        <w:t xml:space="preserve"> </w:t>
      </w:r>
      <w:r w:rsidR="00AC3F06" w:rsidRPr="00905ACC">
        <w:rPr>
          <w:szCs w:val="22"/>
        </w:rPr>
        <w:t xml:space="preserve">it may </w:t>
      </w:r>
      <w:r w:rsidR="009A3216" w:rsidRPr="00905ACC">
        <w:rPr>
          <w:szCs w:val="22"/>
        </w:rPr>
        <w:t>comprise</w:t>
      </w:r>
      <w:r w:rsidR="00AC3F06" w:rsidRPr="00905ACC">
        <w:rPr>
          <w:szCs w:val="22"/>
        </w:rPr>
        <w:t xml:space="preserve"> </w:t>
      </w:r>
      <w:r w:rsidR="009A3216" w:rsidRPr="00905ACC">
        <w:rPr>
          <w:szCs w:val="22"/>
        </w:rPr>
        <w:t xml:space="preserve">management </w:t>
      </w:r>
      <w:r w:rsidR="008006C9" w:rsidRPr="00905ACC">
        <w:rPr>
          <w:szCs w:val="22"/>
        </w:rPr>
        <w:t>estimation error</w:t>
      </w:r>
      <w:r w:rsidR="006651C4">
        <w:rPr>
          <w:szCs w:val="22"/>
        </w:rPr>
        <w:t>.</w:t>
      </w:r>
      <w:r w:rsidR="00AC3F06" w:rsidRPr="00905ACC">
        <w:rPr>
          <w:szCs w:val="22"/>
        </w:rPr>
        <w:t xml:space="preserve"> Xie (2001) also finds that using Jones model to estimate abnormal accruals will capture managerial discretion with error.</w:t>
      </w:r>
      <w:r w:rsidR="00744192">
        <w:rPr>
          <w:szCs w:val="22"/>
        </w:rPr>
        <w:t xml:space="preserve"> </w:t>
      </w:r>
      <w:r w:rsidR="0066694E" w:rsidRPr="00905ACC">
        <w:rPr>
          <w:szCs w:val="22"/>
        </w:rPr>
        <w:t>In addition,</w:t>
      </w:r>
      <w:r w:rsidR="00AC3F06" w:rsidRPr="00905ACC">
        <w:rPr>
          <w:szCs w:val="22"/>
        </w:rPr>
        <w:t xml:space="preserve"> </w:t>
      </w:r>
      <w:r w:rsidR="00263E66" w:rsidRPr="00905ACC">
        <w:rPr>
          <w:szCs w:val="22"/>
        </w:rPr>
        <w:t>Thomas</w:t>
      </w:r>
      <w:r w:rsidR="00AC3F06" w:rsidRPr="00905ACC">
        <w:rPr>
          <w:szCs w:val="22"/>
        </w:rPr>
        <w:t xml:space="preserve"> et al. (2012) point out that the mispricing tests are advantageous to the identification of </w:t>
      </w:r>
      <w:r w:rsidR="009A3216" w:rsidRPr="00905ACC">
        <w:rPr>
          <w:szCs w:val="22"/>
        </w:rPr>
        <w:t xml:space="preserve">the </w:t>
      </w:r>
      <w:r w:rsidR="00AC3F06" w:rsidRPr="00905ACC">
        <w:rPr>
          <w:szCs w:val="22"/>
        </w:rPr>
        <w:t xml:space="preserve">abnormal </w:t>
      </w:r>
      <w:r w:rsidR="009A3216" w:rsidRPr="00905ACC">
        <w:rPr>
          <w:szCs w:val="22"/>
        </w:rPr>
        <w:t xml:space="preserve">component of accruals that attract the greatest attention of investors. </w:t>
      </w:r>
      <w:r w:rsidR="00AC3F06" w:rsidRPr="00905ACC">
        <w:rPr>
          <w:szCs w:val="22"/>
        </w:rPr>
        <w:t>D</w:t>
      </w:r>
      <w:r w:rsidR="00D05112" w:rsidRPr="00905ACC">
        <w:rPr>
          <w:szCs w:val="22"/>
        </w:rPr>
        <w:t>echow and Dichew (2002) suggest</w:t>
      </w:r>
      <w:r w:rsidR="00AC3F06" w:rsidRPr="00905ACC">
        <w:rPr>
          <w:szCs w:val="22"/>
        </w:rPr>
        <w:t xml:space="preserve"> that using the firm-specific regression procedure</w:t>
      </w:r>
      <w:r w:rsidR="006651C4">
        <w:rPr>
          <w:szCs w:val="22"/>
        </w:rPr>
        <w:t>,</w:t>
      </w:r>
      <w:r w:rsidR="00AC3F06" w:rsidRPr="00905ACC">
        <w:rPr>
          <w:szCs w:val="22"/>
        </w:rPr>
        <w:t xml:space="preserve"> which estimate</w:t>
      </w:r>
      <w:r w:rsidR="009A3216" w:rsidRPr="00905ACC">
        <w:rPr>
          <w:szCs w:val="22"/>
        </w:rPr>
        <w:t>s</w:t>
      </w:r>
      <w:r w:rsidR="00AC3F06" w:rsidRPr="00905ACC">
        <w:rPr>
          <w:szCs w:val="22"/>
        </w:rPr>
        <w:t xml:space="preserve"> abnormal accruals </w:t>
      </w:r>
      <w:r w:rsidR="009A3216" w:rsidRPr="00905ACC">
        <w:rPr>
          <w:szCs w:val="22"/>
        </w:rPr>
        <w:t>through observing</w:t>
      </w:r>
      <w:r w:rsidR="00AC3F06" w:rsidRPr="00905ACC">
        <w:rPr>
          <w:szCs w:val="22"/>
        </w:rPr>
        <w:t xml:space="preserve"> </w:t>
      </w:r>
      <w:r w:rsidR="00E70BAC">
        <w:rPr>
          <w:szCs w:val="22"/>
        </w:rPr>
        <w:t xml:space="preserve">a </w:t>
      </w:r>
      <w:r w:rsidR="009A3216" w:rsidRPr="00905ACC">
        <w:rPr>
          <w:szCs w:val="22"/>
        </w:rPr>
        <w:t>particular company for a continuous period of time</w:t>
      </w:r>
      <w:r w:rsidR="006651C4">
        <w:rPr>
          <w:szCs w:val="22"/>
        </w:rPr>
        <w:t>,</w:t>
      </w:r>
      <w:r w:rsidR="009A3216" w:rsidRPr="00905ACC">
        <w:rPr>
          <w:szCs w:val="22"/>
        </w:rPr>
        <w:t xml:space="preserve"> is </w:t>
      </w:r>
      <w:r w:rsidR="00AC3F06" w:rsidRPr="00905ACC">
        <w:rPr>
          <w:szCs w:val="22"/>
        </w:rPr>
        <w:t xml:space="preserve">superior while Kothari et al. (2005) argue that </w:t>
      </w:r>
      <w:r w:rsidR="009A3216" w:rsidRPr="00905ACC">
        <w:rPr>
          <w:szCs w:val="22"/>
        </w:rPr>
        <w:t xml:space="preserve">estimating accruals </w:t>
      </w:r>
      <w:r w:rsidR="006651C4">
        <w:rPr>
          <w:szCs w:val="22"/>
        </w:rPr>
        <w:t>at the</w:t>
      </w:r>
      <w:r w:rsidR="006651C4" w:rsidRPr="00905ACC">
        <w:rPr>
          <w:szCs w:val="22"/>
        </w:rPr>
        <w:t xml:space="preserve"> </w:t>
      </w:r>
      <w:r w:rsidR="009A3216" w:rsidRPr="00905ACC">
        <w:rPr>
          <w:szCs w:val="22"/>
        </w:rPr>
        <w:t>industry level</w:t>
      </w:r>
      <w:r w:rsidR="006651C4">
        <w:rPr>
          <w:szCs w:val="22"/>
        </w:rPr>
        <w:t>,</w:t>
      </w:r>
      <w:r w:rsidR="009A3216" w:rsidRPr="00905ACC">
        <w:rPr>
          <w:szCs w:val="22"/>
        </w:rPr>
        <w:t xml:space="preserve"> by observing all companies at a specific </w:t>
      </w:r>
      <w:r w:rsidR="00E70BAC">
        <w:rPr>
          <w:szCs w:val="22"/>
        </w:rPr>
        <w:t>instant</w:t>
      </w:r>
      <w:r w:rsidR="006651C4">
        <w:rPr>
          <w:szCs w:val="22"/>
        </w:rPr>
        <w:t>,</w:t>
      </w:r>
      <w:r w:rsidR="009A3216" w:rsidRPr="00905ACC">
        <w:rPr>
          <w:szCs w:val="22"/>
        </w:rPr>
        <w:t xml:space="preserve"> </w:t>
      </w:r>
      <w:r w:rsidR="00AC3F06" w:rsidRPr="00905ACC">
        <w:rPr>
          <w:szCs w:val="22"/>
        </w:rPr>
        <w:t>is more appropriate.</w:t>
      </w:r>
      <w:r w:rsidR="0045761E" w:rsidRPr="00905ACC">
        <w:rPr>
          <w:szCs w:val="22"/>
        </w:rPr>
        <w:t xml:space="preserve"> </w:t>
      </w:r>
      <w:r w:rsidR="0045761E" w:rsidRPr="00EE3CCE">
        <w:rPr>
          <w:szCs w:val="22"/>
        </w:rPr>
        <w:t>Richardson et al. (200</w:t>
      </w:r>
      <w:r w:rsidR="009704BF">
        <w:rPr>
          <w:szCs w:val="22"/>
        </w:rPr>
        <w:t>6</w:t>
      </w:r>
      <w:r w:rsidR="0045761E" w:rsidRPr="00EE3CCE">
        <w:rPr>
          <w:szCs w:val="22"/>
        </w:rPr>
        <w:t>)</w:t>
      </w:r>
      <w:r w:rsidR="0045761E" w:rsidRPr="00905ACC">
        <w:rPr>
          <w:szCs w:val="22"/>
        </w:rPr>
        <w:t xml:space="preserve"> build a model extending Sloan’s (1996) work to test the relation</w:t>
      </w:r>
      <w:r w:rsidR="00B855BA" w:rsidRPr="00905ACC">
        <w:rPr>
          <w:szCs w:val="22"/>
        </w:rPr>
        <w:t xml:space="preserve">ship between accruals </w:t>
      </w:r>
      <w:r w:rsidR="004D0C30" w:rsidRPr="00905ACC">
        <w:rPr>
          <w:szCs w:val="22"/>
        </w:rPr>
        <w:t>reliability</w:t>
      </w:r>
      <w:r w:rsidR="00B855BA" w:rsidRPr="00905ACC">
        <w:rPr>
          <w:szCs w:val="22"/>
        </w:rPr>
        <w:t xml:space="preserve"> and</w:t>
      </w:r>
      <w:r w:rsidR="0045761E" w:rsidRPr="00905ACC">
        <w:rPr>
          <w:szCs w:val="22"/>
        </w:rPr>
        <w:t xml:space="preserve"> </w:t>
      </w:r>
      <w:r w:rsidR="00B855BA" w:rsidRPr="00905ACC">
        <w:rPr>
          <w:szCs w:val="22"/>
        </w:rPr>
        <w:t>the persistence of earnings</w:t>
      </w:r>
      <w:r w:rsidR="004D0C30" w:rsidRPr="00905ACC">
        <w:rPr>
          <w:szCs w:val="22"/>
        </w:rPr>
        <w:t xml:space="preserve"> and</w:t>
      </w:r>
      <w:r w:rsidR="0045761E" w:rsidRPr="00905ACC">
        <w:rPr>
          <w:szCs w:val="22"/>
        </w:rPr>
        <w:t xml:space="preserve"> they develop </w:t>
      </w:r>
      <w:r w:rsidR="004D0C30" w:rsidRPr="00905ACC">
        <w:rPr>
          <w:szCs w:val="22"/>
        </w:rPr>
        <w:t>a method that comprehensively categorize</w:t>
      </w:r>
      <w:r w:rsidR="006651C4">
        <w:rPr>
          <w:szCs w:val="22"/>
        </w:rPr>
        <w:t>s</w:t>
      </w:r>
      <w:r w:rsidR="0045761E" w:rsidRPr="00905ACC">
        <w:rPr>
          <w:szCs w:val="22"/>
        </w:rPr>
        <w:t xml:space="preserve"> accruals by ranking every </w:t>
      </w:r>
      <w:r w:rsidR="00B855BA" w:rsidRPr="00905ACC">
        <w:rPr>
          <w:szCs w:val="22"/>
        </w:rPr>
        <w:t>variety</w:t>
      </w:r>
      <w:r w:rsidR="0045761E" w:rsidRPr="00905ACC">
        <w:rPr>
          <w:szCs w:val="22"/>
        </w:rPr>
        <w:t xml:space="preserve"> based on the underlying accruals’ reliabilities. They </w:t>
      </w:r>
      <w:r w:rsidR="008C1DEA">
        <w:rPr>
          <w:szCs w:val="22"/>
        </w:rPr>
        <w:t xml:space="preserve">directly </w:t>
      </w:r>
      <w:r w:rsidR="0045761E" w:rsidRPr="00905ACC">
        <w:rPr>
          <w:szCs w:val="22"/>
        </w:rPr>
        <w:t>link reliability with accounting numbers that are empirically observable and their empirical tests show that</w:t>
      </w:r>
      <w:r w:rsidR="008C1DEA">
        <w:rPr>
          <w:szCs w:val="22"/>
        </w:rPr>
        <w:t xml:space="preserve"> a</w:t>
      </w:r>
      <w:r w:rsidR="0045761E" w:rsidRPr="00905ACC">
        <w:rPr>
          <w:szCs w:val="22"/>
        </w:rPr>
        <w:t xml:space="preserve"> lower reliability of accruals result</w:t>
      </w:r>
      <w:r w:rsidR="008C1DEA">
        <w:rPr>
          <w:szCs w:val="22"/>
        </w:rPr>
        <w:t>s</w:t>
      </w:r>
      <w:r w:rsidR="0045761E" w:rsidRPr="00905ACC">
        <w:rPr>
          <w:szCs w:val="22"/>
        </w:rPr>
        <w:t xml:space="preserve"> in less earning persistence and</w:t>
      </w:r>
      <w:r w:rsidR="008C1DEA">
        <w:rPr>
          <w:szCs w:val="22"/>
        </w:rPr>
        <w:t>,</w:t>
      </w:r>
      <w:r w:rsidR="0045761E" w:rsidRPr="00905ACC">
        <w:rPr>
          <w:szCs w:val="22"/>
        </w:rPr>
        <w:t xml:space="preserve"> consequently</w:t>
      </w:r>
      <w:r w:rsidR="008C1DEA">
        <w:rPr>
          <w:szCs w:val="22"/>
        </w:rPr>
        <w:t>,</w:t>
      </w:r>
      <w:r w:rsidR="0045761E" w:rsidRPr="00905ACC">
        <w:rPr>
          <w:szCs w:val="22"/>
        </w:rPr>
        <w:t xml:space="preserve"> lead</w:t>
      </w:r>
      <w:r w:rsidR="008C1DEA">
        <w:rPr>
          <w:szCs w:val="22"/>
        </w:rPr>
        <w:t>s</w:t>
      </w:r>
      <w:r w:rsidR="0045761E" w:rsidRPr="00905ACC">
        <w:rPr>
          <w:szCs w:val="22"/>
        </w:rPr>
        <w:t xml:space="preserve"> to significant security mispricing as investors fail to predict the lower earning</w:t>
      </w:r>
      <w:r w:rsidR="008C1DEA">
        <w:rPr>
          <w:szCs w:val="22"/>
        </w:rPr>
        <w:t>s</w:t>
      </w:r>
      <w:r w:rsidR="0045761E" w:rsidRPr="00905ACC">
        <w:rPr>
          <w:szCs w:val="22"/>
        </w:rPr>
        <w:t xml:space="preserve"> persistence.</w:t>
      </w:r>
    </w:p>
    <w:p w:rsidR="00D20426" w:rsidRPr="00905ACC" w:rsidRDefault="000850DC">
      <w:pPr>
        <w:ind w:firstLineChars="200" w:firstLine="440"/>
        <w:contextualSpacing/>
        <w:rPr>
          <w:szCs w:val="22"/>
        </w:rPr>
      </w:pPr>
      <w:r w:rsidRPr="00905ACC">
        <w:rPr>
          <w:szCs w:val="22"/>
        </w:rPr>
        <w:t>T</w:t>
      </w:r>
      <w:r w:rsidR="0002653C" w:rsidRPr="00905ACC">
        <w:rPr>
          <w:szCs w:val="22"/>
        </w:rPr>
        <w:t xml:space="preserve">here is another model that </w:t>
      </w:r>
      <w:r w:rsidR="00E70BAC">
        <w:rPr>
          <w:szCs w:val="22"/>
        </w:rPr>
        <w:t>was</w:t>
      </w:r>
      <w:r w:rsidR="00E70BAC" w:rsidRPr="00905ACC">
        <w:rPr>
          <w:szCs w:val="22"/>
        </w:rPr>
        <w:t xml:space="preserve"> </w:t>
      </w:r>
      <w:r w:rsidR="008C1DEA">
        <w:rPr>
          <w:szCs w:val="22"/>
        </w:rPr>
        <w:t>proposed</w:t>
      </w:r>
      <w:r w:rsidR="008C1DEA" w:rsidRPr="00905ACC">
        <w:rPr>
          <w:szCs w:val="22"/>
        </w:rPr>
        <w:t xml:space="preserve"> </w:t>
      </w:r>
      <w:r w:rsidR="0002653C" w:rsidRPr="00905ACC">
        <w:rPr>
          <w:szCs w:val="22"/>
        </w:rPr>
        <w:t>by Chan et a</w:t>
      </w:r>
      <w:r w:rsidR="00090461" w:rsidRPr="00905ACC">
        <w:rPr>
          <w:szCs w:val="22"/>
        </w:rPr>
        <w:t>l.</w:t>
      </w:r>
      <w:r w:rsidR="00C12457">
        <w:rPr>
          <w:szCs w:val="22"/>
        </w:rPr>
        <w:t xml:space="preserve"> </w:t>
      </w:r>
      <w:r w:rsidR="00090461" w:rsidRPr="00905ACC">
        <w:rPr>
          <w:szCs w:val="22"/>
        </w:rPr>
        <w:t xml:space="preserve">(2006), which seems to be </w:t>
      </w:r>
      <w:r w:rsidR="008C1DEA">
        <w:rPr>
          <w:szCs w:val="22"/>
        </w:rPr>
        <w:t>more</w:t>
      </w:r>
      <w:r w:rsidR="008C1DEA" w:rsidRPr="00905ACC">
        <w:rPr>
          <w:szCs w:val="22"/>
        </w:rPr>
        <w:t xml:space="preserve"> </w:t>
      </w:r>
      <w:r w:rsidR="0002653C" w:rsidRPr="00905ACC">
        <w:rPr>
          <w:szCs w:val="22"/>
        </w:rPr>
        <w:t>spec</w:t>
      </w:r>
      <w:r w:rsidR="00D20426" w:rsidRPr="00905ACC">
        <w:rPr>
          <w:szCs w:val="22"/>
        </w:rPr>
        <w:t>ific and straight-forward than the</w:t>
      </w:r>
      <w:r w:rsidR="008C1DEA">
        <w:rPr>
          <w:szCs w:val="22"/>
        </w:rPr>
        <w:t>se</w:t>
      </w:r>
      <w:r w:rsidR="00D20426" w:rsidRPr="00905ACC">
        <w:rPr>
          <w:szCs w:val="22"/>
        </w:rPr>
        <w:t xml:space="preserve"> models.</w:t>
      </w:r>
      <w:r w:rsidR="00D0754F" w:rsidRPr="00905ACC">
        <w:rPr>
          <w:szCs w:val="22"/>
        </w:rPr>
        <w:t xml:space="preserve"> Chan</w:t>
      </w:r>
      <w:r w:rsidR="00C12457">
        <w:rPr>
          <w:szCs w:val="22"/>
        </w:rPr>
        <w:t xml:space="preserve"> </w:t>
      </w:r>
      <w:r w:rsidR="00D0754F" w:rsidRPr="00905ACC">
        <w:rPr>
          <w:szCs w:val="22"/>
        </w:rPr>
        <w:t>et</w:t>
      </w:r>
      <w:r w:rsidR="00C12457">
        <w:rPr>
          <w:szCs w:val="22"/>
        </w:rPr>
        <w:t xml:space="preserve"> </w:t>
      </w:r>
      <w:r w:rsidR="00D0754F" w:rsidRPr="00905ACC">
        <w:rPr>
          <w:szCs w:val="22"/>
        </w:rPr>
        <w:t>al</w:t>
      </w:r>
      <w:r w:rsidR="00C12457">
        <w:rPr>
          <w:szCs w:val="22"/>
        </w:rPr>
        <w:t>.</w:t>
      </w:r>
      <w:r w:rsidR="00724CAE">
        <w:rPr>
          <w:szCs w:val="22"/>
        </w:rPr>
        <w:t xml:space="preserve"> </w:t>
      </w:r>
      <w:r w:rsidR="00D0754F" w:rsidRPr="00905ACC">
        <w:rPr>
          <w:szCs w:val="22"/>
        </w:rPr>
        <w:t>(2006)</w:t>
      </w:r>
      <w:r w:rsidR="002C47C7" w:rsidRPr="00905ACC">
        <w:rPr>
          <w:szCs w:val="22"/>
        </w:rPr>
        <w:t xml:space="preserve"> develo</w:t>
      </w:r>
      <w:r w:rsidR="00D31CDD" w:rsidRPr="00905ACC">
        <w:rPr>
          <w:szCs w:val="22"/>
        </w:rPr>
        <w:t xml:space="preserve">p a model that observes the performance of individual </w:t>
      </w:r>
      <w:r w:rsidR="00CB73F3" w:rsidRPr="00905ACC">
        <w:rPr>
          <w:szCs w:val="22"/>
        </w:rPr>
        <w:t>component</w:t>
      </w:r>
      <w:r w:rsidR="008C1DEA">
        <w:rPr>
          <w:szCs w:val="22"/>
        </w:rPr>
        <w:t>s</w:t>
      </w:r>
      <w:r w:rsidR="002C47C7" w:rsidRPr="00905ACC">
        <w:rPr>
          <w:szCs w:val="22"/>
        </w:rPr>
        <w:t xml:space="preserve"> of accruals to fo</w:t>
      </w:r>
      <w:r w:rsidR="00135075" w:rsidRPr="00905ACC">
        <w:rPr>
          <w:szCs w:val="22"/>
        </w:rPr>
        <w:t>recast future s</w:t>
      </w:r>
      <w:r w:rsidR="008C1DEA">
        <w:rPr>
          <w:szCs w:val="22"/>
        </w:rPr>
        <w:t>t</w:t>
      </w:r>
      <w:r w:rsidR="00135075" w:rsidRPr="00905ACC">
        <w:rPr>
          <w:szCs w:val="22"/>
        </w:rPr>
        <w:t>ock return</w:t>
      </w:r>
      <w:r w:rsidR="00D20426" w:rsidRPr="00905ACC">
        <w:rPr>
          <w:szCs w:val="22"/>
        </w:rPr>
        <w:t xml:space="preserve"> and decompose</w:t>
      </w:r>
      <w:r w:rsidR="008C1DEA">
        <w:rPr>
          <w:szCs w:val="22"/>
        </w:rPr>
        <w:t>s</w:t>
      </w:r>
      <w:r w:rsidR="00D20426" w:rsidRPr="00905ACC">
        <w:rPr>
          <w:szCs w:val="22"/>
        </w:rPr>
        <w:t xml:space="preserve"> them into discretionary and nondiscretionary accruals</w:t>
      </w:r>
      <w:r w:rsidR="00E70BAC">
        <w:rPr>
          <w:szCs w:val="22"/>
        </w:rPr>
        <w:t>,</w:t>
      </w:r>
      <w:r w:rsidR="00D20426" w:rsidRPr="00905ACC">
        <w:rPr>
          <w:szCs w:val="22"/>
        </w:rPr>
        <w:t xml:space="preserve"> </w:t>
      </w:r>
      <w:r w:rsidR="00110ED2" w:rsidRPr="00905ACC">
        <w:rPr>
          <w:szCs w:val="22"/>
        </w:rPr>
        <w:t>based on</w:t>
      </w:r>
      <w:r w:rsidR="00D20426" w:rsidRPr="00905ACC">
        <w:rPr>
          <w:szCs w:val="22"/>
        </w:rPr>
        <w:t xml:space="preserve"> their nature</w:t>
      </w:r>
      <w:r w:rsidR="00110ED2" w:rsidRPr="00905ACC">
        <w:rPr>
          <w:szCs w:val="22"/>
        </w:rPr>
        <w:t>s</w:t>
      </w:r>
      <w:r w:rsidR="00D20426" w:rsidRPr="00905ACC">
        <w:rPr>
          <w:szCs w:val="22"/>
        </w:rPr>
        <w:t xml:space="preserve">, </w:t>
      </w:r>
      <w:r w:rsidR="00320B12" w:rsidRPr="00905ACC">
        <w:rPr>
          <w:szCs w:val="22"/>
        </w:rPr>
        <w:t>where</w:t>
      </w:r>
      <w:r w:rsidR="00887608" w:rsidRPr="00905ACC">
        <w:rPr>
          <w:szCs w:val="22"/>
        </w:rPr>
        <w:t xml:space="preserve"> the discretionary component reflects the manipulation behavio</w:t>
      </w:r>
      <w:r w:rsidR="00135075" w:rsidRPr="00905ACC">
        <w:rPr>
          <w:szCs w:val="22"/>
        </w:rPr>
        <w:t>rs and the nondiscretionary portion</w:t>
      </w:r>
      <w:r w:rsidR="00B9091D" w:rsidRPr="00905ACC">
        <w:rPr>
          <w:szCs w:val="22"/>
        </w:rPr>
        <w:t xml:space="preserve"> captures the influence on</w:t>
      </w:r>
      <w:r w:rsidR="00320B12" w:rsidRPr="00905ACC">
        <w:rPr>
          <w:szCs w:val="22"/>
        </w:rPr>
        <w:t xml:space="preserve"> business</w:t>
      </w:r>
      <w:r w:rsidR="00135075" w:rsidRPr="00905ACC">
        <w:rPr>
          <w:szCs w:val="22"/>
        </w:rPr>
        <w:t xml:space="preserve"> condition</w:t>
      </w:r>
      <w:r w:rsidR="008C1DEA">
        <w:rPr>
          <w:szCs w:val="22"/>
        </w:rPr>
        <w:t>s</w:t>
      </w:r>
      <w:r w:rsidR="00110ED2" w:rsidRPr="00905ACC">
        <w:rPr>
          <w:szCs w:val="22"/>
        </w:rPr>
        <w:t>.</w:t>
      </w:r>
      <w:r w:rsidR="006E68AE" w:rsidRPr="00905ACC">
        <w:rPr>
          <w:szCs w:val="22"/>
        </w:rPr>
        <w:t xml:space="preserve"> </w:t>
      </w:r>
      <w:r w:rsidR="00850C2E" w:rsidRPr="00905ACC">
        <w:rPr>
          <w:szCs w:val="22"/>
        </w:rPr>
        <w:t xml:space="preserve">They further sort stocks into decile portfolios according to </w:t>
      </w:r>
      <w:r w:rsidR="008C1DEA">
        <w:rPr>
          <w:szCs w:val="22"/>
        </w:rPr>
        <w:t>whether they are</w:t>
      </w:r>
      <w:r w:rsidR="00850C2E" w:rsidRPr="00905ACC">
        <w:rPr>
          <w:szCs w:val="22"/>
        </w:rPr>
        <w:t xml:space="preserve"> discretionary or nondiscretionary, and later examine the ability of individual component</w:t>
      </w:r>
      <w:r w:rsidR="00724CAE">
        <w:rPr>
          <w:szCs w:val="22"/>
        </w:rPr>
        <w:t>s</w:t>
      </w:r>
      <w:r w:rsidR="00850C2E" w:rsidRPr="00905ACC">
        <w:rPr>
          <w:szCs w:val="22"/>
        </w:rPr>
        <w:t xml:space="preserve"> of accruals to predict returns on the basis of their nondiscretionary and discretionary values. </w:t>
      </w:r>
      <w:r w:rsidR="00D20426" w:rsidRPr="00905ACC">
        <w:rPr>
          <w:szCs w:val="22"/>
        </w:rPr>
        <w:t xml:space="preserve">Unsurprisingly, their results also suggest that </w:t>
      </w:r>
      <w:r w:rsidR="00E71C9C" w:rsidRPr="00905ACC">
        <w:rPr>
          <w:szCs w:val="22"/>
        </w:rPr>
        <w:t>there is a reliable and negative</w:t>
      </w:r>
      <w:r w:rsidR="008C1DEA">
        <w:rPr>
          <w:szCs w:val="22"/>
        </w:rPr>
        <w:t xml:space="preserve"> relationship</w:t>
      </w:r>
      <w:r w:rsidR="00E71C9C" w:rsidRPr="00905ACC">
        <w:rPr>
          <w:szCs w:val="22"/>
        </w:rPr>
        <w:t xml:space="preserve"> between accruals and</w:t>
      </w:r>
      <w:r w:rsidR="00D20426" w:rsidRPr="00905ACC">
        <w:rPr>
          <w:szCs w:val="22"/>
        </w:rPr>
        <w:t xml:space="preserve"> future stock returns. </w:t>
      </w:r>
    </w:p>
    <w:p w:rsidR="00EC06D8" w:rsidRPr="00905ACC" w:rsidRDefault="00CD0A4C">
      <w:pPr>
        <w:ind w:firstLineChars="200" w:firstLine="440"/>
        <w:contextualSpacing/>
        <w:rPr>
          <w:szCs w:val="22"/>
        </w:rPr>
      </w:pPr>
      <w:r w:rsidRPr="00905ACC">
        <w:rPr>
          <w:szCs w:val="22"/>
        </w:rPr>
        <w:t xml:space="preserve">Initially, </w:t>
      </w:r>
      <w:r w:rsidR="00320B12" w:rsidRPr="00905ACC">
        <w:rPr>
          <w:szCs w:val="22"/>
        </w:rPr>
        <w:t xml:space="preserve">Jones (1991) </w:t>
      </w:r>
      <w:r w:rsidR="003D778C" w:rsidRPr="00905ACC">
        <w:rPr>
          <w:szCs w:val="22"/>
        </w:rPr>
        <w:t>calculate</w:t>
      </w:r>
      <w:r w:rsidR="00D05112" w:rsidRPr="00905ACC">
        <w:rPr>
          <w:szCs w:val="22"/>
        </w:rPr>
        <w:t>s</w:t>
      </w:r>
      <w:r w:rsidR="003D778C" w:rsidRPr="00905ACC">
        <w:rPr>
          <w:szCs w:val="22"/>
        </w:rPr>
        <w:t xml:space="preserve"> </w:t>
      </w:r>
      <w:r w:rsidR="006E68AE" w:rsidRPr="00905ACC">
        <w:rPr>
          <w:szCs w:val="22"/>
        </w:rPr>
        <w:t xml:space="preserve">total </w:t>
      </w:r>
      <w:r w:rsidR="003D778C" w:rsidRPr="00905ACC">
        <w:rPr>
          <w:szCs w:val="22"/>
        </w:rPr>
        <w:t>accruals as the change in non</w:t>
      </w:r>
      <w:r w:rsidR="008C1DEA">
        <w:rPr>
          <w:szCs w:val="22"/>
        </w:rPr>
        <w:t>-</w:t>
      </w:r>
      <w:r w:rsidR="003D778C" w:rsidRPr="00905ACC">
        <w:rPr>
          <w:szCs w:val="22"/>
        </w:rPr>
        <w:t>cash working capital b</w:t>
      </w:r>
      <w:r w:rsidR="006E68AE" w:rsidRPr="00905ACC">
        <w:rPr>
          <w:szCs w:val="22"/>
        </w:rPr>
        <w:t>efore income taxes payable less</w:t>
      </w:r>
      <w:r w:rsidR="003D778C" w:rsidRPr="00905ACC">
        <w:rPr>
          <w:szCs w:val="22"/>
        </w:rPr>
        <w:t xml:space="preserve"> total depreciation expense</w:t>
      </w:r>
      <w:r w:rsidR="008C1DEA">
        <w:rPr>
          <w:szCs w:val="22"/>
        </w:rPr>
        <w:t>.</w:t>
      </w:r>
      <w:r w:rsidR="003D778C" w:rsidRPr="00905ACC">
        <w:rPr>
          <w:szCs w:val="22"/>
        </w:rPr>
        <w:t xml:space="preserve"> </w:t>
      </w:r>
      <w:r w:rsidR="008C1DEA">
        <w:rPr>
          <w:szCs w:val="22"/>
        </w:rPr>
        <w:t>T</w:t>
      </w:r>
      <w:r w:rsidR="00566A42" w:rsidRPr="00905ACC">
        <w:rPr>
          <w:szCs w:val="22"/>
        </w:rPr>
        <w:t>he total accruals, TA</w:t>
      </w:r>
      <w:r w:rsidR="00566A42" w:rsidRPr="00905ACC">
        <w:rPr>
          <w:szCs w:val="22"/>
          <w:vertAlign w:val="subscript"/>
        </w:rPr>
        <w:t>t</w:t>
      </w:r>
      <w:r w:rsidR="00B1250A" w:rsidRPr="00905ACC">
        <w:rPr>
          <w:szCs w:val="22"/>
          <w:vertAlign w:val="subscript"/>
        </w:rPr>
        <w:t>n</w:t>
      </w:r>
      <w:r w:rsidR="006E68AE" w:rsidRPr="00905ACC">
        <w:rPr>
          <w:szCs w:val="22"/>
        </w:rPr>
        <w:t>, for corporation</w:t>
      </w:r>
      <w:r w:rsidR="00566A42" w:rsidRPr="00905ACC">
        <w:rPr>
          <w:szCs w:val="22"/>
        </w:rPr>
        <w:t xml:space="preserve"> </w:t>
      </w:r>
      <w:r w:rsidR="00B1250A" w:rsidRPr="00905ACC">
        <w:rPr>
          <w:szCs w:val="22"/>
        </w:rPr>
        <w:t>t</w:t>
      </w:r>
      <w:r w:rsidR="006E68AE" w:rsidRPr="00905ACC">
        <w:rPr>
          <w:szCs w:val="22"/>
        </w:rPr>
        <w:t xml:space="preserve"> </w:t>
      </w:r>
      <w:r w:rsidR="00B1250A" w:rsidRPr="00905ACC">
        <w:rPr>
          <w:szCs w:val="22"/>
        </w:rPr>
        <w:t>in year n</w:t>
      </w:r>
      <w:r w:rsidR="00566A42" w:rsidRPr="00905ACC">
        <w:rPr>
          <w:szCs w:val="22"/>
        </w:rPr>
        <w:t>, is as follow:</w:t>
      </w:r>
    </w:p>
    <w:p w:rsidR="00566A42" w:rsidRPr="004F7DB0" w:rsidRDefault="00B1250A" w:rsidP="007D75D2">
      <w:pPr>
        <w:contextualSpacing/>
        <w:rPr>
          <w:i/>
          <w:iCs/>
          <w:szCs w:val="22"/>
          <w:vertAlign w:val="subscript"/>
        </w:rPr>
      </w:pPr>
      <w:r w:rsidRPr="00905ACC">
        <w:rPr>
          <w:szCs w:val="22"/>
        </w:rPr>
        <w:t xml:space="preserve">       </w:t>
      </w:r>
      <w:r w:rsidR="00566A42" w:rsidRPr="004F7DB0">
        <w:rPr>
          <w:i/>
          <w:iCs/>
          <w:szCs w:val="22"/>
        </w:rPr>
        <w:t>TA</w:t>
      </w:r>
      <w:r w:rsidR="00566A42" w:rsidRPr="004F7DB0">
        <w:rPr>
          <w:i/>
          <w:iCs/>
          <w:szCs w:val="22"/>
          <w:vertAlign w:val="subscript"/>
        </w:rPr>
        <w:t>t</w:t>
      </w:r>
      <w:r w:rsidRPr="004F7DB0">
        <w:rPr>
          <w:i/>
          <w:iCs/>
          <w:szCs w:val="22"/>
          <w:vertAlign w:val="subscript"/>
        </w:rPr>
        <w:t>n</w:t>
      </w:r>
      <w:r w:rsidR="00566A42" w:rsidRPr="004F7DB0">
        <w:rPr>
          <w:i/>
          <w:iCs/>
          <w:szCs w:val="22"/>
        </w:rPr>
        <w:t>/A</w:t>
      </w:r>
      <w:r w:rsidR="00566A42" w:rsidRPr="004F7DB0">
        <w:rPr>
          <w:i/>
          <w:iCs/>
          <w:szCs w:val="22"/>
          <w:vertAlign w:val="subscript"/>
        </w:rPr>
        <w:t>t</w:t>
      </w:r>
      <w:r w:rsidRPr="004F7DB0">
        <w:rPr>
          <w:i/>
          <w:iCs/>
          <w:szCs w:val="22"/>
          <w:vertAlign w:val="subscript"/>
        </w:rPr>
        <w:t>n</w:t>
      </w:r>
      <w:r w:rsidR="00566A42" w:rsidRPr="004F7DB0">
        <w:rPr>
          <w:i/>
          <w:iCs/>
          <w:szCs w:val="22"/>
          <w:vertAlign w:val="subscript"/>
        </w:rPr>
        <w:t>-1</w:t>
      </w:r>
      <w:r w:rsidR="00566A42" w:rsidRPr="004F7DB0">
        <w:rPr>
          <w:i/>
          <w:iCs/>
          <w:szCs w:val="22"/>
        </w:rPr>
        <w:t>=</w:t>
      </w:r>
      <w:r w:rsidR="000A4A1F" w:rsidRPr="004F7DB0">
        <w:rPr>
          <w:i/>
          <w:iCs/>
          <w:szCs w:val="22"/>
        </w:rPr>
        <w:t>α</w:t>
      </w:r>
      <w:r w:rsidR="00566A42" w:rsidRPr="004F7DB0">
        <w:rPr>
          <w:i/>
          <w:iCs/>
          <w:szCs w:val="22"/>
          <w:vertAlign w:val="subscript"/>
        </w:rPr>
        <w:t>0</w:t>
      </w:r>
      <w:r w:rsidR="00264251" w:rsidRPr="004F7DB0">
        <w:rPr>
          <w:i/>
          <w:iCs/>
          <w:szCs w:val="22"/>
          <w:vertAlign w:val="subscript"/>
        </w:rPr>
        <w:t xml:space="preserve"> </w:t>
      </w:r>
      <w:r w:rsidR="00566A42" w:rsidRPr="004F7DB0">
        <w:rPr>
          <w:i/>
          <w:iCs/>
          <w:szCs w:val="22"/>
        </w:rPr>
        <w:t>[1/A</w:t>
      </w:r>
      <w:r w:rsidR="00566A42" w:rsidRPr="004F7DB0">
        <w:rPr>
          <w:i/>
          <w:iCs/>
          <w:szCs w:val="22"/>
          <w:vertAlign w:val="subscript"/>
        </w:rPr>
        <w:t>t</w:t>
      </w:r>
      <w:r w:rsidRPr="004F7DB0">
        <w:rPr>
          <w:i/>
          <w:iCs/>
          <w:szCs w:val="22"/>
          <w:vertAlign w:val="subscript"/>
        </w:rPr>
        <w:t>n</w:t>
      </w:r>
      <w:r w:rsidR="00566A42" w:rsidRPr="004F7DB0">
        <w:rPr>
          <w:i/>
          <w:iCs/>
          <w:szCs w:val="22"/>
          <w:vertAlign w:val="subscript"/>
        </w:rPr>
        <w:t>-1</w:t>
      </w:r>
      <w:r w:rsidR="00566A42" w:rsidRPr="004F7DB0">
        <w:rPr>
          <w:i/>
          <w:iCs/>
          <w:szCs w:val="22"/>
        </w:rPr>
        <w:t>]+</w:t>
      </w:r>
      <w:r w:rsidR="00264251" w:rsidRPr="004F7DB0">
        <w:rPr>
          <w:i/>
          <w:iCs/>
          <w:szCs w:val="22"/>
        </w:rPr>
        <w:t xml:space="preserve"> </w:t>
      </w:r>
      <w:r w:rsidR="000A4A1F" w:rsidRPr="004F7DB0">
        <w:rPr>
          <w:i/>
          <w:iCs/>
          <w:szCs w:val="22"/>
        </w:rPr>
        <w:t>α</w:t>
      </w:r>
      <w:r w:rsidR="00264251" w:rsidRPr="004F7DB0">
        <w:rPr>
          <w:i/>
          <w:iCs/>
          <w:szCs w:val="22"/>
          <w:vertAlign w:val="subscript"/>
        </w:rPr>
        <w:t xml:space="preserve">1 </w:t>
      </w:r>
      <w:r w:rsidR="00264251" w:rsidRPr="004F7DB0">
        <w:rPr>
          <w:i/>
          <w:iCs/>
          <w:szCs w:val="22"/>
        </w:rPr>
        <w:t>[</w:t>
      </w:r>
      <w:r w:rsidR="00264251" w:rsidRPr="004F7DB0">
        <w:rPr>
          <w:rFonts w:ascii="Cambria Math" w:hAnsi="Cambria Math" w:cs="Cambria Math"/>
          <w:i/>
          <w:iCs/>
          <w:szCs w:val="22"/>
        </w:rPr>
        <w:t>△</w:t>
      </w:r>
      <w:r w:rsidR="00264251" w:rsidRPr="004F7DB0">
        <w:rPr>
          <w:i/>
          <w:iCs/>
          <w:szCs w:val="22"/>
        </w:rPr>
        <w:t>REV</w:t>
      </w:r>
      <w:r w:rsidR="00264251" w:rsidRPr="004F7DB0">
        <w:rPr>
          <w:i/>
          <w:iCs/>
          <w:szCs w:val="22"/>
          <w:vertAlign w:val="subscript"/>
        </w:rPr>
        <w:t>t</w:t>
      </w:r>
      <w:r w:rsidRPr="004F7DB0">
        <w:rPr>
          <w:i/>
          <w:iCs/>
          <w:szCs w:val="22"/>
          <w:vertAlign w:val="subscript"/>
        </w:rPr>
        <w:t>n</w:t>
      </w:r>
      <w:r w:rsidR="00264251" w:rsidRPr="004F7DB0">
        <w:rPr>
          <w:i/>
          <w:iCs/>
          <w:szCs w:val="22"/>
        </w:rPr>
        <w:t>/A</w:t>
      </w:r>
      <w:r w:rsidR="00264251" w:rsidRPr="004F7DB0">
        <w:rPr>
          <w:i/>
          <w:iCs/>
          <w:szCs w:val="22"/>
          <w:vertAlign w:val="subscript"/>
        </w:rPr>
        <w:t>t</w:t>
      </w:r>
      <w:r w:rsidRPr="004F7DB0">
        <w:rPr>
          <w:i/>
          <w:iCs/>
          <w:szCs w:val="22"/>
          <w:vertAlign w:val="subscript"/>
        </w:rPr>
        <w:t>n</w:t>
      </w:r>
      <w:r w:rsidR="00264251" w:rsidRPr="004F7DB0">
        <w:rPr>
          <w:i/>
          <w:iCs/>
          <w:szCs w:val="22"/>
          <w:vertAlign w:val="subscript"/>
        </w:rPr>
        <w:t>-1</w:t>
      </w:r>
      <w:r w:rsidR="00264251" w:rsidRPr="004F7DB0">
        <w:rPr>
          <w:i/>
          <w:iCs/>
          <w:szCs w:val="22"/>
        </w:rPr>
        <w:t xml:space="preserve">]+ </w:t>
      </w:r>
      <w:r w:rsidR="000A4A1F" w:rsidRPr="004F7DB0">
        <w:rPr>
          <w:i/>
          <w:iCs/>
          <w:szCs w:val="22"/>
        </w:rPr>
        <w:t>α</w:t>
      </w:r>
      <w:r w:rsidR="00264251" w:rsidRPr="004F7DB0">
        <w:rPr>
          <w:i/>
          <w:iCs/>
          <w:szCs w:val="22"/>
          <w:vertAlign w:val="subscript"/>
        </w:rPr>
        <w:t xml:space="preserve">2 </w:t>
      </w:r>
      <w:r w:rsidR="00264251" w:rsidRPr="004F7DB0">
        <w:rPr>
          <w:i/>
          <w:iCs/>
          <w:szCs w:val="22"/>
        </w:rPr>
        <w:t>[PPE</w:t>
      </w:r>
      <w:r w:rsidR="00264251" w:rsidRPr="004F7DB0">
        <w:rPr>
          <w:i/>
          <w:iCs/>
          <w:szCs w:val="22"/>
          <w:vertAlign w:val="subscript"/>
        </w:rPr>
        <w:t>t</w:t>
      </w:r>
      <w:r w:rsidRPr="004F7DB0">
        <w:rPr>
          <w:i/>
          <w:iCs/>
          <w:szCs w:val="22"/>
          <w:vertAlign w:val="subscript"/>
        </w:rPr>
        <w:t>n</w:t>
      </w:r>
      <w:r w:rsidR="00264251" w:rsidRPr="004F7DB0">
        <w:rPr>
          <w:i/>
          <w:iCs/>
          <w:szCs w:val="22"/>
        </w:rPr>
        <w:t>/A</w:t>
      </w:r>
      <w:r w:rsidR="00264251" w:rsidRPr="004F7DB0">
        <w:rPr>
          <w:i/>
          <w:iCs/>
          <w:szCs w:val="22"/>
          <w:vertAlign w:val="subscript"/>
        </w:rPr>
        <w:t>t</w:t>
      </w:r>
      <w:r w:rsidRPr="004F7DB0">
        <w:rPr>
          <w:i/>
          <w:iCs/>
          <w:szCs w:val="22"/>
          <w:vertAlign w:val="subscript"/>
        </w:rPr>
        <w:t>n</w:t>
      </w:r>
      <w:r w:rsidR="00264251" w:rsidRPr="004F7DB0">
        <w:rPr>
          <w:i/>
          <w:iCs/>
          <w:szCs w:val="22"/>
          <w:vertAlign w:val="subscript"/>
        </w:rPr>
        <w:t>-1</w:t>
      </w:r>
      <w:r w:rsidR="00264251" w:rsidRPr="004F7DB0">
        <w:rPr>
          <w:i/>
          <w:iCs/>
          <w:szCs w:val="22"/>
        </w:rPr>
        <w:t>]+ε</w:t>
      </w:r>
      <w:r w:rsidR="00264251" w:rsidRPr="004F7DB0">
        <w:rPr>
          <w:i/>
          <w:iCs/>
          <w:szCs w:val="22"/>
          <w:vertAlign w:val="subscript"/>
        </w:rPr>
        <w:t>t</w:t>
      </w:r>
      <w:r w:rsidR="00FC46E3" w:rsidRPr="004F7DB0">
        <w:rPr>
          <w:i/>
          <w:iCs/>
          <w:szCs w:val="22"/>
          <w:vertAlign w:val="subscript"/>
        </w:rPr>
        <w:t>n</w:t>
      </w:r>
      <w:r w:rsidR="00264251" w:rsidRPr="004F7DB0">
        <w:rPr>
          <w:i/>
          <w:iCs/>
          <w:szCs w:val="22"/>
          <w:vertAlign w:val="subscript"/>
        </w:rPr>
        <w:t xml:space="preserve">     </w:t>
      </w:r>
      <w:r w:rsidR="00B37BEF">
        <w:rPr>
          <w:i/>
          <w:iCs/>
          <w:szCs w:val="22"/>
          <w:vertAlign w:val="subscript"/>
        </w:rPr>
        <w:t xml:space="preserve">  </w:t>
      </w:r>
      <w:r w:rsidR="00264251" w:rsidRPr="004F7DB0">
        <w:rPr>
          <w:i/>
          <w:iCs/>
          <w:szCs w:val="22"/>
        </w:rPr>
        <w:t xml:space="preserve"> </w:t>
      </w:r>
      <w:r w:rsidR="00E0105C">
        <w:rPr>
          <w:i/>
          <w:iCs/>
          <w:szCs w:val="22"/>
        </w:rPr>
        <w:t xml:space="preserve">   </w:t>
      </w:r>
      <w:r w:rsidR="00264251" w:rsidRPr="004F7DB0">
        <w:rPr>
          <w:szCs w:val="22"/>
        </w:rPr>
        <w:t>(</w:t>
      </w:r>
      <w:r w:rsidR="002901AC" w:rsidRPr="004F7DB0">
        <w:rPr>
          <w:szCs w:val="22"/>
        </w:rPr>
        <w:t>1</w:t>
      </w:r>
      <w:r w:rsidR="00264251" w:rsidRPr="004F7DB0">
        <w:rPr>
          <w:szCs w:val="22"/>
        </w:rPr>
        <w:t>)</w:t>
      </w:r>
      <w:r w:rsidR="00264251" w:rsidRPr="004F7DB0">
        <w:rPr>
          <w:i/>
          <w:iCs/>
          <w:szCs w:val="22"/>
          <w:vertAlign w:val="subscript"/>
        </w:rPr>
        <w:t xml:space="preserve">  </w:t>
      </w:r>
    </w:p>
    <w:p w:rsidR="007B1F52" w:rsidRPr="00905ACC" w:rsidRDefault="00264251" w:rsidP="007D75D2">
      <w:pPr>
        <w:contextualSpacing/>
        <w:rPr>
          <w:szCs w:val="22"/>
        </w:rPr>
      </w:pPr>
      <w:r w:rsidRPr="00905ACC">
        <w:rPr>
          <w:szCs w:val="22"/>
        </w:rPr>
        <w:t>where</w:t>
      </w:r>
      <w:r w:rsidR="007B1F52" w:rsidRPr="00905ACC">
        <w:rPr>
          <w:szCs w:val="22"/>
        </w:rPr>
        <w:t>:</w:t>
      </w:r>
    </w:p>
    <w:p w:rsidR="00264251" w:rsidRPr="00905ACC" w:rsidRDefault="00264251" w:rsidP="007D75D2">
      <w:pPr>
        <w:ind w:firstLineChars="200" w:firstLine="440"/>
        <w:contextualSpacing/>
        <w:rPr>
          <w:szCs w:val="22"/>
        </w:rPr>
      </w:pPr>
      <w:r w:rsidRPr="00905ACC">
        <w:rPr>
          <w:szCs w:val="22"/>
        </w:rPr>
        <w:t xml:space="preserve"> </w:t>
      </w:r>
      <w:r w:rsidR="007B1F52" w:rsidRPr="004F7DB0">
        <w:rPr>
          <w:rFonts w:ascii="Cambria Math" w:hAnsi="Cambria Math" w:cs="Cambria Math"/>
          <w:i/>
          <w:iCs/>
          <w:szCs w:val="22"/>
        </w:rPr>
        <w:t>△</w:t>
      </w:r>
      <w:r w:rsidR="007B1F52" w:rsidRPr="004F7DB0">
        <w:rPr>
          <w:i/>
          <w:iCs/>
          <w:szCs w:val="22"/>
        </w:rPr>
        <w:t>REV</w:t>
      </w:r>
      <w:r w:rsidR="007B1F52" w:rsidRPr="004F7DB0">
        <w:rPr>
          <w:i/>
          <w:iCs/>
          <w:szCs w:val="22"/>
          <w:vertAlign w:val="subscript"/>
        </w:rPr>
        <w:t>t</w:t>
      </w:r>
      <w:r w:rsidR="0016028A" w:rsidRPr="004F7DB0">
        <w:rPr>
          <w:i/>
          <w:iCs/>
          <w:szCs w:val="22"/>
          <w:vertAlign w:val="subscript"/>
        </w:rPr>
        <w:t>n</w:t>
      </w:r>
      <w:r w:rsidR="007B1F52" w:rsidRPr="00905ACC">
        <w:rPr>
          <w:szCs w:val="22"/>
          <w:vertAlign w:val="subscript"/>
        </w:rPr>
        <w:t xml:space="preserve"> </w:t>
      </w:r>
      <w:r w:rsidR="007B1F52" w:rsidRPr="00905ACC">
        <w:rPr>
          <w:szCs w:val="22"/>
        </w:rPr>
        <w:t xml:space="preserve"> is the </w:t>
      </w:r>
      <w:r w:rsidR="00055B70" w:rsidRPr="00905ACC">
        <w:rPr>
          <w:szCs w:val="22"/>
        </w:rPr>
        <w:t xml:space="preserve">sales </w:t>
      </w:r>
      <w:r w:rsidR="0016028A" w:rsidRPr="00905ACC">
        <w:rPr>
          <w:szCs w:val="22"/>
        </w:rPr>
        <w:t>revenues in year n</w:t>
      </w:r>
      <w:r w:rsidR="003D76AF" w:rsidRPr="00905ACC">
        <w:rPr>
          <w:szCs w:val="22"/>
        </w:rPr>
        <w:t xml:space="preserve"> minus</w:t>
      </w:r>
      <w:r w:rsidR="007B1F52" w:rsidRPr="00905ACC">
        <w:rPr>
          <w:szCs w:val="22"/>
        </w:rPr>
        <w:t xml:space="preserve"> </w:t>
      </w:r>
      <w:r w:rsidR="00055B70" w:rsidRPr="00905ACC">
        <w:rPr>
          <w:szCs w:val="22"/>
        </w:rPr>
        <w:t xml:space="preserve">sales </w:t>
      </w:r>
      <w:r w:rsidR="0016028A" w:rsidRPr="00905ACC">
        <w:rPr>
          <w:szCs w:val="22"/>
        </w:rPr>
        <w:t>revenues in year n</w:t>
      </w:r>
      <w:r w:rsidR="007B1F52" w:rsidRPr="00905ACC">
        <w:rPr>
          <w:szCs w:val="22"/>
        </w:rPr>
        <w:t>-1 ;</w:t>
      </w:r>
    </w:p>
    <w:p w:rsidR="00566A42" w:rsidRPr="00905ACC" w:rsidRDefault="007B1F52" w:rsidP="007D75D2">
      <w:pPr>
        <w:contextualSpacing/>
        <w:rPr>
          <w:szCs w:val="22"/>
        </w:rPr>
      </w:pPr>
      <w:r w:rsidRPr="00905ACC">
        <w:rPr>
          <w:szCs w:val="22"/>
        </w:rPr>
        <w:t xml:space="preserve">     </w:t>
      </w:r>
      <w:r w:rsidRPr="004F7DB0">
        <w:rPr>
          <w:i/>
          <w:iCs/>
          <w:szCs w:val="22"/>
        </w:rPr>
        <w:t>PPE</w:t>
      </w:r>
      <w:r w:rsidRPr="004F7DB0">
        <w:rPr>
          <w:i/>
          <w:iCs/>
          <w:szCs w:val="22"/>
          <w:vertAlign w:val="subscript"/>
        </w:rPr>
        <w:t>t</w:t>
      </w:r>
      <w:r w:rsidR="0016028A" w:rsidRPr="004F7DB0">
        <w:rPr>
          <w:i/>
          <w:iCs/>
          <w:szCs w:val="22"/>
          <w:vertAlign w:val="subscript"/>
        </w:rPr>
        <w:t>n</w:t>
      </w:r>
      <w:r w:rsidRPr="00905ACC">
        <w:rPr>
          <w:szCs w:val="22"/>
        </w:rPr>
        <w:t xml:space="preserve"> is the gross proper</w:t>
      </w:r>
      <w:r w:rsidR="00DE57A6" w:rsidRPr="00905ACC">
        <w:rPr>
          <w:szCs w:val="22"/>
        </w:rPr>
        <w:t>ty</w:t>
      </w:r>
      <w:r w:rsidRPr="00905ACC">
        <w:rPr>
          <w:szCs w:val="22"/>
        </w:rPr>
        <w:t>, plant and equipme</w:t>
      </w:r>
      <w:r w:rsidR="00105EB1" w:rsidRPr="00905ACC">
        <w:rPr>
          <w:szCs w:val="22"/>
        </w:rPr>
        <w:t>nt</w:t>
      </w:r>
      <w:r w:rsidRPr="00905ACC">
        <w:rPr>
          <w:szCs w:val="22"/>
        </w:rPr>
        <w:t>;</w:t>
      </w:r>
    </w:p>
    <w:p w:rsidR="007B1F52" w:rsidRPr="00905ACC" w:rsidRDefault="007B1F52" w:rsidP="007D75D2">
      <w:pPr>
        <w:contextualSpacing/>
        <w:rPr>
          <w:szCs w:val="22"/>
        </w:rPr>
      </w:pPr>
      <w:r w:rsidRPr="00905ACC">
        <w:rPr>
          <w:szCs w:val="22"/>
        </w:rPr>
        <w:t xml:space="preserve">     </w:t>
      </w:r>
      <w:r w:rsidRPr="004F7DB0">
        <w:rPr>
          <w:i/>
          <w:iCs/>
          <w:szCs w:val="22"/>
        </w:rPr>
        <w:t>A</w:t>
      </w:r>
      <w:r w:rsidRPr="004F7DB0">
        <w:rPr>
          <w:i/>
          <w:iCs/>
          <w:szCs w:val="22"/>
          <w:vertAlign w:val="subscript"/>
        </w:rPr>
        <w:t>t</w:t>
      </w:r>
      <w:r w:rsidR="0016028A" w:rsidRPr="004F7DB0">
        <w:rPr>
          <w:i/>
          <w:iCs/>
          <w:szCs w:val="22"/>
          <w:vertAlign w:val="subscript"/>
        </w:rPr>
        <w:t>n</w:t>
      </w:r>
      <w:r w:rsidRPr="004F7DB0">
        <w:rPr>
          <w:i/>
          <w:iCs/>
          <w:szCs w:val="22"/>
          <w:vertAlign w:val="subscript"/>
        </w:rPr>
        <w:t>-1</w:t>
      </w:r>
      <w:r w:rsidRPr="00905ACC">
        <w:rPr>
          <w:szCs w:val="22"/>
          <w:vertAlign w:val="subscript"/>
        </w:rPr>
        <w:t xml:space="preserve"> </w:t>
      </w:r>
      <w:r w:rsidR="0016028A" w:rsidRPr="00905ACC">
        <w:rPr>
          <w:szCs w:val="22"/>
        </w:rPr>
        <w:t>is total assets in year n</w:t>
      </w:r>
      <w:r w:rsidRPr="00905ACC">
        <w:rPr>
          <w:szCs w:val="22"/>
        </w:rPr>
        <w:t>-1</w:t>
      </w:r>
      <w:r w:rsidR="00105EB1" w:rsidRPr="00905ACC">
        <w:rPr>
          <w:szCs w:val="22"/>
        </w:rPr>
        <w:t>.</w:t>
      </w:r>
    </w:p>
    <w:p w:rsidR="00055B70" w:rsidRPr="00905ACC" w:rsidRDefault="007567FE" w:rsidP="007D75D2">
      <w:pPr>
        <w:contextualSpacing/>
        <w:rPr>
          <w:szCs w:val="22"/>
        </w:rPr>
      </w:pPr>
      <w:r w:rsidRPr="00905ACC">
        <w:rPr>
          <w:szCs w:val="22"/>
        </w:rPr>
        <w:t>Further</w:t>
      </w:r>
      <w:r w:rsidR="00055B70" w:rsidRPr="00905ACC">
        <w:rPr>
          <w:szCs w:val="22"/>
        </w:rPr>
        <w:t xml:space="preserve">, </w:t>
      </w:r>
      <w:r w:rsidR="00607EB7" w:rsidRPr="00905ACC">
        <w:rPr>
          <w:szCs w:val="22"/>
        </w:rPr>
        <w:t>Kothari et al. (2005)</w:t>
      </w:r>
      <w:r w:rsidR="00C24919" w:rsidRPr="00905ACC">
        <w:rPr>
          <w:szCs w:val="22"/>
        </w:rPr>
        <w:t xml:space="preserve"> apply </w:t>
      </w:r>
      <w:r w:rsidR="00412457" w:rsidRPr="00905ACC">
        <w:rPr>
          <w:szCs w:val="22"/>
        </w:rPr>
        <w:t xml:space="preserve">a modified </w:t>
      </w:r>
      <w:r w:rsidR="0016028A" w:rsidRPr="00905ACC">
        <w:rPr>
          <w:szCs w:val="22"/>
        </w:rPr>
        <w:t xml:space="preserve">variable of </w:t>
      </w:r>
      <w:r w:rsidR="00C24919" w:rsidRPr="00905ACC">
        <w:rPr>
          <w:szCs w:val="22"/>
        </w:rPr>
        <w:t>c</w:t>
      </w:r>
      <w:r w:rsidR="0016028A" w:rsidRPr="00905ACC">
        <w:rPr>
          <w:szCs w:val="22"/>
        </w:rPr>
        <w:t>hange of sales revenues calculat</w:t>
      </w:r>
      <w:r w:rsidR="00C24919" w:rsidRPr="00905ACC">
        <w:rPr>
          <w:szCs w:val="22"/>
        </w:rPr>
        <w:t xml:space="preserve">ed as </w:t>
      </w:r>
      <w:r w:rsidR="00C24919" w:rsidRPr="004F7DB0">
        <w:rPr>
          <w:i/>
          <w:iCs/>
          <w:szCs w:val="22"/>
        </w:rPr>
        <w:t>(</w:t>
      </w:r>
      <w:r w:rsidR="00C24919" w:rsidRPr="004F7DB0">
        <w:rPr>
          <w:rFonts w:ascii="Cambria Math" w:hAnsi="Cambria Math" w:cs="Cambria Math"/>
          <w:i/>
          <w:iCs/>
          <w:szCs w:val="22"/>
        </w:rPr>
        <w:t>△</w:t>
      </w:r>
      <w:r w:rsidR="00C24919" w:rsidRPr="004F7DB0">
        <w:rPr>
          <w:i/>
          <w:iCs/>
          <w:szCs w:val="22"/>
        </w:rPr>
        <w:t>REV</w:t>
      </w:r>
      <w:r w:rsidR="00C24919" w:rsidRPr="004F7DB0">
        <w:rPr>
          <w:i/>
          <w:iCs/>
          <w:szCs w:val="22"/>
          <w:vertAlign w:val="subscript"/>
        </w:rPr>
        <w:t>t</w:t>
      </w:r>
      <w:r w:rsidR="00412457" w:rsidRPr="004F7DB0">
        <w:rPr>
          <w:i/>
          <w:iCs/>
          <w:szCs w:val="22"/>
          <w:vertAlign w:val="subscript"/>
        </w:rPr>
        <w:t>n</w:t>
      </w:r>
      <w:r w:rsidR="00C24919" w:rsidRPr="004F7DB0">
        <w:rPr>
          <w:i/>
          <w:iCs/>
          <w:szCs w:val="22"/>
        </w:rPr>
        <w:t xml:space="preserve"> - AR</w:t>
      </w:r>
      <w:r w:rsidR="00C24919" w:rsidRPr="004F7DB0">
        <w:rPr>
          <w:i/>
          <w:iCs/>
          <w:szCs w:val="22"/>
          <w:vertAlign w:val="subscript"/>
        </w:rPr>
        <w:t>t</w:t>
      </w:r>
      <w:r w:rsidR="00412457" w:rsidRPr="004F7DB0">
        <w:rPr>
          <w:i/>
          <w:iCs/>
          <w:szCs w:val="22"/>
          <w:vertAlign w:val="subscript"/>
        </w:rPr>
        <w:t>n</w:t>
      </w:r>
      <w:r w:rsidR="00412457" w:rsidRPr="004F7DB0">
        <w:rPr>
          <w:i/>
          <w:iCs/>
          <w:szCs w:val="22"/>
        </w:rPr>
        <w:t xml:space="preserve"> )</w:t>
      </w:r>
      <w:r w:rsidR="008C1DEA">
        <w:rPr>
          <w:i/>
          <w:iCs/>
          <w:szCs w:val="22"/>
        </w:rPr>
        <w:t>;</w:t>
      </w:r>
      <w:r w:rsidR="00C24919" w:rsidRPr="00905ACC">
        <w:rPr>
          <w:szCs w:val="22"/>
        </w:rPr>
        <w:t xml:space="preserve"> therefore total accruals can also be defined as follow</w:t>
      </w:r>
      <w:r w:rsidR="008C1DEA">
        <w:rPr>
          <w:szCs w:val="22"/>
        </w:rPr>
        <w:t>s</w:t>
      </w:r>
      <w:r w:rsidR="00C24919" w:rsidRPr="00905ACC">
        <w:rPr>
          <w:szCs w:val="22"/>
        </w:rPr>
        <w:t>:</w:t>
      </w:r>
    </w:p>
    <w:p w:rsidR="00A839BF" w:rsidRPr="004F7DB0" w:rsidRDefault="00C24919" w:rsidP="007D75D2">
      <w:pPr>
        <w:ind w:firstLineChars="150" w:firstLine="330"/>
        <w:contextualSpacing/>
        <w:rPr>
          <w:i/>
          <w:iCs/>
          <w:szCs w:val="22"/>
        </w:rPr>
      </w:pPr>
      <w:r w:rsidRPr="004F7DB0">
        <w:rPr>
          <w:i/>
          <w:iCs/>
          <w:szCs w:val="22"/>
        </w:rPr>
        <w:t>TA</w:t>
      </w:r>
      <w:r w:rsidRPr="004F7DB0">
        <w:rPr>
          <w:i/>
          <w:iCs/>
          <w:szCs w:val="22"/>
          <w:vertAlign w:val="subscript"/>
        </w:rPr>
        <w:t>t</w:t>
      </w:r>
      <w:r w:rsidR="00412457" w:rsidRPr="004F7DB0">
        <w:rPr>
          <w:i/>
          <w:iCs/>
          <w:szCs w:val="22"/>
          <w:vertAlign w:val="subscript"/>
        </w:rPr>
        <w:t>n</w:t>
      </w:r>
      <w:r w:rsidRPr="004F7DB0">
        <w:rPr>
          <w:i/>
          <w:iCs/>
          <w:szCs w:val="22"/>
        </w:rPr>
        <w:t>/A</w:t>
      </w:r>
      <w:r w:rsidRPr="004F7DB0">
        <w:rPr>
          <w:i/>
          <w:iCs/>
          <w:szCs w:val="22"/>
          <w:vertAlign w:val="subscript"/>
        </w:rPr>
        <w:t>t</w:t>
      </w:r>
      <w:r w:rsidR="00412457" w:rsidRPr="004F7DB0">
        <w:rPr>
          <w:i/>
          <w:iCs/>
          <w:szCs w:val="22"/>
          <w:vertAlign w:val="subscript"/>
        </w:rPr>
        <w:t>n</w:t>
      </w:r>
      <w:r w:rsidRPr="004F7DB0">
        <w:rPr>
          <w:i/>
          <w:iCs/>
          <w:szCs w:val="22"/>
          <w:vertAlign w:val="subscript"/>
        </w:rPr>
        <w:t>-1</w:t>
      </w:r>
      <w:r w:rsidRPr="004F7DB0">
        <w:rPr>
          <w:i/>
          <w:iCs/>
          <w:szCs w:val="22"/>
        </w:rPr>
        <w:t>=β</w:t>
      </w:r>
      <w:r w:rsidRPr="004F7DB0">
        <w:rPr>
          <w:i/>
          <w:iCs/>
          <w:szCs w:val="22"/>
          <w:vertAlign w:val="subscript"/>
        </w:rPr>
        <w:t xml:space="preserve">0 </w:t>
      </w:r>
      <w:r w:rsidRPr="004F7DB0">
        <w:rPr>
          <w:i/>
          <w:iCs/>
          <w:szCs w:val="22"/>
        </w:rPr>
        <w:t>[1/A</w:t>
      </w:r>
      <w:r w:rsidRPr="004F7DB0">
        <w:rPr>
          <w:i/>
          <w:iCs/>
          <w:szCs w:val="22"/>
          <w:vertAlign w:val="subscript"/>
        </w:rPr>
        <w:t>t</w:t>
      </w:r>
      <w:r w:rsidR="00412457" w:rsidRPr="004F7DB0">
        <w:rPr>
          <w:i/>
          <w:iCs/>
          <w:szCs w:val="22"/>
          <w:vertAlign w:val="subscript"/>
        </w:rPr>
        <w:t>n</w:t>
      </w:r>
      <w:r w:rsidRPr="004F7DB0">
        <w:rPr>
          <w:i/>
          <w:iCs/>
          <w:szCs w:val="22"/>
          <w:vertAlign w:val="subscript"/>
        </w:rPr>
        <w:t>-1</w:t>
      </w:r>
      <w:r w:rsidRPr="004F7DB0">
        <w:rPr>
          <w:i/>
          <w:iCs/>
          <w:szCs w:val="22"/>
        </w:rPr>
        <w:t>]+ β</w:t>
      </w:r>
      <w:r w:rsidRPr="004F7DB0">
        <w:rPr>
          <w:i/>
          <w:iCs/>
          <w:szCs w:val="22"/>
          <w:vertAlign w:val="subscript"/>
        </w:rPr>
        <w:t xml:space="preserve">1 </w:t>
      </w:r>
      <w:r w:rsidRPr="004F7DB0">
        <w:rPr>
          <w:i/>
          <w:iCs/>
          <w:szCs w:val="22"/>
        </w:rPr>
        <w:t>[(</w:t>
      </w:r>
      <w:r w:rsidRPr="004F7DB0">
        <w:rPr>
          <w:rFonts w:ascii="Cambria Math" w:hAnsi="Cambria Math" w:cs="Cambria Math"/>
          <w:i/>
          <w:iCs/>
          <w:szCs w:val="22"/>
        </w:rPr>
        <w:t>△</w:t>
      </w:r>
      <w:r w:rsidRPr="004F7DB0">
        <w:rPr>
          <w:i/>
          <w:iCs/>
          <w:szCs w:val="22"/>
        </w:rPr>
        <w:t>REV</w:t>
      </w:r>
      <w:r w:rsidRPr="004F7DB0">
        <w:rPr>
          <w:i/>
          <w:iCs/>
          <w:szCs w:val="22"/>
          <w:vertAlign w:val="subscript"/>
        </w:rPr>
        <w:t>t</w:t>
      </w:r>
      <w:r w:rsidR="00412457" w:rsidRPr="004F7DB0">
        <w:rPr>
          <w:i/>
          <w:iCs/>
          <w:szCs w:val="22"/>
          <w:vertAlign w:val="subscript"/>
        </w:rPr>
        <w:t>n</w:t>
      </w:r>
      <w:r w:rsidRPr="004F7DB0">
        <w:rPr>
          <w:i/>
          <w:iCs/>
          <w:szCs w:val="22"/>
          <w:vertAlign w:val="subscript"/>
        </w:rPr>
        <w:t xml:space="preserve"> </w:t>
      </w:r>
      <w:r w:rsidRPr="004F7DB0">
        <w:rPr>
          <w:i/>
          <w:iCs/>
          <w:szCs w:val="22"/>
        </w:rPr>
        <w:t>- AR</w:t>
      </w:r>
      <w:r w:rsidRPr="004F7DB0">
        <w:rPr>
          <w:i/>
          <w:iCs/>
          <w:szCs w:val="22"/>
          <w:vertAlign w:val="subscript"/>
        </w:rPr>
        <w:t>t</w:t>
      </w:r>
      <w:r w:rsidR="00412457" w:rsidRPr="004F7DB0">
        <w:rPr>
          <w:i/>
          <w:iCs/>
          <w:szCs w:val="22"/>
          <w:vertAlign w:val="subscript"/>
        </w:rPr>
        <w:t>n</w:t>
      </w:r>
      <w:r w:rsidRPr="004F7DB0">
        <w:rPr>
          <w:i/>
          <w:iCs/>
          <w:szCs w:val="22"/>
        </w:rPr>
        <w:t xml:space="preserve"> )/A</w:t>
      </w:r>
      <w:r w:rsidRPr="004F7DB0">
        <w:rPr>
          <w:i/>
          <w:iCs/>
          <w:szCs w:val="22"/>
          <w:vertAlign w:val="subscript"/>
        </w:rPr>
        <w:t>t</w:t>
      </w:r>
      <w:r w:rsidR="00412457" w:rsidRPr="004F7DB0">
        <w:rPr>
          <w:i/>
          <w:iCs/>
          <w:szCs w:val="22"/>
          <w:vertAlign w:val="subscript"/>
        </w:rPr>
        <w:t>n</w:t>
      </w:r>
      <w:r w:rsidRPr="004F7DB0">
        <w:rPr>
          <w:i/>
          <w:iCs/>
          <w:szCs w:val="22"/>
          <w:vertAlign w:val="subscript"/>
        </w:rPr>
        <w:t>-1</w:t>
      </w:r>
      <w:r w:rsidRPr="004F7DB0">
        <w:rPr>
          <w:i/>
          <w:iCs/>
          <w:szCs w:val="22"/>
        </w:rPr>
        <w:t>]+ β</w:t>
      </w:r>
      <w:r w:rsidRPr="004F7DB0">
        <w:rPr>
          <w:i/>
          <w:iCs/>
          <w:szCs w:val="22"/>
          <w:vertAlign w:val="subscript"/>
        </w:rPr>
        <w:t xml:space="preserve">2 </w:t>
      </w:r>
      <w:r w:rsidRPr="004F7DB0">
        <w:rPr>
          <w:i/>
          <w:iCs/>
          <w:szCs w:val="22"/>
        </w:rPr>
        <w:t>[PPE</w:t>
      </w:r>
      <w:r w:rsidRPr="004F7DB0">
        <w:rPr>
          <w:i/>
          <w:iCs/>
          <w:szCs w:val="22"/>
          <w:vertAlign w:val="subscript"/>
        </w:rPr>
        <w:t>t</w:t>
      </w:r>
      <w:r w:rsidR="00412457" w:rsidRPr="004F7DB0">
        <w:rPr>
          <w:i/>
          <w:iCs/>
          <w:szCs w:val="22"/>
          <w:vertAlign w:val="subscript"/>
        </w:rPr>
        <w:t>n</w:t>
      </w:r>
      <w:r w:rsidRPr="004F7DB0">
        <w:rPr>
          <w:i/>
          <w:iCs/>
          <w:szCs w:val="22"/>
        </w:rPr>
        <w:t>/A</w:t>
      </w:r>
      <w:r w:rsidRPr="004F7DB0">
        <w:rPr>
          <w:i/>
          <w:iCs/>
          <w:szCs w:val="22"/>
          <w:vertAlign w:val="subscript"/>
        </w:rPr>
        <w:t>t</w:t>
      </w:r>
      <w:r w:rsidR="00412457" w:rsidRPr="004F7DB0">
        <w:rPr>
          <w:i/>
          <w:iCs/>
          <w:szCs w:val="22"/>
          <w:vertAlign w:val="subscript"/>
        </w:rPr>
        <w:t>n</w:t>
      </w:r>
      <w:r w:rsidRPr="004F7DB0">
        <w:rPr>
          <w:i/>
          <w:iCs/>
          <w:szCs w:val="22"/>
          <w:vertAlign w:val="subscript"/>
        </w:rPr>
        <w:t>-1</w:t>
      </w:r>
      <w:r w:rsidRPr="004F7DB0">
        <w:rPr>
          <w:i/>
          <w:iCs/>
          <w:szCs w:val="22"/>
        </w:rPr>
        <w:t>]+ε</w:t>
      </w:r>
      <w:r w:rsidRPr="004F7DB0">
        <w:rPr>
          <w:i/>
          <w:iCs/>
          <w:szCs w:val="22"/>
          <w:vertAlign w:val="subscript"/>
        </w:rPr>
        <w:t>t</w:t>
      </w:r>
      <w:r w:rsidR="00FC46E3" w:rsidRPr="004F7DB0">
        <w:rPr>
          <w:i/>
          <w:iCs/>
          <w:szCs w:val="22"/>
          <w:vertAlign w:val="subscript"/>
        </w:rPr>
        <w:t>n</w:t>
      </w:r>
      <w:r w:rsidR="00412457" w:rsidRPr="004F7DB0">
        <w:rPr>
          <w:i/>
          <w:iCs/>
          <w:szCs w:val="22"/>
          <w:vertAlign w:val="subscript"/>
        </w:rPr>
        <w:t xml:space="preserve">  </w:t>
      </w:r>
      <w:r w:rsidR="004F7DB0">
        <w:rPr>
          <w:i/>
          <w:iCs/>
          <w:szCs w:val="22"/>
          <w:vertAlign w:val="subscript"/>
        </w:rPr>
        <w:t xml:space="preserve"> </w:t>
      </w:r>
      <w:r w:rsidR="00AA2421">
        <w:rPr>
          <w:i/>
          <w:iCs/>
          <w:szCs w:val="22"/>
          <w:vertAlign w:val="subscript"/>
        </w:rPr>
        <w:t xml:space="preserve"> </w:t>
      </w:r>
      <w:r w:rsidR="00F4490C">
        <w:rPr>
          <w:i/>
          <w:iCs/>
          <w:szCs w:val="22"/>
          <w:vertAlign w:val="subscript"/>
        </w:rPr>
        <w:t xml:space="preserve"> </w:t>
      </w:r>
      <w:r w:rsidR="00E0105C">
        <w:rPr>
          <w:i/>
          <w:iCs/>
          <w:szCs w:val="22"/>
          <w:vertAlign w:val="subscript"/>
        </w:rPr>
        <w:t xml:space="preserve">     </w:t>
      </w:r>
      <w:r w:rsidR="004F7DB0">
        <w:rPr>
          <w:i/>
          <w:iCs/>
          <w:szCs w:val="22"/>
          <w:vertAlign w:val="subscript"/>
        </w:rPr>
        <w:t xml:space="preserve"> </w:t>
      </w:r>
      <w:r w:rsidRPr="004F7DB0">
        <w:rPr>
          <w:szCs w:val="22"/>
        </w:rPr>
        <w:t>(</w:t>
      </w:r>
      <w:r w:rsidR="002901AC" w:rsidRPr="004F7DB0">
        <w:rPr>
          <w:szCs w:val="22"/>
        </w:rPr>
        <w:t>2</w:t>
      </w:r>
      <w:r w:rsidRPr="004F7DB0">
        <w:rPr>
          <w:szCs w:val="22"/>
        </w:rPr>
        <w:t>)</w:t>
      </w:r>
    </w:p>
    <w:p w:rsidR="00412457" w:rsidRPr="00905ACC" w:rsidRDefault="00412457" w:rsidP="007D75D2">
      <w:pPr>
        <w:contextualSpacing/>
        <w:rPr>
          <w:szCs w:val="22"/>
        </w:rPr>
      </w:pPr>
      <w:r w:rsidRPr="00905ACC">
        <w:rPr>
          <w:szCs w:val="22"/>
        </w:rPr>
        <w:lastRenderedPageBreak/>
        <w:t xml:space="preserve">where </w:t>
      </w:r>
      <w:r w:rsidRPr="004F7DB0">
        <w:rPr>
          <w:i/>
          <w:iCs/>
          <w:szCs w:val="22"/>
        </w:rPr>
        <w:t>AR</w:t>
      </w:r>
      <w:r w:rsidRPr="004F7DB0">
        <w:rPr>
          <w:i/>
          <w:iCs/>
          <w:szCs w:val="22"/>
          <w:vertAlign w:val="subscript"/>
        </w:rPr>
        <w:t>tn</w:t>
      </w:r>
      <w:r w:rsidRPr="004F7DB0">
        <w:rPr>
          <w:i/>
          <w:iCs/>
          <w:szCs w:val="22"/>
        </w:rPr>
        <w:t xml:space="preserve"> </w:t>
      </w:r>
      <w:r w:rsidRPr="00905ACC">
        <w:rPr>
          <w:szCs w:val="22"/>
        </w:rPr>
        <w:t>is the change in accounts receivable</w:t>
      </w:r>
      <w:r w:rsidR="00BA2AF0" w:rsidRPr="00905ACC">
        <w:rPr>
          <w:szCs w:val="22"/>
        </w:rPr>
        <w:t>.</w:t>
      </w:r>
    </w:p>
    <w:p w:rsidR="00DA4BCA" w:rsidRPr="00905ACC" w:rsidRDefault="00A44238" w:rsidP="007D75D2">
      <w:pPr>
        <w:contextualSpacing/>
        <w:rPr>
          <w:szCs w:val="22"/>
        </w:rPr>
      </w:pPr>
      <w:r w:rsidRPr="00905ACC">
        <w:rPr>
          <w:szCs w:val="22"/>
        </w:rPr>
        <w:t>However,</w:t>
      </w:r>
      <w:r w:rsidR="00DA4BCA" w:rsidRPr="00905ACC">
        <w:rPr>
          <w:szCs w:val="22"/>
        </w:rPr>
        <w:t xml:space="preserve"> Kothari et al. (2005) </w:t>
      </w:r>
      <w:r w:rsidRPr="00905ACC">
        <w:rPr>
          <w:szCs w:val="22"/>
        </w:rPr>
        <w:t xml:space="preserve">point out that firms, </w:t>
      </w:r>
      <w:r w:rsidR="00E70BAC">
        <w:rPr>
          <w:szCs w:val="22"/>
        </w:rPr>
        <w:t>that</w:t>
      </w:r>
      <w:r w:rsidR="00E70BAC" w:rsidRPr="00905ACC">
        <w:rPr>
          <w:szCs w:val="22"/>
        </w:rPr>
        <w:t xml:space="preserve"> </w:t>
      </w:r>
      <w:r w:rsidRPr="00905ACC">
        <w:rPr>
          <w:szCs w:val="22"/>
        </w:rPr>
        <w:t xml:space="preserve">are experiencing </w:t>
      </w:r>
      <w:r w:rsidR="008C1DEA">
        <w:rPr>
          <w:szCs w:val="22"/>
        </w:rPr>
        <w:t>increases</w:t>
      </w:r>
      <w:r w:rsidR="008C1DEA" w:rsidRPr="00905ACC">
        <w:rPr>
          <w:szCs w:val="22"/>
        </w:rPr>
        <w:t xml:space="preserve"> </w:t>
      </w:r>
      <w:r w:rsidRPr="00905ACC">
        <w:rPr>
          <w:szCs w:val="22"/>
        </w:rPr>
        <w:t xml:space="preserve">in account </w:t>
      </w:r>
      <w:r w:rsidR="00CA2B90" w:rsidRPr="00905ACC">
        <w:rPr>
          <w:szCs w:val="22"/>
        </w:rPr>
        <w:t>receivables,</w:t>
      </w:r>
      <w:r w:rsidRPr="00905ACC">
        <w:rPr>
          <w:szCs w:val="22"/>
        </w:rPr>
        <w:t xml:space="preserve"> </w:t>
      </w:r>
      <w:r w:rsidR="00E70BAC">
        <w:rPr>
          <w:szCs w:val="22"/>
        </w:rPr>
        <w:t xml:space="preserve">possibly </w:t>
      </w:r>
      <w:r w:rsidRPr="00905ACC">
        <w:rPr>
          <w:szCs w:val="22"/>
        </w:rPr>
        <w:t>may underestimat</w:t>
      </w:r>
      <w:r w:rsidR="00E70BAC">
        <w:rPr>
          <w:szCs w:val="22"/>
        </w:rPr>
        <w:t>e</w:t>
      </w:r>
      <w:r w:rsidRPr="00905ACC">
        <w:rPr>
          <w:szCs w:val="22"/>
        </w:rPr>
        <w:t xml:space="preserve"> non-</w:t>
      </w:r>
      <w:r w:rsidR="005B11B7">
        <w:rPr>
          <w:szCs w:val="22"/>
        </w:rPr>
        <w:t xml:space="preserve"> </w:t>
      </w:r>
      <w:r w:rsidRPr="00905ACC">
        <w:rPr>
          <w:szCs w:val="22"/>
        </w:rPr>
        <w:t>and over-estima</w:t>
      </w:r>
      <w:r w:rsidR="004532A7" w:rsidRPr="00905ACC">
        <w:rPr>
          <w:szCs w:val="22"/>
        </w:rPr>
        <w:t>t</w:t>
      </w:r>
      <w:r w:rsidR="00E70BAC">
        <w:rPr>
          <w:szCs w:val="22"/>
        </w:rPr>
        <w:t>e</w:t>
      </w:r>
      <w:r w:rsidR="00AB60EF" w:rsidRPr="00905ACC">
        <w:rPr>
          <w:szCs w:val="22"/>
        </w:rPr>
        <w:t xml:space="preserve"> discretionary accruals. Therefore</w:t>
      </w:r>
      <w:r w:rsidR="004532A7" w:rsidRPr="00905ACC">
        <w:rPr>
          <w:szCs w:val="22"/>
        </w:rPr>
        <w:t xml:space="preserve">, </w:t>
      </w:r>
      <w:r w:rsidRPr="00905ACC">
        <w:rPr>
          <w:szCs w:val="22"/>
        </w:rPr>
        <w:t xml:space="preserve">they </w:t>
      </w:r>
      <w:r w:rsidR="004D6FF5" w:rsidRPr="00905ACC">
        <w:rPr>
          <w:szCs w:val="22"/>
        </w:rPr>
        <w:t xml:space="preserve">further </w:t>
      </w:r>
      <w:r w:rsidR="004532A7" w:rsidRPr="00905ACC">
        <w:rPr>
          <w:szCs w:val="22"/>
        </w:rPr>
        <w:t>include lagged ROA in Jones</w:t>
      </w:r>
      <w:r w:rsidR="008C1DEA">
        <w:rPr>
          <w:szCs w:val="22"/>
        </w:rPr>
        <w:t>’s</w:t>
      </w:r>
      <w:r w:rsidR="004532A7" w:rsidRPr="00905ACC">
        <w:rPr>
          <w:szCs w:val="22"/>
        </w:rPr>
        <w:t xml:space="preserve"> (1991) model </w:t>
      </w:r>
      <w:r w:rsidR="002D011D" w:rsidRPr="00905ACC">
        <w:rPr>
          <w:szCs w:val="22"/>
        </w:rPr>
        <w:t>and calculate total accrual</w:t>
      </w:r>
      <w:r w:rsidR="008C1DEA">
        <w:rPr>
          <w:szCs w:val="22"/>
        </w:rPr>
        <w:t>s</w:t>
      </w:r>
      <w:r w:rsidR="002D011D" w:rsidRPr="00905ACC">
        <w:rPr>
          <w:szCs w:val="22"/>
        </w:rPr>
        <w:t xml:space="preserve"> as:</w:t>
      </w:r>
    </w:p>
    <w:p w:rsidR="00A44238" w:rsidRPr="004F7DB0" w:rsidRDefault="00A44238" w:rsidP="007D75D2">
      <w:pPr>
        <w:ind w:firstLineChars="150" w:firstLine="330"/>
        <w:contextualSpacing/>
        <w:rPr>
          <w:i/>
          <w:iCs/>
          <w:szCs w:val="22"/>
        </w:rPr>
      </w:pPr>
      <w:r w:rsidRPr="004F7DB0">
        <w:rPr>
          <w:i/>
          <w:iCs/>
          <w:szCs w:val="22"/>
        </w:rPr>
        <w:t>TA</w:t>
      </w:r>
      <w:r w:rsidRPr="004F7DB0">
        <w:rPr>
          <w:i/>
          <w:iCs/>
          <w:szCs w:val="22"/>
          <w:vertAlign w:val="subscript"/>
        </w:rPr>
        <w:t>t</w:t>
      </w:r>
      <w:r w:rsidR="0069333C" w:rsidRPr="004F7DB0">
        <w:rPr>
          <w:i/>
          <w:iCs/>
          <w:szCs w:val="22"/>
          <w:vertAlign w:val="subscript"/>
        </w:rPr>
        <w:t>n</w:t>
      </w:r>
      <w:r w:rsidRPr="004F7DB0">
        <w:rPr>
          <w:i/>
          <w:iCs/>
          <w:szCs w:val="22"/>
        </w:rPr>
        <w:t>/A</w:t>
      </w:r>
      <w:r w:rsidRPr="004F7DB0">
        <w:rPr>
          <w:i/>
          <w:iCs/>
          <w:szCs w:val="22"/>
          <w:vertAlign w:val="subscript"/>
        </w:rPr>
        <w:t>t</w:t>
      </w:r>
      <w:r w:rsidR="0069333C" w:rsidRPr="004F7DB0">
        <w:rPr>
          <w:i/>
          <w:iCs/>
          <w:szCs w:val="22"/>
          <w:vertAlign w:val="subscript"/>
        </w:rPr>
        <w:t>n</w:t>
      </w:r>
      <w:r w:rsidRPr="004F7DB0">
        <w:rPr>
          <w:i/>
          <w:iCs/>
          <w:szCs w:val="22"/>
          <w:vertAlign w:val="subscript"/>
        </w:rPr>
        <w:t>-1</w:t>
      </w:r>
      <w:r w:rsidRPr="004F7DB0">
        <w:rPr>
          <w:i/>
          <w:iCs/>
          <w:szCs w:val="22"/>
        </w:rPr>
        <w:t>=</w:t>
      </w:r>
      <w:r w:rsidR="000A4A1F" w:rsidRPr="004F7DB0">
        <w:rPr>
          <w:i/>
          <w:iCs/>
          <w:szCs w:val="22"/>
        </w:rPr>
        <w:t>δ</w:t>
      </w:r>
      <w:r w:rsidRPr="004F7DB0">
        <w:rPr>
          <w:i/>
          <w:iCs/>
          <w:szCs w:val="22"/>
          <w:vertAlign w:val="subscript"/>
        </w:rPr>
        <w:t xml:space="preserve">0 </w:t>
      </w:r>
      <w:r w:rsidRPr="004F7DB0">
        <w:rPr>
          <w:i/>
          <w:iCs/>
          <w:szCs w:val="22"/>
        </w:rPr>
        <w:t>[1/A</w:t>
      </w:r>
      <w:r w:rsidRPr="004F7DB0">
        <w:rPr>
          <w:i/>
          <w:iCs/>
          <w:szCs w:val="22"/>
          <w:vertAlign w:val="subscript"/>
        </w:rPr>
        <w:t>t</w:t>
      </w:r>
      <w:r w:rsidR="0069333C" w:rsidRPr="004F7DB0">
        <w:rPr>
          <w:i/>
          <w:iCs/>
          <w:szCs w:val="22"/>
          <w:vertAlign w:val="subscript"/>
        </w:rPr>
        <w:t>n</w:t>
      </w:r>
      <w:r w:rsidRPr="004F7DB0">
        <w:rPr>
          <w:i/>
          <w:iCs/>
          <w:szCs w:val="22"/>
          <w:vertAlign w:val="subscript"/>
        </w:rPr>
        <w:t>-1</w:t>
      </w:r>
      <w:r w:rsidRPr="004F7DB0">
        <w:rPr>
          <w:i/>
          <w:iCs/>
          <w:szCs w:val="22"/>
        </w:rPr>
        <w:t>]+</w:t>
      </w:r>
      <w:r w:rsidR="000A4A1F" w:rsidRPr="004F7DB0">
        <w:rPr>
          <w:i/>
          <w:iCs/>
          <w:szCs w:val="22"/>
        </w:rPr>
        <w:t>δ</w:t>
      </w:r>
      <w:r w:rsidRPr="004F7DB0">
        <w:rPr>
          <w:i/>
          <w:iCs/>
          <w:szCs w:val="22"/>
          <w:vertAlign w:val="subscript"/>
        </w:rPr>
        <w:t xml:space="preserve">1 </w:t>
      </w:r>
      <w:r w:rsidRPr="004F7DB0">
        <w:rPr>
          <w:i/>
          <w:iCs/>
          <w:szCs w:val="22"/>
        </w:rPr>
        <w:t>[</w:t>
      </w:r>
      <w:r w:rsidRPr="004F7DB0">
        <w:rPr>
          <w:rFonts w:ascii="Cambria Math" w:hAnsi="Cambria Math" w:cs="Cambria Math"/>
          <w:i/>
          <w:iCs/>
          <w:szCs w:val="22"/>
        </w:rPr>
        <w:t>△</w:t>
      </w:r>
      <w:r w:rsidRPr="004F7DB0">
        <w:rPr>
          <w:i/>
          <w:iCs/>
          <w:szCs w:val="22"/>
        </w:rPr>
        <w:t>REV</w:t>
      </w:r>
      <w:r w:rsidRPr="004F7DB0">
        <w:rPr>
          <w:i/>
          <w:iCs/>
          <w:szCs w:val="22"/>
          <w:vertAlign w:val="subscript"/>
        </w:rPr>
        <w:t>t</w:t>
      </w:r>
      <w:r w:rsidR="0069333C" w:rsidRPr="004F7DB0">
        <w:rPr>
          <w:i/>
          <w:iCs/>
          <w:szCs w:val="22"/>
          <w:vertAlign w:val="subscript"/>
        </w:rPr>
        <w:t>n</w:t>
      </w:r>
      <w:r w:rsidRPr="004F7DB0">
        <w:rPr>
          <w:i/>
          <w:iCs/>
          <w:szCs w:val="22"/>
        </w:rPr>
        <w:t>/A</w:t>
      </w:r>
      <w:r w:rsidRPr="004F7DB0">
        <w:rPr>
          <w:i/>
          <w:iCs/>
          <w:szCs w:val="22"/>
          <w:vertAlign w:val="subscript"/>
        </w:rPr>
        <w:t>t</w:t>
      </w:r>
      <w:r w:rsidR="0069333C" w:rsidRPr="004F7DB0">
        <w:rPr>
          <w:i/>
          <w:iCs/>
          <w:szCs w:val="22"/>
          <w:vertAlign w:val="subscript"/>
        </w:rPr>
        <w:t>n</w:t>
      </w:r>
      <w:r w:rsidRPr="004F7DB0">
        <w:rPr>
          <w:i/>
          <w:iCs/>
          <w:szCs w:val="22"/>
          <w:vertAlign w:val="subscript"/>
        </w:rPr>
        <w:t>-1</w:t>
      </w:r>
      <w:r w:rsidRPr="004F7DB0">
        <w:rPr>
          <w:i/>
          <w:iCs/>
          <w:szCs w:val="22"/>
        </w:rPr>
        <w:t>]+</w:t>
      </w:r>
      <w:r w:rsidR="000A4A1F" w:rsidRPr="004F7DB0">
        <w:rPr>
          <w:i/>
          <w:iCs/>
          <w:szCs w:val="22"/>
        </w:rPr>
        <w:t>δ</w:t>
      </w:r>
      <w:r w:rsidRPr="004F7DB0">
        <w:rPr>
          <w:i/>
          <w:iCs/>
          <w:szCs w:val="22"/>
          <w:vertAlign w:val="subscript"/>
        </w:rPr>
        <w:t xml:space="preserve">2 </w:t>
      </w:r>
      <w:r w:rsidRPr="004F7DB0">
        <w:rPr>
          <w:i/>
          <w:iCs/>
          <w:szCs w:val="22"/>
        </w:rPr>
        <w:t>[PPE</w:t>
      </w:r>
      <w:r w:rsidRPr="004F7DB0">
        <w:rPr>
          <w:i/>
          <w:iCs/>
          <w:szCs w:val="22"/>
          <w:vertAlign w:val="subscript"/>
        </w:rPr>
        <w:t>t</w:t>
      </w:r>
      <w:r w:rsidR="0069333C" w:rsidRPr="004F7DB0">
        <w:rPr>
          <w:i/>
          <w:iCs/>
          <w:szCs w:val="22"/>
          <w:vertAlign w:val="subscript"/>
        </w:rPr>
        <w:t>n</w:t>
      </w:r>
      <w:r w:rsidRPr="004F7DB0">
        <w:rPr>
          <w:i/>
          <w:iCs/>
          <w:szCs w:val="22"/>
        </w:rPr>
        <w:t>/A</w:t>
      </w:r>
      <w:r w:rsidRPr="004F7DB0">
        <w:rPr>
          <w:i/>
          <w:iCs/>
          <w:szCs w:val="22"/>
          <w:vertAlign w:val="subscript"/>
        </w:rPr>
        <w:t>t</w:t>
      </w:r>
      <w:r w:rsidR="0069333C" w:rsidRPr="004F7DB0">
        <w:rPr>
          <w:i/>
          <w:iCs/>
          <w:szCs w:val="22"/>
          <w:vertAlign w:val="subscript"/>
        </w:rPr>
        <w:t>n</w:t>
      </w:r>
      <w:r w:rsidRPr="004F7DB0">
        <w:rPr>
          <w:i/>
          <w:iCs/>
          <w:szCs w:val="22"/>
          <w:vertAlign w:val="subscript"/>
        </w:rPr>
        <w:t>-1</w:t>
      </w:r>
      <w:r w:rsidRPr="004F7DB0">
        <w:rPr>
          <w:i/>
          <w:iCs/>
          <w:szCs w:val="22"/>
        </w:rPr>
        <w:t>]+</w:t>
      </w:r>
      <w:r w:rsidR="00561E8C" w:rsidRPr="004F7DB0">
        <w:rPr>
          <w:i/>
          <w:iCs/>
          <w:szCs w:val="22"/>
        </w:rPr>
        <w:t xml:space="preserve"> ROA</w:t>
      </w:r>
      <w:r w:rsidR="00561E8C" w:rsidRPr="004F7DB0">
        <w:rPr>
          <w:i/>
          <w:iCs/>
          <w:szCs w:val="22"/>
          <w:vertAlign w:val="subscript"/>
        </w:rPr>
        <w:t>t</w:t>
      </w:r>
      <w:r w:rsidR="0069333C" w:rsidRPr="004F7DB0">
        <w:rPr>
          <w:i/>
          <w:iCs/>
          <w:szCs w:val="22"/>
          <w:vertAlign w:val="subscript"/>
        </w:rPr>
        <w:t>n</w:t>
      </w:r>
      <w:r w:rsidR="00561E8C" w:rsidRPr="004F7DB0">
        <w:rPr>
          <w:i/>
          <w:iCs/>
          <w:szCs w:val="22"/>
          <w:vertAlign w:val="subscript"/>
        </w:rPr>
        <w:t xml:space="preserve">-1 </w:t>
      </w:r>
      <w:r w:rsidR="00561E8C" w:rsidRPr="004F7DB0">
        <w:rPr>
          <w:i/>
          <w:iCs/>
          <w:szCs w:val="22"/>
        </w:rPr>
        <w:t>+</w:t>
      </w:r>
      <w:r w:rsidRPr="004F7DB0">
        <w:rPr>
          <w:i/>
          <w:iCs/>
          <w:szCs w:val="22"/>
        </w:rPr>
        <w:t>ε</w:t>
      </w:r>
      <w:r w:rsidRPr="004F7DB0">
        <w:rPr>
          <w:i/>
          <w:iCs/>
          <w:szCs w:val="22"/>
          <w:vertAlign w:val="subscript"/>
        </w:rPr>
        <w:t>t</w:t>
      </w:r>
      <w:r w:rsidR="0069333C" w:rsidRPr="004F7DB0">
        <w:rPr>
          <w:i/>
          <w:iCs/>
          <w:szCs w:val="22"/>
          <w:vertAlign w:val="subscript"/>
        </w:rPr>
        <w:t xml:space="preserve">n  </w:t>
      </w:r>
      <w:r w:rsidR="004F7DB0">
        <w:rPr>
          <w:i/>
          <w:iCs/>
          <w:szCs w:val="22"/>
          <w:vertAlign w:val="subscript"/>
        </w:rPr>
        <w:tab/>
      </w:r>
      <w:r w:rsidR="004F7DB0" w:rsidRPr="00AA2421">
        <w:rPr>
          <w:szCs w:val="22"/>
          <w:vertAlign w:val="subscript"/>
        </w:rPr>
        <w:t xml:space="preserve">    </w:t>
      </w:r>
      <w:r w:rsidR="0069333C" w:rsidRPr="00AA2421">
        <w:rPr>
          <w:szCs w:val="22"/>
          <w:vertAlign w:val="subscript"/>
        </w:rPr>
        <w:t xml:space="preserve"> </w:t>
      </w:r>
      <w:r w:rsidR="00E0105C">
        <w:rPr>
          <w:szCs w:val="22"/>
          <w:vertAlign w:val="subscript"/>
        </w:rPr>
        <w:t xml:space="preserve">     </w:t>
      </w:r>
      <w:r w:rsidRPr="00AA2421">
        <w:rPr>
          <w:szCs w:val="22"/>
        </w:rPr>
        <w:t>(</w:t>
      </w:r>
      <w:r w:rsidR="002901AC" w:rsidRPr="00AA2421">
        <w:rPr>
          <w:szCs w:val="22"/>
        </w:rPr>
        <w:t>3</w:t>
      </w:r>
      <w:r w:rsidRPr="00AA2421">
        <w:rPr>
          <w:szCs w:val="22"/>
        </w:rPr>
        <w:t>)</w:t>
      </w:r>
    </w:p>
    <w:p w:rsidR="00A44238" w:rsidRPr="00905ACC" w:rsidRDefault="00A44238" w:rsidP="007D75D2">
      <w:pPr>
        <w:ind w:firstLine="0"/>
        <w:contextualSpacing/>
        <w:rPr>
          <w:szCs w:val="22"/>
        </w:rPr>
      </w:pPr>
      <w:r w:rsidRPr="00905ACC">
        <w:rPr>
          <w:szCs w:val="22"/>
        </w:rPr>
        <w:t xml:space="preserve">where </w:t>
      </w:r>
      <w:r w:rsidRPr="004F7DB0">
        <w:rPr>
          <w:i/>
          <w:iCs/>
          <w:szCs w:val="22"/>
        </w:rPr>
        <w:t>ROA</w:t>
      </w:r>
      <w:r w:rsidR="0069333C" w:rsidRPr="004F7DB0">
        <w:rPr>
          <w:i/>
          <w:iCs/>
          <w:szCs w:val="22"/>
          <w:vertAlign w:val="subscript"/>
        </w:rPr>
        <w:t>n</w:t>
      </w:r>
      <w:r w:rsidRPr="004F7DB0">
        <w:rPr>
          <w:i/>
          <w:iCs/>
          <w:szCs w:val="22"/>
          <w:vertAlign w:val="subscript"/>
        </w:rPr>
        <w:t>t-1</w:t>
      </w:r>
      <w:r w:rsidR="00E66349" w:rsidRPr="00905ACC">
        <w:rPr>
          <w:szCs w:val="22"/>
        </w:rPr>
        <w:t xml:space="preserve"> represents</w:t>
      </w:r>
      <w:r w:rsidR="0069333C" w:rsidRPr="00905ACC">
        <w:rPr>
          <w:szCs w:val="22"/>
        </w:rPr>
        <w:t xml:space="preserve"> return on assets in period n</w:t>
      </w:r>
      <w:r w:rsidRPr="00905ACC">
        <w:rPr>
          <w:szCs w:val="22"/>
        </w:rPr>
        <w:t>-1.</w:t>
      </w:r>
    </w:p>
    <w:p w:rsidR="004D6FF5" w:rsidRPr="00905ACC" w:rsidRDefault="0070052E" w:rsidP="007D75D2">
      <w:pPr>
        <w:ind w:firstLine="0"/>
        <w:contextualSpacing/>
        <w:rPr>
          <w:szCs w:val="22"/>
        </w:rPr>
      </w:pPr>
      <w:r w:rsidRPr="00905ACC">
        <w:rPr>
          <w:szCs w:val="22"/>
        </w:rPr>
        <w:t>T</w:t>
      </w:r>
      <w:r w:rsidR="00F0483F" w:rsidRPr="00905ACC">
        <w:rPr>
          <w:szCs w:val="22"/>
        </w:rPr>
        <w:t>he discretionary component of accruals is as follow:</w:t>
      </w:r>
    </w:p>
    <w:p w:rsidR="0070052E" w:rsidRPr="00905ACC" w:rsidRDefault="0069333C" w:rsidP="007D75D2">
      <w:pPr>
        <w:ind w:firstLineChars="200" w:firstLine="440"/>
        <w:contextualSpacing/>
        <w:rPr>
          <w:szCs w:val="22"/>
        </w:rPr>
      </w:pPr>
      <w:r w:rsidRPr="00905ACC">
        <w:rPr>
          <w:szCs w:val="22"/>
        </w:rPr>
        <w:t xml:space="preserve">      </w:t>
      </w:r>
      <w:r w:rsidR="00F0483F" w:rsidRPr="00905ACC">
        <w:rPr>
          <w:szCs w:val="22"/>
        </w:rPr>
        <w:t xml:space="preserve">  </w:t>
      </w:r>
      <w:r w:rsidR="0070052E" w:rsidRPr="00905ACC">
        <w:rPr>
          <w:szCs w:val="22"/>
        </w:rPr>
        <w:t xml:space="preserve">    </w:t>
      </w:r>
      <w:r w:rsidR="00F0483F" w:rsidRPr="00905ACC">
        <w:rPr>
          <w:szCs w:val="22"/>
        </w:rPr>
        <w:t xml:space="preserve"> </w:t>
      </w:r>
      <w:r w:rsidR="00F0483F" w:rsidRPr="004F7DB0">
        <w:rPr>
          <w:i/>
          <w:iCs/>
          <w:szCs w:val="22"/>
        </w:rPr>
        <w:t>DAC</w:t>
      </w:r>
      <w:r w:rsidR="0070052E" w:rsidRPr="004F7DB0">
        <w:rPr>
          <w:i/>
          <w:iCs/>
          <w:szCs w:val="22"/>
          <w:vertAlign w:val="subscript"/>
        </w:rPr>
        <w:t>t</w:t>
      </w:r>
      <w:r w:rsidRPr="004F7DB0">
        <w:rPr>
          <w:i/>
          <w:iCs/>
          <w:szCs w:val="22"/>
          <w:vertAlign w:val="subscript"/>
        </w:rPr>
        <w:t>n</w:t>
      </w:r>
      <w:r w:rsidR="0070052E" w:rsidRPr="004F7DB0">
        <w:rPr>
          <w:i/>
          <w:iCs/>
          <w:szCs w:val="22"/>
          <w:vertAlign w:val="subscript"/>
        </w:rPr>
        <w:t xml:space="preserve"> </w:t>
      </w:r>
      <w:r w:rsidR="0070052E" w:rsidRPr="004F7DB0">
        <w:rPr>
          <w:i/>
          <w:iCs/>
          <w:szCs w:val="22"/>
        </w:rPr>
        <w:t>=ε</w:t>
      </w:r>
      <w:r w:rsidR="0070052E" w:rsidRPr="004F7DB0">
        <w:rPr>
          <w:i/>
          <w:iCs/>
          <w:szCs w:val="22"/>
          <w:vertAlign w:val="subscript"/>
        </w:rPr>
        <w:t>t</w:t>
      </w:r>
      <w:r w:rsidRPr="004F7DB0">
        <w:rPr>
          <w:i/>
          <w:iCs/>
          <w:szCs w:val="22"/>
          <w:vertAlign w:val="subscript"/>
        </w:rPr>
        <w:t>n</w:t>
      </w:r>
      <w:r w:rsidR="0070052E" w:rsidRPr="00905ACC">
        <w:rPr>
          <w:szCs w:val="22"/>
          <w:vertAlign w:val="subscript"/>
        </w:rPr>
        <w:t xml:space="preserve">                        </w:t>
      </w:r>
      <w:r w:rsidR="00A75F80" w:rsidRPr="00905ACC">
        <w:rPr>
          <w:szCs w:val="22"/>
          <w:vertAlign w:val="subscript"/>
        </w:rPr>
        <w:t xml:space="preserve">            </w:t>
      </w:r>
      <w:r w:rsidR="0070052E" w:rsidRPr="00905ACC">
        <w:rPr>
          <w:szCs w:val="22"/>
          <w:vertAlign w:val="subscript"/>
        </w:rPr>
        <w:t xml:space="preserve"> </w:t>
      </w:r>
      <w:r w:rsidR="004F7DB0">
        <w:rPr>
          <w:szCs w:val="22"/>
          <w:vertAlign w:val="subscript"/>
        </w:rPr>
        <w:tab/>
      </w:r>
      <w:r w:rsidR="004F7DB0">
        <w:rPr>
          <w:szCs w:val="22"/>
          <w:vertAlign w:val="subscript"/>
        </w:rPr>
        <w:tab/>
      </w:r>
      <w:r w:rsidR="004F7DB0">
        <w:rPr>
          <w:szCs w:val="22"/>
          <w:vertAlign w:val="subscript"/>
        </w:rPr>
        <w:tab/>
      </w:r>
      <w:r w:rsidR="004F7DB0">
        <w:rPr>
          <w:szCs w:val="22"/>
          <w:vertAlign w:val="subscript"/>
        </w:rPr>
        <w:tab/>
      </w:r>
      <w:r w:rsidR="004F7DB0">
        <w:rPr>
          <w:szCs w:val="22"/>
          <w:vertAlign w:val="subscript"/>
        </w:rPr>
        <w:tab/>
      </w:r>
      <w:r w:rsidR="00E0105C">
        <w:rPr>
          <w:szCs w:val="22"/>
          <w:vertAlign w:val="subscript"/>
        </w:rPr>
        <w:t xml:space="preserve">     </w:t>
      </w:r>
      <w:r w:rsidR="0070052E" w:rsidRPr="00905ACC">
        <w:rPr>
          <w:szCs w:val="22"/>
        </w:rPr>
        <w:t>(</w:t>
      </w:r>
      <w:r w:rsidR="002901AC" w:rsidRPr="00905ACC">
        <w:rPr>
          <w:szCs w:val="22"/>
        </w:rPr>
        <w:t>4</w:t>
      </w:r>
      <w:r w:rsidR="0070052E" w:rsidRPr="00905ACC">
        <w:rPr>
          <w:szCs w:val="22"/>
        </w:rPr>
        <w:t>)</w:t>
      </w:r>
    </w:p>
    <w:p w:rsidR="00F0483F" w:rsidRPr="00905ACC" w:rsidRDefault="0070052E" w:rsidP="007D75D2">
      <w:pPr>
        <w:ind w:firstLine="0"/>
        <w:contextualSpacing/>
        <w:rPr>
          <w:szCs w:val="22"/>
        </w:rPr>
      </w:pPr>
      <w:r w:rsidRPr="00905ACC">
        <w:rPr>
          <w:szCs w:val="22"/>
        </w:rPr>
        <w:t>and the nondiscretionary part of accruals is calculated by:</w:t>
      </w:r>
    </w:p>
    <w:p w:rsidR="009604A0" w:rsidRPr="00905ACC" w:rsidRDefault="0069333C" w:rsidP="007D75D2">
      <w:pPr>
        <w:contextualSpacing/>
        <w:rPr>
          <w:szCs w:val="22"/>
        </w:rPr>
      </w:pPr>
      <w:r w:rsidRPr="00905ACC">
        <w:rPr>
          <w:szCs w:val="22"/>
        </w:rPr>
        <w:t xml:space="preserve">            </w:t>
      </w:r>
      <w:r w:rsidR="00E165B0">
        <w:rPr>
          <w:szCs w:val="22"/>
        </w:rPr>
        <w:t xml:space="preserve"> </w:t>
      </w:r>
      <w:r w:rsidR="0070052E" w:rsidRPr="004F7DB0">
        <w:rPr>
          <w:i/>
          <w:iCs/>
          <w:szCs w:val="22"/>
        </w:rPr>
        <w:t>NDAC</w:t>
      </w:r>
      <w:r w:rsidR="0070052E" w:rsidRPr="004F7DB0">
        <w:rPr>
          <w:i/>
          <w:iCs/>
          <w:szCs w:val="22"/>
          <w:vertAlign w:val="subscript"/>
        </w:rPr>
        <w:t>t</w:t>
      </w:r>
      <w:r w:rsidRPr="004F7DB0">
        <w:rPr>
          <w:i/>
          <w:iCs/>
          <w:szCs w:val="22"/>
          <w:vertAlign w:val="subscript"/>
        </w:rPr>
        <w:t>n</w:t>
      </w:r>
      <w:r w:rsidR="0070052E" w:rsidRPr="004F7DB0">
        <w:rPr>
          <w:i/>
          <w:iCs/>
          <w:szCs w:val="22"/>
          <w:vertAlign w:val="subscript"/>
        </w:rPr>
        <w:t xml:space="preserve"> </w:t>
      </w:r>
      <w:r w:rsidR="0070052E" w:rsidRPr="004F7DB0">
        <w:rPr>
          <w:i/>
          <w:iCs/>
          <w:szCs w:val="22"/>
        </w:rPr>
        <w:t>= TA</w:t>
      </w:r>
      <w:r w:rsidR="0070052E" w:rsidRPr="004F7DB0">
        <w:rPr>
          <w:i/>
          <w:iCs/>
          <w:szCs w:val="22"/>
          <w:vertAlign w:val="subscript"/>
        </w:rPr>
        <w:t>t</w:t>
      </w:r>
      <w:r w:rsidRPr="004F7DB0">
        <w:rPr>
          <w:i/>
          <w:iCs/>
          <w:szCs w:val="22"/>
          <w:vertAlign w:val="subscript"/>
        </w:rPr>
        <w:t>n</w:t>
      </w:r>
      <w:r w:rsidR="0070052E" w:rsidRPr="004F7DB0">
        <w:rPr>
          <w:i/>
          <w:iCs/>
          <w:szCs w:val="22"/>
        </w:rPr>
        <w:t xml:space="preserve"> - DAC</w:t>
      </w:r>
      <w:r w:rsidR="0070052E" w:rsidRPr="004F7DB0">
        <w:rPr>
          <w:i/>
          <w:iCs/>
          <w:szCs w:val="22"/>
          <w:vertAlign w:val="subscript"/>
        </w:rPr>
        <w:t>t</w:t>
      </w:r>
      <w:r w:rsidRPr="004F7DB0">
        <w:rPr>
          <w:i/>
          <w:iCs/>
          <w:szCs w:val="22"/>
          <w:vertAlign w:val="subscript"/>
        </w:rPr>
        <w:t>n</w:t>
      </w:r>
      <w:r w:rsidR="0070052E" w:rsidRPr="004F7DB0">
        <w:rPr>
          <w:i/>
          <w:iCs/>
          <w:szCs w:val="22"/>
          <w:vertAlign w:val="subscript"/>
        </w:rPr>
        <w:t xml:space="preserve"> </w:t>
      </w:r>
      <w:r w:rsidR="0070052E" w:rsidRPr="00905ACC">
        <w:rPr>
          <w:szCs w:val="22"/>
          <w:vertAlign w:val="subscript"/>
        </w:rPr>
        <w:t xml:space="preserve">     </w:t>
      </w:r>
      <w:r w:rsidR="00A75F80" w:rsidRPr="00905ACC">
        <w:rPr>
          <w:szCs w:val="22"/>
          <w:vertAlign w:val="subscript"/>
        </w:rPr>
        <w:t xml:space="preserve">                 </w:t>
      </w:r>
      <w:r w:rsidR="004F7DB0">
        <w:rPr>
          <w:szCs w:val="22"/>
          <w:vertAlign w:val="subscript"/>
        </w:rPr>
        <w:tab/>
      </w:r>
      <w:r w:rsidR="004F7DB0">
        <w:rPr>
          <w:szCs w:val="22"/>
          <w:vertAlign w:val="subscript"/>
        </w:rPr>
        <w:tab/>
      </w:r>
      <w:r w:rsidR="004F7DB0">
        <w:rPr>
          <w:szCs w:val="22"/>
          <w:vertAlign w:val="subscript"/>
        </w:rPr>
        <w:tab/>
      </w:r>
      <w:r w:rsidR="00A75F80" w:rsidRPr="00905ACC">
        <w:rPr>
          <w:szCs w:val="22"/>
          <w:vertAlign w:val="subscript"/>
        </w:rPr>
        <w:t xml:space="preserve"> </w:t>
      </w:r>
      <w:r w:rsidR="0070052E" w:rsidRPr="00905ACC">
        <w:rPr>
          <w:szCs w:val="22"/>
          <w:vertAlign w:val="subscript"/>
        </w:rPr>
        <w:t xml:space="preserve"> </w:t>
      </w:r>
      <w:r w:rsidR="004F7DB0">
        <w:rPr>
          <w:szCs w:val="22"/>
          <w:vertAlign w:val="subscript"/>
        </w:rPr>
        <w:t xml:space="preserve">    </w:t>
      </w:r>
      <w:r w:rsidR="00E0105C">
        <w:rPr>
          <w:szCs w:val="22"/>
          <w:vertAlign w:val="subscript"/>
        </w:rPr>
        <w:t xml:space="preserve">     </w:t>
      </w:r>
      <w:r w:rsidR="0070052E" w:rsidRPr="00905ACC">
        <w:rPr>
          <w:szCs w:val="22"/>
        </w:rPr>
        <w:t>(</w:t>
      </w:r>
      <w:r w:rsidR="002901AC" w:rsidRPr="00905ACC">
        <w:rPr>
          <w:szCs w:val="22"/>
        </w:rPr>
        <w:t>5</w:t>
      </w:r>
      <w:r w:rsidR="0070052E" w:rsidRPr="00905ACC">
        <w:rPr>
          <w:szCs w:val="22"/>
        </w:rPr>
        <w:t>)</w:t>
      </w:r>
    </w:p>
    <w:p w:rsidR="004D6FF5" w:rsidRPr="00905ACC" w:rsidRDefault="00235E66" w:rsidP="007D75D2">
      <w:pPr>
        <w:tabs>
          <w:tab w:val="left" w:pos="420"/>
        </w:tabs>
        <w:ind w:firstLine="0"/>
        <w:contextualSpacing/>
        <w:rPr>
          <w:szCs w:val="22"/>
        </w:rPr>
      </w:pPr>
      <w:r w:rsidRPr="00905ACC">
        <w:rPr>
          <w:szCs w:val="22"/>
        </w:rPr>
        <w:t xml:space="preserve">Recently, </w:t>
      </w:r>
      <w:r w:rsidR="00D32E99" w:rsidRPr="00905ACC">
        <w:rPr>
          <w:szCs w:val="22"/>
        </w:rPr>
        <w:t xml:space="preserve">Papanastasopoulos </w:t>
      </w:r>
      <w:r w:rsidRPr="00905ACC">
        <w:rPr>
          <w:szCs w:val="22"/>
        </w:rPr>
        <w:t>(2015) also investigate</w:t>
      </w:r>
      <w:r w:rsidR="008C1DEA">
        <w:rPr>
          <w:szCs w:val="22"/>
        </w:rPr>
        <w:t>d</w:t>
      </w:r>
      <w:r w:rsidRPr="00905ACC">
        <w:rPr>
          <w:szCs w:val="22"/>
        </w:rPr>
        <w:t xml:space="preserve"> the accrual anomaly to test the impact of </w:t>
      </w:r>
      <w:r w:rsidR="00E70BAC">
        <w:rPr>
          <w:szCs w:val="22"/>
        </w:rPr>
        <w:t xml:space="preserve">the </w:t>
      </w:r>
      <w:r w:rsidRPr="00905ACC">
        <w:rPr>
          <w:szCs w:val="22"/>
        </w:rPr>
        <w:t xml:space="preserve">adoption of Financial Reporting Standard No. 3 </w:t>
      </w:r>
      <w:r w:rsidR="009604A0" w:rsidRPr="00905ACC">
        <w:rPr>
          <w:szCs w:val="22"/>
        </w:rPr>
        <w:t>and follow</w:t>
      </w:r>
      <w:r w:rsidR="00E70BAC">
        <w:rPr>
          <w:szCs w:val="22"/>
        </w:rPr>
        <w:t>s</w:t>
      </w:r>
      <w:r w:rsidR="009604A0" w:rsidRPr="00905ACC">
        <w:rPr>
          <w:szCs w:val="22"/>
        </w:rPr>
        <w:t xml:space="preserve"> </w:t>
      </w:r>
      <w:r w:rsidR="001A27B4" w:rsidRPr="00905ACC">
        <w:rPr>
          <w:szCs w:val="22"/>
        </w:rPr>
        <w:t xml:space="preserve">Richardson et al. (2006) </w:t>
      </w:r>
      <w:r w:rsidR="008C1DEA">
        <w:rPr>
          <w:szCs w:val="22"/>
        </w:rPr>
        <w:t>to</w:t>
      </w:r>
      <w:r w:rsidR="008C1DEA" w:rsidRPr="00905ACC">
        <w:rPr>
          <w:szCs w:val="22"/>
        </w:rPr>
        <w:t xml:space="preserve"> </w:t>
      </w:r>
      <w:r w:rsidR="001A27B4" w:rsidRPr="00905ACC">
        <w:rPr>
          <w:szCs w:val="22"/>
        </w:rPr>
        <w:t>def</w:t>
      </w:r>
      <w:r w:rsidR="00765C4F" w:rsidRPr="00905ACC">
        <w:rPr>
          <w:szCs w:val="22"/>
        </w:rPr>
        <w:t xml:space="preserve">ine total accruals as </w:t>
      </w:r>
      <w:r w:rsidR="00E70BAC">
        <w:rPr>
          <w:szCs w:val="22"/>
        </w:rPr>
        <w:t xml:space="preserve">a </w:t>
      </w:r>
      <w:r w:rsidR="00765C4F" w:rsidRPr="00905ACC">
        <w:rPr>
          <w:szCs w:val="22"/>
        </w:rPr>
        <w:t>proportion</w:t>
      </w:r>
      <w:r w:rsidR="001A27B4" w:rsidRPr="00905ACC">
        <w:rPr>
          <w:szCs w:val="22"/>
        </w:rPr>
        <w:t xml:space="preserve"> </w:t>
      </w:r>
      <w:r w:rsidR="008C1DEA">
        <w:rPr>
          <w:szCs w:val="22"/>
        </w:rPr>
        <w:t xml:space="preserve">of </w:t>
      </w:r>
      <w:r w:rsidR="001A27B4" w:rsidRPr="00905ACC">
        <w:rPr>
          <w:szCs w:val="22"/>
        </w:rPr>
        <w:t>cha</w:t>
      </w:r>
      <w:r w:rsidR="00765C4F" w:rsidRPr="00905ACC">
        <w:rPr>
          <w:szCs w:val="22"/>
        </w:rPr>
        <w:t xml:space="preserve">nge in net operating assets, which is </w:t>
      </w:r>
      <w:r w:rsidR="001A27B4" w:rsidRPr="00905ACC">
        <w:rPr>
          <w:szCs w:val="22"/>
        </w:rPr>
        <w:t>as follow</w:t>
      </w:r>
      <w:r w:rsidR="008C1DEA">
        <w:rPr>
          <w:szCs w:val="22"/>
        </w:rPr>
        <w:t>s</w:t>
      </w:r>
      <w:r w:rsidR="001A27B4" w:rsidRPr="00905ACC">
        <w:rPr>
          <w:szCs w:val="22"/>
        </w:rPr>
        <w:t>:</w:t>
      </w:r>
    </w:p>
    <w:p w:rsidR="001A27B4" w:rsidRPr="00905ACC" w:rsidRDefault="00E165B0" w:rsidP="007D75D2">
      <w:pPr>
        <w:tabs>
          <w:tab w:val="left" w:pos="420"/>
        </w:tabs>
        <w:ind w:firstLineChars="600" w:firstLine="1320"/>
        <w:contextualSpacing/>
        <w:rPr>
          <w:szCs w:val="22"/>
          <w:vertAlign w:val="subscript"/>
        </w:rPr>
      </w:pPr>
      <w:r>
        <w:rPr>
          <w:i/>
          <w:iCs/>
          <w:szCs w:val="22"/>
        </w:rPr>
        <w:t xml:space="preserve">  </w:t>
      </w:r>
      <w:r w:rsidR="001A27B4" w:rsidRPr="007648EC">
        <w:rPr>
          <w:i/>
          <w:iCs/>
          <w:szCs w:val="22"/>
        </w:rPr>
        <w:t>ACC</w:t>
      </w:r>
      <w:r w:rsidR="001A27B4" w:rsidRPr="007648EC">
        <w:rPr>
          <w:i/>
          <w:iCs/>
          <w:szCs w:val="22"/>
          <w:vertAlign w:val="subscript"/>
        </w:rPr>
        <w:t xml:space="preserve">t </w:t>
      </w:r>
      <w:r w:rsidR="001A27B4" w:rsidRPr="007648EC">
        <w:rPr>
          <w:i/>
          <w:iCs/>
          <w:szCs w:val="22"/>
        </w:rPr>
        <w:t xml:space="preserve">= </w:t>
      </w:r>
      <w:r w:rsidR="001A27B4" w:rsidRPr="007648EC">
        <w:rPr>
          <w:rFonts w:ascii="Cambria Math" w:hAnsi="Cambria Math" w:cs="Cambria Math"/>
          <w:i/>
          <w:iCs/>
          <w:szCs w:val="22"/>
        </w:rPr>
        <w:t>△</w:t>
      </w:r>
      <w:r w:rsidR="001A27B4" w:rsidRPr="007648EC">
        <w:rPr>
          <w:i/>
          <w:iCs/>
          <w:szCs w:val="22"/>
        </w:rPr>
        <w:t>NOA</w:t>
      </w:r>
      <w:r w:rsidR="001A27B4" w:rsidRPr="007648EC">
        <w:rPr>
          <w:i/>
          <w:iCs/>
          <w:szCs w:val="22"/>
          <w:vertAlign w:val="subscript"/>
        </w:rPr>
        <w:t>t</w:t>
      </w:r>
      <w:r w:rsidR="001A27B4" w:rsidRPr="007648EC">
        <w:rPr>
          <w:i/>
          <w:iCs/>
          <w:szCs w:val="22"/>
        </w:rPr>
        <w:t xml:space="preserve"> / NOA</w:t>
      </w:r>
      <w:r w:rsidR="001A27B4" w:rsidRPr="007648EC">
        <w:rPr>
          <w:i/>
          <w:iCs/>
          <w:szCs w:val="22"/>
          <w:vertAlign w:val="subscript"/>
        </w:rPr>
        <w:t>t-1</w:t>
      </w:r>
      <w:r w:rsidR="006F57A9" w:rsidRPr="00905ACC">
        <w:rPr>
          <w:szCs w:val="22"/>
          <w:vertAlign w:val="subscript"/>
        </w:rPr>
        <w:t xml:space="preserve">                  </w:t>
      </w:r>
      <w:r w:rsidR="00A75F80" w:rsidRPr="00905ACC">
        <w:rPr>
          <w:szCs w:val="22"/>
          <w:vertAlign w:val="subscript"/>
        </w:rPr>
        <w:t xml:space="preserve">  </w:t>
      </w:r>
      <w:r w:rsidR="006F57A9" w:rsidRPr="00905ACC">
        <w:rPr>
          <w:szCs w:val="22"/>
          <w:vertAlign w:val="subscript"/>
        </w:rPr>
        <w:t xml:space="preserve">        </w:t>
      </w:r>
      <w:r w:rsidR="004F7DB0">
        <w:rPr>
          <w:szCs w:val="22"/>
          <w:vertAlign w:val="subscript"/>
        </w:rPr>
        <w:tab/>
      </w:r>
      <w:r w:rsidR="004F7DB0">
        <w:rPr>
          <w:szCs w:val="22"/>
          <w:vertAlign w:val="subscript"/>
        </w:rPr>
        <w:tab/>
      </w:r>
      <w:r w:rsidR="004F7DB0">
        <w:rPr>
          <w:szCs w:val="22"/>
          <w:vertAlign w:val="subscript"/>
        </w:rPr>
        <w:tab/>
      </w:r>
      <w:r w:rsidR="004F7DB0">
        <w:rPr>
          <w:szCs w:val="22"/>
          <w:vertAlign w:val="subscript"/>
        </w:rPr>
        <w:tab/>
        <w:t xml:space="preserve"> </w:t>
      </w:r>
      <w:r w:rsidR="00AA2421">
        <w:rPr>
          <w:szCs w:val="22"/>
          <w:vertAlign w:val="subscript"/>
        </w:rPr>
        <w:t xml:space="preserve"> </w:t>
      </w:r>
      <w:r w:rsidR="00E0105C">
        <w:rPr>
          <w:szCs w:val="22"/>
          <w:vertAlign w:val="subscript"/>
        </w:rPr>
        <w:t xml:space="preserve">     </w:t>
      </w:r>
      <w:r w:rsidR="006F57A9" w:rsidRPr="00905ACC">
        <w:rPr>
          <w:szCs w:val="22"/>
        </w:rPr>
        <w:t>(</w:t>
      </w:r>
      <w:r w:rsidR="002901AC" w:rsidRPr="00905ACC">
        <w:rPr>
          <w:szCs w:val="22"/>
        </w:rPr>
        <w:t>6</w:t>
      </w:r>
      <w:r w:rsidR="0086460C" w:rsidRPr="00905ACC">
        <w:rPr>
          <w:szCs w:val="22"/>
        </w:rPr>
        <w:t>)</w:t>
      </w:r>
    </w:p>
    <w:p w:rsidR="0048431C" w:rsidRPr="00905ACC" w:rsidRDefault="00E165B0" w:rsidP="007D75D2">
      <w:pPr>
        <w:tabs>
          <w:tab w:val="left" w:pos="420"/>
        </w:tabs>
        <w:ind w:firstLine="0"/>
        <w:contextualSpacing/>
        <w:rPr>
          <w:szCs w:val="22"/>
        </w:rPr>
      </w:pPr>
      <w:r w:rsidRPr="00905ACC">
        <w:rPr>
          <w:szCs w:val="22"/>
        </w:rPr>
        <w:t>Where</w:t>
      </w:r>
      <w:r w:rsidR="001A27B4" w:rsidRPr="00905ACC">
        <w:rPr>
          <w:szCs w:val="22"/>
        </w:rPr>
        <w:t xml:space="preserve"> </w:t>
      </w:r>
      <w:r w:rsidR="001A27B4" w:rsidRPr="00B37BEF">
        <w:rPr>
          <w:i/>
          <w:iCs/>
          <w:szCs w:val="22"/>
        </w:rPr>
        <w:t>NOA</w:t>
      </w:r>
      <w:r w:rsidR="001A27B4" w:rsidRPr="00905ACC">
        <w:rPr>
          <w:szCs w:val="22"/>
        </w:rPr>
        <w:t xml:space="preserve"> </w:t>
      </w:r>
      <w:r w:rsidR="00881620" w:rsidRPr="00905ACC">
        <w:rPr>
          <w:szCs w:val="22"/>
        </w:rPr>
        <w:t>is net operating assets</w:t>
      </w:r>
      <w:r w:rsidR="008C1DEA">
        <w:rPr>
          <w:szCs w:val="22"/>
        </w:rPr>
        <w:t xml:space="preserve"> </w:t>
      </w:r>
      <w:r w:rsidR="00881620" w:rsidRPr="00905ACC">
        <w:rPr>
          <w:szCs w:val="22"/>
        </w:rPr>
        <w:t>i.e.,</w:t>
      </w:r>
      <w:r w:rsidR="004C6EBD" w:rsidRPr="00905ACC">
        <w:rPr>
          <w:szCs w:val="22"/>
        </w:rPr>
        <w:t xml:space="preserve"> </w:t>
      </w:r>
      <w:r w:rsidRPr="00905ACC">
        <w:rPr>
          <w:szCs w:val="22"/>
        </w:rPr>
        <w:t>operating</w:t>
      </w:r>
      <w:r w:rsidR="004C6EBD" w:rsidRPr="00905ACC">
        <w:rPr>
          <w:szCs w:val="22"/>
        </w:rPr>
        <w:t xml:space="preserve"> assets </w:t>
      </w:r>
      <w:r w:rsidR="00881620" w:rsidRPr="00905ACC">
        <w:rPr>
          <w:szCs w:val="22"/>
        </w:rPr>
        <w:t>minus</w:t>
      </w:r>
      <w:r w:rsidR="00E741F8" w:rsidRPr="00905ACC">
        <w:rPr>
          <w:szCs w:val="22"/>
        </w:rPr>
        <w:t xml:space="preserve"> </w:t>
      </w:r>
      <w:r w:rsidRPr="00905ACC">
        <w:rPr>
          <w:szCs w:val="22"/>
        </w:rPr>
        <w:t>operating</w:t>
      </w:r>
      <w:r w:rsidR="004C6EBD" w:rsidRPr="00905ACC">
        <w:rPr>
          <w:szCs w:val="22"/>
        </w:rPr>
        <w:t xml:space="preserve"> liabilities</w:t>
      </w:r>
      <w:r w:rsidR="008C1DEA">
        <w:rPr>
          <w:szCs w:val="22"/>
        </w:rPr>
        <w:t>.</w:t>
      </w:r>
    </w:p>
    <w:p w:rsidR="0048431C" w:rsidRPr="00905ACC" w:rsidRDefault="0048431C" w:rsidP="007D75D2">
      <w:pPr>
        <w:tabs>
          <w:tab w:val="left" w:pos="420"/>
        </w:tabs>
        <w:contextualSpacing/>
        <w:rPr>
          <w:szCs w:val="22"/>
        </w:rPr>
      </w:pPr>
      <w:r w:rsidRPr="00905ACC">
        <w:rPr>
          <w:szCs w:val="22"/>
        </w:rPr>
        <w:t>Operating asset</w:t>
      </w:r>
      <w:r w:rsidR="00E70BAC">
        <w:rPr>
          <w:szCs w:val="22"/>
        </w:rPr>
        <w:t xml:space="preserve"> </w:t>
      </w:r>
      <w:r w:rsidRPr="00905ACC">
        <w:rPr>
          <w:szCs w:val="22"/>
        </w:rPr>
        <w:t>= Total assets</w:t>
      </w:r>
      <w:r w:rsidR="00B37BEF">
        <w:rPr>
          <w:szCs w:val="22"/>
        </w:rPr>
        <w:t xml:space="preserve"> </w:t>
      </w:r>
      <w:r w:rsidRPr="00905ACC">
        <w:rPr>
          <w:szCs w:val="22"/>
        </w:rPr>
        <w:t xml:space="preserve">(DI#02999)-Cash and Short Term </w:t>
      </w:r>
      <w:r w:rsidR="00E165B0" w:rsidRPr="00905ACC">
        <w:rPr>
          <w:szCs w:val="22"/>
        </w:rPr>
        <w:t>Investment (</w:t>
      </w:r>
      <w:r w:rsidRPr="00905ACC">
        <w:rPr>
          <w:szCs w:val="22"/>
        </w:rPr>
        <w:t>DI#02001)</w:t>
      </w:r>
    </w:p>
    <w:p w:rsidR="0048431C" w:rsidRDefault="00E741F8" w:rsidP="007D75D2">
      <w:pPr>
        <w:tabs>
          <w:tab w:val="left" w:pos="420"/>
        </w:tabs>
        <w:ind w:left="2090" w:hangingChars="950" w:hanging="2090"/>
        <w:contextualSpacing/>
        <w:rPr>
          <w:szCs w:val="22"/>
        </w:rPr>
      </w:pPr>
      <w:r w:rsidRPr="00905ACC">
        <w:rPr>
          <w:szCs w:val="22"/>
        </w:rPr>
        <w:t xml:space="preserve">Operating </w:t>
      </w:r>
      <w:r w:rsidR="0048431C" w:rsidRPr="00905ACC">
        <w:rPr>
          <w:szCs w:val="22"/>
        </w:rPr>
        <w:t>liabilities</w:t>
      </w:r>
      <w:r w:rsidRPr="00905ACC">
        <w:rPr>
          <w:szCs w:val="22"/>
        </w:rPr>
        <w:t xml:space="preserve"> </w:t>
      </w:r>
      <w:r w:rsidR="0048431C" w:rsidRPr="00905ACC">
        <w:rPr>
          <w:szCs w:val="22"/>
        </w:rPr>
        <w:t>=</w:t>
      </w:r>
      <w:r w:rsidRPr="00905ACC">
        <w:rPr>
          <w:szCs w:val="22"/>
        </w:rPr>
        <w:t xml:space="preserve"> </w:t>
      </w:r>
      <w:r w:rsidR="0048431C" w:rsidRPr="00905ACC">
        <w:rPr>
          <w:szCs w:val="22"/>
        </w:rPr>
        <w:t>Total assets</w:t>
      </w:r>
      <w:r w:rsidRPr="00905ACC">
        <w:rPr>
          <w:szCs w:val="22"/>
        </w:rPr>
        <w:t xml:space="preserve"> </w:t>
      </w:r>
      <w:r w:rsidR="0048431C" w:rsidRPr="00905ACC">
        <w:rPr>
          <w:szCs w:val="22"/>
        </w:rPr>
        <w:t>-</w:t>
      </w:r>
      <w:r w:rsidRPr="00905ACC">
        <w:rPr>
          <w:szCs w:val="22"/>
        </w:rPr>
        <w:t xml:space="preserve"> </w:t>
      </w:r>
      <w:r w:rsidR="0048431C" w:rsidRPr="00905ACC">
        <w:rPr>
          <w:szCs w:val="22"/>
        </w:rPr>
        <w:t>Ordinary and Preferred Shares (DI#03995) -Total debt (DI#03255)</w:t>
      </w:r>
      <w:r w:rsidRPr="00905ACC">
        <w:rPr>
          <w:szCs w:val="22"/>
        </w:rPr>
        <w:t xml:space="preserve"> </w:t>
      </w:r>
      <w:r w:rsidR="0048431C" w:rsidRPr="00905ACC">
        <w:rPr>
          <w:szCs w:val="22"/>
        </w:rPr>
        <w:t>-</w:t>
      </w:r>
      <w:r w:rsidRPr="00905ACC">
        <w:rPr>
          <w:szCs w:val="22"/>
        </w:rPr>
        <w:t xml:space="preserve"> </w:t>
      </w:r>
      <w:r w:rsidR="0048431C" w:rsidRPr="00905ACC">
        <w:rPr>
          <w:szCs w:val="22"/>
        </w:rPr>
        <w:t>Minority Interest (DI#03426)</w:t>
      </w:r>
    </w:p>
    <w:p w:rsidR="00075580" w:rsidRPr="00905ACC" w:rsidRDefault="00075580" w:rsidP="007D75D2">
      <w:pPr>
        <w:tabs>
          <w:tab w:val="left" w:pos="420"/>
        </w:tabs>
        <w:ind w:firstLine="0"/>
        <w:contextualSpacing/>
        <w:rPr>
          <w:szCs w:val="22"/>
        </w:rPr>
      </w:pPr>
      <w:r>
        <w:rPr>
          <w:szCs w:val="22"/>
        </w:rPr>
        <w:t xml:space="preserve">According to recent research by </w:t>
      </w:r>
      <w:r w:rsidRPr="007D75D2">
        <w:rPr>
          <w:szCs w:val="22"/>
        </w:rPr>
        <w:t>Gray</w:t>
      </w:r>
      <w:r>
        <w:t xml:space="preserve"> et al. (2018),</w:t>
      </w:r>
      <w:r>
        <w:rPr>
          <w:szCs w:val="22"/>
        </w:rPr>
        <w:t xml:space="preserve"> </w:t>
      </w:r>
      <w:r w:rsidRPr="00872A2A">
        <w:rPr>
          <w:szCs w:val="22"/>
        </w:rPr>
        <w:t xml:space="preserve">accruals and </w:t>
      </w:r>
      <w:r>
        <w:rPr>
          <w:szCs w:val="22"/>
        </w:rPr>
        <w:t xml:space="preserve">net operating Assets </w:t>
      </w:r>
      <w:r w:rsidRPr="00872A2A">
        <w:rPr>
          <w:szCs w:val="22"/>
        </w:rPr>
        <w:t xml:space="preserve">NOA </w:t>
      </w:r>
      <w:r>
        <w:rPr>
          <w:szCs w:val="22"/>
        </w:rPr>
        <w:t>express</w:t>
      </w:r>
      <w:r w:rsidRPr="00872A2A">
        <w:rPr>
          <w:szCs w:val="22"/>
        </w:rPr>
        <w:t xml:space="preserve"> </w:t>
      </w:r>
      <w:r w:rsidRPr="00282871">
        <w:rPr>
          <w:szCs w:val="22"/>
        </w:rPr>
        <w:t>unique information for future</w:t>
      </w:r>
      <w:r w:rsidRPr="00872A2A">
        <w:rPr>
          <w:szCs w:val="22"/>
        </w:rPr>
        <w:t xml:space="preserve"> returns</w:t>
      </w:r>
      <w:r>
        <w:rPr>
          <w:szCs w:val="22"/>
        </w:rPr>
        <w:t xml:space="preserve">. Their finding indicates that </w:t>
      </w:r>
      <w:r w:rsidRPr="00872A2A">
        <w:rPr>
          <w:szCs w:val="22"/>
        </w:rPr>
        <w:t xml:space="preserve">NOA have an important influence on the accrual effect. </w:t>
      </w:r>
      <w:r w:rsidR="00FE406C">
        <w:rPr>
          <w:szCs w:val="22"/>
        </w:rPr>
        <w:t xml:space="preserve">Also, they show </w:t>
      </w:r>
      <w:r>
        <w:rPr>
          <w:szCs w:val="22"/>
        </w:rPr>
        <w:t>a</w:t>
      </w:r>
      <w:r w:rsidRPr="00872A2A">
        <w:rPr>
          <w:szCs w:val="22"/>
        </w:rPr>
        <w:t xml:space="preserve"> significant accrual effect </w:t>
      </w:r>
      <w:r w:rsidR="00064390">
        <w:rPr>
          <w:szCs w:val="22"/>
        </w:rPr>
        <w:t>on the</w:t>
      </w:r>
      <w:r w:rsidRPr="00872A2A">
        <w:rPr>
          <w:szCs w:val="22"/>
        </w:rPr>
        <w:t xml:space="preserve"> stocks with high NOA. </w:t>
      </w:r>
    </w:p>
    <w:p w:rsidR="005A445C" w:rsidRPr="00905ACC" w:rsidRDefault="00FE1678" w:rsidP="007D75D2">
      <w:pPr>
        <w:tabs>
          <w:tab w:val="left" w:pos="420"/>
        </w:tabs>
        <w:ind w:firstLine="0"/>
        <w:contextualSpacing/>
        <w:rPr>
          <w:szCs w:val="22"/>
        </w:rPr>
      </w:pPr>
      <w:r w:rsidRPr="00905ACC">
        <w:rPr>
          <w:szCs w:val="22"/>
        </w:rPr>
        <w:t>Further</w:t>
      </w:r>
      <w:r w:rsidRPr="00905ACC">
        <w:rPr>
          <w:szCs w:val="22"/>
        </w:rPr>
        <w:t>，</w:t>
      </w:r>
      <w:r w:rsidR="00260523" w:rsidRPr="00905ACC">
        <w:rPr>
          <w:szCs w:val="22"/>
        </w:rPr>
        <w:t>total accruals</w:t>
      </w:r>
      <w:r w:rsidR="008C1DEA">
        <w:rPr>
          <w:szCs w:val="22"/>
        </w:rPr>
        <w:t xml:space="preserve"> are decomposed</w:t>
      </w:r>
      <w:r w:rsidR="00260523" w:rsidRPr="00905ACC">
        <w:rPr>
          <w:szCs w:val="22"/>
        </w:rPr>
        <w:t xml:space="preserve"> into two components </w:t>
      </w:r>
      <w:r w:rsidRPr="00905ACC">
        <w:rPr>
          <w:szCs w:val="22"/>
        </w:rPr>
        <w:t>on the basis of Richardson et al. (2006)</w:t>
      </w:r>
      <w:r w:rsidR="008C1DEA">
        <w:rPr>
          <w:szCs w:val="22"/>
        </w:rPr>
        <w:t>,</w:t>
      </w:r>
      <w:r w:rsidRPr="00905ACC">
        <w:rPr>
          <w:szCs w:val="22"/>
        </w:rPr>
        <w:t xml:space="preserve"> </w:t>
      </w:r>
      <w:r w:rsidR="00260523" w:rsidRPr="00905ACC">
        <w:rPr>
          <w:szCs w:val="22"/>
        </w:rPr>
        <w:t xml:space="preserve">which are accruals </w:t>
      </w:r>
      <w:r w:rsidR="00A125E7" w:rsidRPr="00905ACC">
        <w:rPr>
          <w:szCs w:val="22"/>
        </w:rPr>
        <w:t>due to</w:t>
      </w:r>
      <w:r w:rsidR="00260523" w:rsidRPr="00905ACC">
        <w:rPr>
          <w:szCs w:val="22"/>
        </w:rPr>
        <w:t xml:space="preserve"> investment growth, measured as the </w:t>
      </w:r>
      <w:r w:rsidR="00A125E7" w:rsidRPr="00905ACC">
        <w:rPr>
          <w:szCs w:val="22"/>
        </w:rPr>
        <w:t>proportion</w:t>
      </w:r>
      <w:r w:rsidR="00260523" w:rsidRPr="00905ACC">
        <w:rPr>
          <w:szCs w:val="22"/>
        </w:rPr>
        <w:t xml:space="preserve"> change in sales (SG)</w:t>
      </w:r>
      <w:r w:rsidR="00B75972">
        <w:rPr>
          <w:szCs w:val="22"/>
        </w:rPr>
        <w:t xml:space="preserve"> </w:t>
      </w:r>
      <w:r w:rsidR="0048431C" w:rsidRPr="00905ACC">
        <w:rPr>
          <w:szCs w:val="22"/>
        </w:rPr>
        <w:t>(DI#01001)</w:t>
      </w:r>
      <w:r w:rsidR="00260523" w:rsidRPr="00905ACC">
        <w:rPr>
          <w:szCs w:val="22"/>
        </w:rPr>
        <w:t xml:space="preserve"> and accruals </w:t>
      </w:r>
      <w:r w:rsidR="00A125E7" w:rsidRPr="00905ACC">
        <w:rPr>
          <w:szCs w:val="22"/>
        </w:rPr>
        <w:t>caused by</w:t>
      </w:r>
      <w:r w:rsidR="00260523" w:rsidRPr="00905ACC">
        <w:rPr>
          <w:szCs w:val="22"/>
        </w:rPr>
        <w:t xml:space="preserve"> accounting distortions</w:t>
      </w:r>
      <w:r w:rsidR="00B75972">
        <w:rPr>
          <w:szCs w:val="22"/>
        </w:rPr>
        <w:t xml:space="preserve"> </w:t>
      </w:r>
      <w:r w:rsidR="00544F09" w:rsidRPr="00905ACC">
        <w:rPr>
          <w:szCs w:val="22"/>
        </w:rPr>
        <w:t>(AD)</w:t>
      </w:r>
      <w:r w:rsidR="0088480E" w:rsidRPr="00905ACC">
        <w:rPr>
          <w:szCs w:val="22"/>
        </w:rPr>
        <w:t>, calculat</w:t>
      </w:r>
      <w:r w:rsidR="00260523" w:rsidRPr="00905ACC">
        <w:rPr>
          <w:szCs w:val="22"/>
        </w:rPr>
        <w:t>ed as change in NOA turnover ratio (AT,</w:t>
      </w:r>
      <w:r w:rsidR="00260523" w:rsidRPr="00905ACC">
        <w:rPr>
          <w:szCs w:val="22"/>
          <w:vertAlign w:val="subscript"/>
        </w:rPr>
        <w:t xml:space="preserve"> </w:t>
      </w:r>
      <w:r w:rsidR="00260523" w:rsidRPr="00905ACC">
        <w:rPr>
          <w:szCs w:val="22"/>
        </w:rPr>
        <w:t>i.e.</w:t>
      </w:r>
      <w:r w:rsidR="00B62E18">
        <w:rPr>
          <w:szCs w:val="22"/>
        </w:rPr>
        <w:t xml:space="preserve"> </w:t>
      </w:r>
      <w:r w:rsidR="0076027C" w:rsidRPr="00905ACC">
        <w:rPr>
          <w:szCs w:val="22"/>
        </w:rPr>
        <w:t>percentage</w:t>
      </w:r>
      <w:r w:rsidR="00260523" w:rsidRPr="00905ACC">
        <w:rPr>
          <w:szCs w:val="22"/>
        </w:rPr>
        <w:t xml:space="preserve"> of sales to NOA)</w:t>
      </w:r>
      <w:r w:rsidR="00B72D8E" w:rsidRPr="00905ACC">
        <w:rPr>
          <w:szCs w:val="22"/>
        </w:rPr>
        <w:t>: (Sales</w:t>
      </w:r>
      <w:r w:rsidR="00B72D8E" w:rsidRPr="00905ACC">
        <w:rPr>
          <w:szCs w:val="22"/>
          <w:vertAlign w:val="subscript"/>
        </w:rPr>
        <w:t xml:space="preserve"> t</w:t>
      </w:r>
      <w:r w:rsidR="00B72D8E" w:rsidRPr="00905ACC">
        <w:rPr>
          <w:szCs w:val="22"/>
        </w:rPr>
        <w:t>/NOA</w:t>
      </w:r>
      <w:r w:rsidR="00B72D8E" w:rsidRPr="00905ACC">
        <w:rPr>
          <w:szCs w:val="22"/>
          <w:vertAlign w:val="subscript"/>
        </w:rPr>
        <w:t xml:space="preserve"> t</w:t>
      </w:r>
      <w:r w:rsidR="00B72D8E" w:rsidRPr="00905ACC">
        <w:rPr>
          <w:szCs w:val="22"/>
        </w:rPr>
        <w:t>) − (Sales</w:t>
      </w:r>
      <w:r w:rsidR="00B72D8E" w:rsidRPr="00905ACC">
        <w:rPr>
          <w:szCs w:val="22"/>
          <w:vertAlign w:val="subscript"/>
        </w:rPr>
        <w:t xml:space="preserve"> t-1</w:t>
      </w:r>
      <w:r w:rsidR="00B72D8E" w:rsidRPr="00905ACC">
        <w:rPr>
          <w:szCs w:val="22"/>
        </w:rPr>
        <w:t>/NOA</w:t>
      </w:r>
      <w:r w:rsidR="00B72D8E" w:rsidRPr="00905ACC">
        <w:rPr>
          <w:szCs w:val="22"/>
          <w:vertAlign w:val="subscript"/>
        </w:rPr>
        <w:t xml:space="preserve"> t-1</w:t>
      </w:r>
      <w:r w:rsidR="00B72D8E" w:rsidRPr="00905ACC">
        <w:rPr>
          <w:szCs w:val="22"/>
        </w:rPr>
        <w:t>)/(Sales</w:t>
      </w:r>
      <w:r w:rsidR="00B72D8E" w:rsidRPr="00905ACC">
        <w:rPr>
          <w:szCs w:val="22"/>
          <w:vertAlign w:val="subscript"/>
        </w:rPr>
        <w:t xml:space="preserve"> t</w:t>
      </w:r>
      <w:r w:rsidR="00B72D8E" w:rsidRPr="00905ACC">
        <w:rPr>
          <w:szCs w:val="22"/>
        </w:rPr>
        <w:t>/NOA</w:t>
      </w:r>
      <w:r w:rsidR="00B72D8E" w:rsidRPr="00905ACC">
        <w:rPr>
          <w:szCs w:val="22"/>
          <w:vertAlign w:val="subscript"/>
        </w:rPr>
        <w:t xml:space="preserve"> t</w:t>
      </w:r>
      <w:r w:rsidR="00B72D8E" w:rsidRPr="00905ACC">
        <w:rPr>
          <w:szCs w:val="22"/>
        </w:rPr>
        <w:t>)</w:t>
      </w:r>
      <w:r w:rsidR="00260523" w:rsidRPr="00905ACC">
        <w:rPr>
          <w:szCs w:val="22"/>
        </w:rPr>
        <w:t>, and</w:t>
      </w:r>
      <w:r w:rsidR="00A33BAF" w:rsidRPr="00905ACC">
        <w:rPr>
          <w:szCs w:val="22"/>
          <w:vertAlign w:val="subscript"/>
        </w:rPr>
        <w:t xml:space="preserve"> </w:t>
      </w:r>
      <w:r w:rsidR="00765C4F" w:rsidRPr="00905ACC">
        <w:rPr>
          <w:szCs w:val="22"/>
        </w:rPr>
        <w:t>include</w:t>
      </w:r>
      <w:r w:rsidR="004D0C30" w:rsidRPr="00905ACC">
        <w:rPr>
          <w:szCs w:val="22"/>
        </w:rPr>
        <w:t>s</w:t>
      </w:r>
      <w:r w:rsidR="00765C4F" w:rsidRPr="00905ACC">
        <w:rPr>
          <w:szCs w:val="22"/>
        </w:rPr>
        <w:t xml:space="preserve"> an interaction term between investment growth and accounting distortions</w:t>
      </w:r>
      <w:r w:rsidR="00592B9F" w:rsidRPr="00905ACC">
        <w:rPr>
          <w:szCs w:val="22"/>
        </w:rPr>
        <w:t xml:space="preserve"> (INT)</w:t>
      </w:r>
      <w:r w:rsidR="00765C4F" w:rsidRPr="00905ACC">
        <w:rPr>
          <w:szCs w:val="22"/>
        </w:rPr>
        <w:t xml:space="preserve"> in their decomposition</w:t>
      </w:r>
      <w:r w:rsidR="00496602" w:rsidRPr="00905ACC">
        <w:rPr>
          <w:szCs w:val="22"/>
        </w:rPr>
        <w:t xml:space="preserve">, </w:t>
      </w:r>
      <w:r w:rsidR="00765C4F" w:rsidRPr="00905ACC">
        <w:rPr>
          <w:szCs w:val="22"/>
        </w:rPr>
        <w:t xml:space="preserve">which </w:t>
      </w:r>
      <w:r w:rsidR="00592B9F" w:rsidRPr="00905ACC">
        <w:rPr>
          <w:szCs w:val="22"/>
        </w:rPr>
        <w:t>is</w:t>
      </w:r>
      <w:r w:rsidR="00765C4F" w:rsidRPr="00905ACC">
        <w:rPr>
          <w:szCs w:val="22"/>
        </w:rPr>
        <w:t xml:space="preserve"> shown as follow</w:t>
      </w:r>
      <w:r w:rsidR="008C1DEA">
        <w:rPr>
          <w:szCs w:val="22"/>
        </w:rPr>
        <w:t>s</w:t>
      </w:r>
      <w:r w:rsidR="00765C4F" w:rsidRPr="00905ACC">
        <w:rPr>
          <w:szCs w:val="22"/>
        </w:rPr>
        <w:t>:</w:t>
      </w:r>
    </w:p>
    <w:p w:rsidR="00765C4F" w:rsidRPr="00905ACC" w:rsidRDefault="0063245E" w:rsidP="007D75D2">
      <w:pPr>
        <w:tabs>
          <w:tab w:val="left" w:pos="420"/>
        </w:tabs>
        <w:contextualSpacing/>
        <w:rPr>
          <w:szCs w:val="22"/>
        </w:rPr>
      </w:pPr>
      <w:r w:rsidRPr="00905ACC">
        <w:rPr>
          <w:szCs w:val="22"/>
        </w:rPr>
        <w:t xml:space="preserve">   </w:t>
      </w:r>
      <w:r w:rsidR="00765C4F" w:rsidRPr="00B37BEF">
        <w:rPr>
          <w:i/>
          <w:iCs/>
          <w:szCs w:val="22"/>
        </w:rPr>
        <w:t>ACC</w:t>
      </w:r>
      <w:r w:rsidR="00765C4F" w:rsidRPr="00B37BEF">
        <w:rPr>
          <w:i/>
          <w:iCs/>
          <w:szCs w:val="22"/>
          <w:vertAlign w:val="subscript"/>
        </w:rPr>
        <w:t>t</w:t>
      </w:r>
      <w:r w:rsidR="00765C4F" w:rsidRPr="00B37BEF">
        <w:rPr>
          <w:i/>
          <w:iCs/>
          <w:szCs w:val="22"/>
        </w:rPr>
        <w:t xml:space="preserve"> = </w:t>
      </w:r>
      <w:r w:rsidR="00765C4F" w:rsidRPr="00B37BEF">
        <w:rPr>
          <w:rFonts w:ascii="Cambria Math" w:hAnsi="Cambria Math" w:cs="Cambria Math"/>
          <w:i/>
          <w:iCs/>
          <w:szCs w:val="22"/>
        </w:rPr>
        <w:t>△</w:t>
      </w:r>
      <w:r w:rsidR="00765C4F" w:rsidRPr="00B37BEF">
        <w:rPr>
          <w:i/>
          <w:iCs/>
          <w:szCs w:val="22"/>
        </w:rPr>
        <w:t>Sales</w:t>
      </w:r>
      <w:r w:rsidR="00765C4F" w:rsidRPr="00B37BEF">
        <w:rPr>
          <w:i/>
          <w:iCs/>
          <w:szCs w:val="22"/>
          <w:vertAlign w:val="subscript"/>
        </w:rPr>
        <w:t>t</w:t>
      </w:r>
      <w:r w:rsidR="00765C4F" w:rsidRPr="00B37BEF">
        <w:rPr>
          <w:i/>
          <w:iCs/>
          <w:szCs w:val="22"/>
        </w:rPr>
        <w:t>/Sales</w:t>
      </w:r>
      <w:r w:rsidR="00765C4F" w:rsidRPr="00B37BEF">
        <w:rPr>
          <w:i/>
          <w:iCs/>
          <w:szCs w:val="22"/>
          <w:vertAlign w:val="subscript"/>
        </w:rPr>
        <w:t>t-1</w:t>
      </w:r>
      <w:r w:rsidR="00765C4F" w:rsidRPr="00B37BEF">
        <w:rPr>
          <w:i/>
          <w:iCs/>
          <w:szCs w:val="22"/>
        </w:rPr>
        <w:t xml:space="preserve"> - </w:t>
      </w:r>
      <w:r w:rsidR="00765C4F" w:rsidRPr="00B37BEF">
        <w:rPr>
          <w:rFonts w:ascii="Cambria Math" w:hAnsi="Cambria Math" w:cs="Cambria Math"/>
          <w:i/>
          <w:iCs/>
          <w:szCs w:val="22"/>
        </w:rPr>
        <w:t>△</w:t>
      </w:r>
      <w:r w:rsidR="00765C4F" w:rsidRPr="00B37BEF">
        <w:rPr>
          <w:i/>
          <w:iCs/>
          <w:szCs w:val="22"/>
        </w:rPr>
        <w:t>AT</w:t>
      </w:r>
      <w:r w:rsidR="00765C4F" w:rsidRPr="00B37BEF">
        <w:rPr>
          <w:i/>
          <w:iCs/>
          <w:szCs w:val="22"/>
          <w:vertAlign w:val="subscript"/>
        </w:rPr>
        <w:t>t</w:t>
      </w:r>
      <w:r w:rsidR="00765C4F" w:rsidRPr="00B37BEF">
        <w:rPr>
          <w:i/>
          <w:iCs/>
          <w:szCs w:val="22"/>
        </w:rPr>
        <w:t>/AT</w:t>
      </w:r>
      <w:r w:rsidR="00765C4F" w:rsidRPr="00B37BEF">
        <w:rPr>
          <w:i/>
          <w:iCs/>
          <w:szCs w:val="22"/>
          <w:vertAlign w:val="subscript"/>
        </w:rPr>
        <w:t>t</w:t>
      </w:r>
      <w:r w:rsidR="00765C4F" w:rsidRPr="00B37BEF">
        <w:rPr>
          <w:i/>
          <w:iCs/>
          <w:szCs w:val="22"/>
        </w:rPr>
        <w:t xml:space="preserve"> </w:t>
      </w:r>
      <w:r w:rsidRPr="00B37BEF">
        <w:rPr>
          <w:i/>
          <w:iCs/>
          <w:szCs w:val="22"/>
        </w:rPr>
        <w:t>–</w:t>
      </w:r>
      <w:r w:rsidR="00765C4F" w:rsidRPr="00B37BEF">
        <w:rPr>
          <w:i/>
          <w:iCs/>
          <w:szCs w:val="22"/>
        </w:rPr>
        <w:t xml:space="preserve"> </w:t>
      </w:r>
      <w:r w:rsidRPr="00B37BEF">
        <w:rPr>
          <w:i/>
          <w:iCs/>
          <w:szCs w:val="22"/>
        </w:rPr>
        <w:t>(</w:t>
      </w:r>
      <w:r w:rsidRPr="00B37BEF">
        <w:rPr>
          <w:rFonts w:ascii="Cambria Math" w:hAnsi="Cambria Math" w:cs="Cambria Math"/>
          <w:i/>
          <w:iCs/>
          <w:szCs w:val="22"/>
        </w:rPr>
        <w:t>△</w:t>
      </w:r>
      <w:r w:rsidR="00765C4F" w:rsidRPr="00B37BEF">
        <w:rPr>
          <w:i/>
          <w:iCs/>
          <w:szCs w:val="22"/>
        </w:rPr>
        <w:t>Sales</w:t>
      </w:r>
      <w:r w:rsidR="00765C4F" w:rsidRPr="00B37BEF">
        <w:rPr>
          <w:i/>
          <w:iCs/>
          <w:szCs w:val="22"/>
          <w:vertAlign w:val="subscript"/>
        </w:rPr>
        <w:t>t</w:t>
      </w:r>
      <w:r w:rsidR="00765C4F" w:rsidRPr="00B37BEF">
        <w:rPr>
          <w:i/>
          <w:iCs/>
          <w:szCs w:val="22"/>
        </w:rPr>
        <w:t>/Sales</w:t>
      </w:r>
      <w:r w:rsidR="00765C4F" w:rsidRPr="00B37BEF">
        <w:rPr>
          <w:i/>
          <w:iCs/>
          <w:szCs w:val="22"/>
          <w:vertAlign w:val="subscript"/>
        </w:rPr>
        <w:t>t-1</w:t>
      </w:r>
      <w:r w:rsidRPr="00B37BEF">
        <w:rPr>
          <w:i/>
          <w:iCs/>
          <w:szCs w:val="22"/>
        </w:rPr>
        <w:t>) * (</w:t>
      </w:r>
      <w:r w:rsidR="00765C4F" w:rsidRPr="00B37BEF">
        <w:rPr>
          <w:rFonts w:ascii="Cambria Math" w:hAnsi="Cambria Math" w:cs="Cambria Math"/>
          <w:i/>
          <w:iCs/>
          <w:szCs w:val="22"/>
        </w:rPr>
        <w:t>△</w:t>
      </w:r>
      <w:r w:rsidR="00765C4F" w:rsidRPr="00B37BEF">
        <w:rPr>
          <w:i/>
          <w:iCs/>
          <w:szCs w:val="22"/>
        </w:rPr>
        <w:t>AT</w:t>
      </w:r>
      <w:r w:rsidR="00765C4F" w:rsidRPr="00B37BEF">
        <w:rPr>
          <w:i/>
          <w:iCs/>
          <w:szCs w:val="22"/>
          <w:vertAlign w:val="subscript"/>
        </w:rPr>
        <w:t>t</w:t>
      </w:r>
      <w:r w:rsidR="00765C4F" w:rsidRPr="00B37BEF">
        <w:rPr>
          <w:i/>
          <w:iCs/>
          <w:szCs w:val="22"/>
        </w:rPr>
        <w:t>/AT</w:t>
      </w:r>
      <w:r w:rsidR="00765C4F" w:rsidRPr="00B37BEF">
        <w:rPr>
          <w:i/>
          <w:iCs/>
          <w:szCs w:val="22"/>
          <w:vertAlign w:val="subscript"/>
        </w:rPr>
        <w:t>t</w:t>
      </w:r>
      <w:r w:rsidR="006F57A9" w:rsidRPr="00B37BEF">
        <w:rPr>
          <w:i/>
          <w:iCs/>
          <w:szCs w:val="22"/>
          <w:vertAlign w:val="subscript"/>
        </w:rPr>
        <w:t xml:space="preserve"> </w:t>
      </w:r>
      <w:r w:rsidRPr="00B37BEF">
        <w:rPr>
          <w:i/>
          <w:iCs/>
          <w:szCs w:val="22"/>
        </w:rPr>
        <w:t>)</w:t>
      </w:r>
      <w:r w:rsidR="006F57A9" w:rsidRPr="00905ACC">
        <w:rPr>
          <w:szCs w:val="22"/>
          <w:vertAlign w:val="subscript"/>
        </w:rPr>
        <w:t xml:space="preserve">   </w:t>
      </w:r>
      <w:r w:rsidR="00B37BEF">
        <w:rPr>
          <w:szCs w:val="22"/>
          <w:vertAlign w:val="subscript"/>
        </w:rPr>
        <w:t xml:space="preserve">      </w:t>
      </w:r>
      <w:r w:rsidR="006F57A9" w:rsidRPr="00905ACC">
        <w:rPr>
          <w:szCs w:val="22"/>
          <w:vertAlign w:val="subscript"/>
        </w:rPr>
        <w:t xml:space="preserve"> </w:t>
      </w:r>
      <w:r w:rsidR="00B37BEF">
        <w:rPr>
          <w:szCs w:val="22"/>
          <w:vertAlign w:val="subscript"/>
        </w:rPr>
        <w:t xml:space="preserve">  </w:t>
      </w:r>
      <w:r w:rsidR="006F57A9" w:rsidRPr="00905ACC">
        <w:rPr>
          <w:szCs w:val="22"/>
        </w:rPr>
        <w:t>(</w:t>
      </w:r>
      <w:r w:rsidR="002901AC" w:rsidRPr="00905ACC">
        <w:rPr>
          <w:szCs w:val="22"/>
        </w:rPr>
        <w:t>7</w:t>
      </w:r>
      <w:r w:rsidR="00496602" w:rsidRPr="00905ACC">
        <w:rPr>
          <w:szCs w:val="22"/>
        </w:rPr>
        <w:t>)</w:t>
      </w:r>
    </w:p>
    <w:p w:rsidR="00496602" w:rsidRPr="00905ACC" w:rsidRDefault="004E6074" w:rsidP="00905ACC">
      <w:pPr>
        <w:tabs>
          <w:tab w:val="left" w:pos="420"/>
        </w:tabs>
        <w:rPr>
          <w:szCs w:val="22"/>
        </w:rPr>
      </w:pPr>
      <w:r w:rsidRPr="00905ACC">
        <w:rPr>
          <w:szCs w:val="22"/>
        </w:rPr>
        <w:t xml:space="preserve">       </w:t>
      </w:r>
      <w:r w:rsidR="00496602" w:rsidRPr="00905ACC">
        <w:rPr>
          <w:szCs w:val="22"/>
        </w:rPr>
        <w:t xml:space="preserve">  = </w:t>
      </w:r>
      <w:r w:rsidR="00496602" w:rsidRPr="00B37BEF">
        <w:rPr>
          <w:i/>
          <w:iCs/>
          <w:szCs w:val="22"/>
        </w:rPr>
        <w:t>SG- AC –IN</w:t>
      </w:r>
      <w:r w:rsidR="0063245E" w:rsidRPr="00B37BEF">
        <w:rPr>
          <w:i/>
          <w:iCs/>
          <w:szCs w:val="22"/>
        </w:rPr>
        <w:t>T</w:t>
      </w:r>
      <w:r w:rsidR="0063245E" w:rsidRPr="00905ACC">
        <w:rPr>
          <w:szCs w:val="22"/>
        </w:rPr>
        <w:t xml:space="preserve">        </w:t>
      </w:r>
      <w:r w:rsidR="002901AC" w:rsidRPr="00905ACC">
        <w:rPr>
          <w:szCs w:val="22"/>
        </w:rPr>
        <w:t xml:space="preserve">   </w:t>
      </w:r>
      <w:r w:rsidR="00B37BEF">
        <w:rPr>
          <w:szCs w:val="22"/>
        </w:rPr>
        <w:tab/>
      </w:r>
      <w:r w:rsidR="00B37BEF">
        <w:rPr>
          <w:szCs w:val="22"/>
        </w:rPr>
        <w:tab/>
      </w:r>
      <w:r w:rsidR="00B37BEF">
        <w:rPr>
          <w:szCs w:val="22"/>
        </w:rPr>
        <w:tab/>
      </w:r>
      <w:r w:rsidR="00B37BEF">
        <w:rPr>
          <w:szCs w:val="22"/>
        </w:rPr>
        <w:tab/>
      </w:r>
      <w:r w:rsidR="00B37BEF">
        <w:rPr>
          <w:szCs w:val="22"/>
        </w:rPr>
        <w:tab/>
      </w:r>
      <w:r w:rsidR="00B37BEF">
        <w:rPr>
          <w:szCs w:val="22"/>
        </w:rPr>
        <w:tab/>
      </w:r>
      <w:r w:rsidR="00B37BEF">
        <w:rPr>
          <w:szCs w:val="22"/>
        </w:rPr>
        <w:tab/>
      </w:r>
      <w:r w:rsidR="00B37BEF">
        <w:rPr>
          <w:szCs w:val="22"/>
        </w:rPr>
        <w:tab/>
      </w:r>
      <w:r w:rsidR="00B37BEF">
        <w:rPr>
          <w:szCs w:val="22"/>
        </w:rPr>
        <w:tab/>
      </w:r>
      <w:r w:rsidR="00E0105C">
        <w:rPr>
          <w:szCs w:val="22"/>
        </w:rPr>
        <w:t xml:space="preserve"> </w:t>
      </w:r>
      <w:r w:rsidR="002901AC" w:rsidRPr="00905ACC">
        <w:rPr>
          <w:szCs w:val="22"/>
        </w:rPr>
        <w:t>(8</w:t>
      </w:r>
      <w:r w:rsidR="00496602" w:rsidRPr="00905ACC">
        <w:rPr>
          <w:szCs w:val="22"/>
        </w:rPr>
        <w:t>)</w:t>
      </w:r>
    </w:p>
    <w:p w:rsidR="006F0FC5" w:rsidRPr="00905ACC" w:rsidRDefault="009D6A6C" w:rsidP="007D75D2">
      <w:pPr>
        <w:tabs>
          <w:tab w:val="left" w:pos="420"/>
        </w:tabs>
        <w:ind w:firstLine="0"/>
        <w:contextualSpacing/>
        <w:rPr>
          <w:szCs w:val="22"/>
        </w:rPr>
      </w:pPr>
      <w:r w:rsidRPr="00905ACC">
        <w:rPr>
          <w:szCs w:val="22"/>
        </w:rPr>
        <w:t>The decomposition comes with a conjecture that companies with increased investment</w:t>
      </w:r>
      <w:r w:rsidR="0031603B" w:rsidRPr="00905ACC">
        <w:rPr>
          <w:szCs w:val="22"/>
        </w:rPr>
        <w:t xml:space="preserve"> have</w:t>
      </w:r>
      <w:r w:rsidR="00E67F4C">
        <w:rPr>
          <w:szCs w:val="22"/>
        </w:rPr>
        <w:t xml:space="preserve"> a</w:t>
      </w:r>
      <w:r w:rsidR="0031603B" w:rsidRPr="00905ACC">
        <w:rPr>
          <w:szCs w:val="22"/>
        </w:rPr>
        <w:t xml:space="preserve"> higher probability of</w:t>
      </w:r>
      <w:r w:rsidRPr="00905ACC">
        <w:rPr>
          <w:szCs w:val="22"/>
        </w:rPr>
        <w:t xml:space="preserve"> </w:t>
      </w:r>
      <w:r w:rsidR="0031603B" w:rsidRPr="00905ACC">
        <w:rPr>
          <w:szCs w:val="22"/>
        </w:rPr>
        <w:t>experiencing</w:t>
      </w:r>
      <w:r w:rsidRPr="00905ACC">
        <w:rPr>
          <w:szCs w:val="22"/>
        </w:rPr>
        <w:t xml:space="preserve"> higher sales</w:t>
      </w:r>
      <w:r w:rsidR="00E67F4C">
        <w:rPr>
          <w:szCs w:val="22"/>
        </w:rPr>
        <w:t>;</w:t>
      </w:r>
      <w:r w:rsidRPr="00905ACC">
        <w:rPr>
          <w:szCs w:val="22"/>
        </w:rPr>
        <w:t xml:space="preserve"> ho</w:t>
      </w:r>
      <w:r w:rsidR="00257F74" w:rsidRPr="00905ACC">
        <w:rPr>
          <w:szCs w:val="22"/>
        </w:rPr>
        <w:t xml:space="preserve">wever, if accruals increase </w:t>
      </w:r>
      <w:r w:rsidRPr="00905ACC">
        <w:rPr>
          <w:szCs w:val="22"/>
        </w:rPr>
        <w:t xml:space="preserve">without </w:t>
      </w:r>
      <w:r w:rsidR="00E67F4C">
        <w:rPr>
          <w:szCs w:val="22"/>
        </w:rPr>
        <w:t xml:space="preserve">a </w:t>
      </w:r>
      <w:r w:rsidRPr="00905ACC">
        <w:rPr>
          <w:szCs w:val="22"/>
        </w:rPr>
        <w:t xml:space="preserve">change in sales, </w:t>
      </w:r>
      <w:r w:rsidR="003A4F5F" w:rsidRPr="00905ACC">
        <w:rPr>
          <w:szCs w:val="22"/>
        </w:rPr>
        <w:t xml:space="preserve">the result would suggest that </w:t>
      </w:r>
      <w:r w:rsidR="00303BC8" w:rsidRPr="00905ACC">
        <w:rPr>
          <w:szCs w:val="22"/>
        </w:rPr>
        <w:t xml:space="preserve">the accounting distortion component of accruals </w:t>
      </w:r>
      <w:r w:rsidR="0031603B" w:rsidRPr="00905ACC">
        <w:rPr>
          <w:szCs w:val="22"/>
        </w:rPr>
        <w:t>lead</w:t>
      </w:r>
      <w:r w:rsidR="00257F74" w:rsidRPr="00905ACC">
        <w:rPr>
          <w:szCs w:val="22"/>
        </w:rPr>
        <w:t>s</w:t>
      </w:r>
      <w:r w:rsidR="0031603B" w:rsidRPr="00905ACC">
        <w:rPr>
          <w:szCs w:val="22"/>
        </w:rPr>
        <w:t xml:space="preserve"> to</w:t>
      </w:r>
      <w:r w:rsidR="00303BC8" w:rsidRPr="00905ACC">
        <w:rPr>
          <w:szCs w:val="22"/>
        </w:rPr>
        <w:t xml:space="preserve"> </w:t>
      </w:r>
      <w:r w:rsidR="00E67F4C">
        <w:rPr>
          <w:szCs w:val="22"/>
        </w:rPr>
        <w:t xml:space="preserve">a </w:t>
      </w:r>
      <w:r w:rsidR="00303BC8" w:rsidRPr="00905ACC">
        <w:rPr>
          <w:szCs w:val="22"/>
        </w:rPr>
        <w:t xml:space="preserve">decrease in </w:t>
      </w:r>
      <w:r w:rsidR="00E67F4C" w:rsidRPr="00905ACC">
        <w:rPr>
          <w:szCs w:val="22"/>
        </w:rPr>
        <w:t xml:space="preserve">proportion </w:t>
      </w:r>
      <w:r w:rsidR="00E67F4C">
        <w:rPr>
          <w:szCs w:val="22"/>
        </w:rPr>
        <w:t xml:space="preserve">of </w:t>
      </w:r>
      <w:r w:rsidR="00303BC8" w:rsidRPr="00905ACC">
        <w:rPr>
          <w:szCs w:val="22"/>
        </w:rPr>
        <w:t xml:space="preserve">NOA turnover and </w:t>
      </w:r>
      <w:r w:rsidR="0031603B" w:rsidRPr="00905ACC">
        <w:rPr>
          <w:szCs w:val="22"/>
        </w:rPr>
        <w:t>consequently result</w:t>
      </w:r>
      <w:r w:rsidR="00257F74" w:rsidRPr="00905ACC">
        <w:rPr>
          <w:szCs w:val="22"/>
        </w:rPr>
        <w:t>s</w:t>
      </w:r>
      <w:r w:rsidR="0031603B" w:rsidRPr="00905ACC">
        <w:rPr>
          <w:szCs w:val="22"/>
        </w:rPr>
        <w:t xml:space="preserve"> in</w:t>
      </w:r>
      <w:r w:rsidR="00507E02" w:rsidRPr="00905ACC">
        <w:rPr>
          <w:szCs w:val="22"/>
        </w:rPr>
        <w:t xml:space="preserve"> </w:t>
      </w:r>
      <w:r w:rsidR="00E67F4C">
        <w:rPr>
          <w:szCs w:val="22"/>
        </w:rPr>
        <w:t xml:space="preserve">a rise in </w:t>
      </w:r>
      <w:r w:rsidR="00507E02" w:rsidRPr="00905ACC">
        <w:rPr>
          <w:szCs w:val="22"/>
        </w:rPr>
        <w:t>accrual</w:t>
      </w:r>
      <w:r w:rsidR="003D7465" w:rsidRPr="00905ACC">
        <w:rPr>
          <w:szCs w:val="22"/>
        </w:rPr>
        <w:t>s</w:t>
      </w:r>
      <w:r w:rsidR="00507E02" w:rsidRPr="00905ACC">
        <w:rPr>
          <w:szCs w:val="22"/>
        </w:rPr>
        <w:t>.</w:t>
      </w:r>
      <w:r w:rsidR="00B75972">
        <w:rPr>
          <w:szCs w:val="22"/>
        </w:rPr>
        <w:t xml:space="preserve"> </w:t>
      </w:r>
      <w:r w:rsidR="00E67F4C">
        <w:rPr>
          <w:szCs w:val="22"/>
        </w:rPr>
        <w:t>Also, it</w:t>
      </w:r>
      <w:r w:rsidR="00967AC1" w:rsidRPr="00905ACC">
        <w:rPr>
          <w:szCs w:val="22"/>
        </w:rPr>
        <w:t xml:space="preserve"> </w:t>
      </w:r>
      <w:r w:rsidR="005335D4" w:rsidRPr="00905ACC">
        <w:rPr>
          <w:szCs w:val="22"/>
        </w:rPr>
        <w:t>estimate</w:t>
      </w:r>
      <w:r w:rsidR="00BD75F9" w:rsidRPr="00905ACC">
        <w:rPr>
          <w:szCs w:val="22"/>
        </w:rPr>
        <w:t>s</w:t>
      </w:r>
      <w:r w:rsidR="002F0BB1" w:rsidRPr="00905ACC">
        <w:rPr>
          <w:szCs w:val="22"/>
        </w:rPr>
        <w:t xml:space="preserve"> cross-sectional regressions</w:t>
      </w:r>
      <w:r w:rsidR="00E67F4C" w:rsidRPr="00E67F4C">
        <w:rPr>
          <w:szCs w:val="22"/>
        </w:rPr>
        <w:t xml:space="preserve"> </w:t>
      </w:r>
      <w:r w:rsidR="00E67F4C" w:rsidRPr="00905ACC">
        <w:rPr>
          <w:szCs w:val="22"/>
        </w:rPr>
        <w:t>for the investigation of the relation between accruals and stock return</w:t>
      </w:r>
      <w:r w:rsidR="002F0BB1" w:rsidRPr="00905ACC">
        <w:rPr>
          <w:szCs w:val="22"/>
        </w:rPr>
        <w:t xml:space="preserve"> for the following models:</w:t>
      </w:r>
    </w:p>
    <w:p w:rsidR="002F0BB1" w:rsidRPr="00644F02" w:rsidRDefault="002F0BB1" w:rsidP="007D75D2">
      <w:pPr>
        <w:tabs>
          <w:tab w:val="left" w:pos="420"/>
        </w:tabs>
        <w:contextualSpacing/>
        <w:rPr>
          <w:bCs/>
          <w:szCs w:val="22"/>
          <w:vertAlign w:val="subscript"/>
        </w:rPr>
      </w:pPr>
      <w:r w:rsidRPr="00783AED">
        <w:rPr>
          <w:i/>
          <w:iCs/>
          <w:szCs w:val="22"/>
        </w:rPr>
        <w:lastRenderedPageBreak/>
        <w:t>SB</w:t>
      </w:r>
      <w:r w:rsidR="00644F02">
        <w:rPr>
          <w:i/>
          <w:iCs/>
          <w:szCs w:val="22"/>
        </w:rPr>
        <w:t>R</w:t>
      </w:r>
      <w:r w:rsidRPr="00783AED">
        <w:rPr>
          <w:i/>
          <w:iCs/>
          <w:szCs w:val="22"/>
          <w:vertAlign w:val="subscript"/>
        </w:rPr>
        <w:t>t+1</w:t>
      </w:r>
      <w:r w:rsidRPr="00783AED">
        <w:rPr>
          <w:i/>
          <w:iCs/>
          <w:szCs w:val="22"/>
        </w:rPr>
        <w:t xml:space="preserve"> = </w:t>
      </w:r>
      <w:r w:rsidR="000E2A30" w:rsidRPr="000E2A30">
        <w:rPr>
          <w:i/>
          <w:iCs/>
          <w:color w:val="222222"/>
          <w:szCs w:val="22"/>
          <w:shd w:val="clear" w:color="auto" w:fill="FFFFF8"/>
        </w:rPr>
        <w:t>β</w:t>
      </w:r>
      <w:r w:rsidRPr="00783AED">
        <w:rPr>
          <w:i/>
          <w:iCs/>
          <w:szCs w:val="22"/>
          <w:vertAlign w:val="subscript"/>
        </w:rPr>
        <w:t>0</w:t>
      </w:r>
      <w:r w:rsidRPr="00783AED">
        <w:rPr>
          <w:i/>
          <w:iCs/>
          <w:szCs w:val="22"/>
        </w:rPr>
        <w:t xml:space="preserve"> </w:t>
      </w:r>
      <w:r w:rsidR="00D61527" w:rsidRPr="00783AED">
        <w:rPr>
          <w:i/>
          <w:iCs/>
          <w:szCs w:val="22"/>
        </w:rPr>
        <w:t>+</w:t>
      </w:r>
      <w:r w:rsidR="00783AED" w:rsidRPr="00783AED">
        <w:rPr>
          <w:i/>
          <w:iCs/>
          <w:color w:val="222222"/>
          <w:szCs w:val="22"/>
          <w:shd w:val="clear" w:color="auto" w:fill="FFFFF8"/>
        </w:rPr>
        <w:t xml:space="preserve"> </w:t>
      </w:r>
      <w:r w:rsidR="000E2A30" w:rsidRPr="000E2A30">
        <w:rPr>
          <w:i/>
          <w:iCs/>
          <w:color w:val="222222"/>
          <w:szCs w:val="22"/>
          <w:shd w:val="clear" w:color="auto" w:fill="FFFFF8"/>
        </w:rPr>
        <w:t>β</w:t>
      </w:r>
      <w:r w:rsidR="0072067B" w:rsidRPr="00783AED">
        <w:rPr>
          <w:i/>
          <w:iCs/>
          <w:szCs w:val="22"/>
          <w:vertAlign w:val="subscript"/>
        </w:rPr>
        <w:t>1</w:t>
      </w:r>
      <w:r w:rsidRPr="00783AED">
        <w:rPr>
          <w:i/>
          <w:iCs/>
          <w:szCs w:val="22"/>
        </w:rPr>
        <w:t>RNOA</w:t>
      </w:r>
      <w:r w:rsidRPr="00783AED">
        <w:rPr>
          <w:i/>
          <w:iCs/>
          <w:szCs w:val="22"/>
          <w:vertAlign w:val="subscript"/>
        </w:rPr>
        <w:t>t</w:t>
      </w:r>
      <w:r w:rsidRPr="00783AED">
        <w:rPr>
          <w:i/>
          <w:iCs/>
          <w:szCs w:val="22"/>
        </w:rPr>
        <w:t>+</w:t>
      </w:r>
      <w:r w:rsidR="00783AED" w:rsidRPr="00783AED">
        <w:rPr>
          <w:i/>
          <w:iCs/>
          <w:color w:val="222222"/>
          <w:szCs w:val="22"/>
          <w:shd w:val="clear" w:color="auto" w:fill="FFFFF8"/>
        </w:rPr>
        <w:t xml:space="preserve"> </w:t>
      </w:r>
      <w:r w:rsidR="000E2A30" w:rsidRPr="000E2A30">
        <w:rPr>
          <w:i/>
          <w:iCs/>
          <w:color w:val="222222"/>
          <w:szCs w:val="22"/>
          <w:shd w:val="clear" w:color="auto" w:fill="FFFFF8"/>
        </w:rPr>
        <w:t>β</w:t>
      </w:r>
      <w:r w:rsidR="0072067B" w:rsidRPr="00783AED">
        <w:rPr>
          <w:i/>
          <w:iCs/>
          <w:szCs w:val="22"/>
          <w:vertAlign w:val="subscript"/>
        </w:rPr>
        <w:t>2</w:t>
      </w:r>
      <w:r w:rsidRPr="00783AED">
        <w:rPr>
          <w:i/>
          <w:iCs/>
          <w:szCs w:val="22"/>
        </w:rPr>
        <w:t>SG</w:t>
      </w:r>
      <w:r w:rsidRPr="00783AED">
        <w:rPr>
          <w:i/>
          <w:iCs/>
          <w:szCs w:val="22"/>
          <w:vertAlign w:val="subscript"/>
        </w:rPr>
        <w:t>t</w:t>
      </w:r>
      <w:r w:rsidRPr="00783AED">
        <w:rPr>
          <w:i/>
          <w:iCs/>
          <w:szCs w:val="22"/>
        </w:rPr>
        <w:t xml:space="preserve"> + </w:t>
      </w:r>
      <w:r w:rsidR="00783AED" w:rsidRPr="00783AED">
        <w:rPr>
          <w:i/>
          <w:iCs/>
          <w:color w:val="222222"/>
          <w:szCs w:val="22"/>
          <w:shd w:val="clear" w:color="auto" w:fill="FFFFF8"/>
        </w:rPr>
        <w:t>ε</w:t>
      </w:r>
      <w:r w:rsidR="00783AED" w:rsidRPr="00783AED">
        <w:rPr>
          <w:i/>
          <w:iCs/>
          <w:szCs w:val="22"/>
          <w:vertAlign w:val="subscript"/>
        </w:rPr>
        <w:t xml:space="preserve"> </w:t>
      </w:r>
      <w:r w:rsidRPr="00783AED">
        <w:rPr>
          <w:i/>
          <w:iCs/>
          <w:szCs w:val="22"/>
          <w:vertAlign w:val="subscript"/>
        </w:rPr>
        <w:t>t+1</w:t>
      </w:r>
      <w:r w:rsidRPr="00905ACC">
        <w:rPr>
          <w:szCs w:val="22"/>
        </w:rPr>
        <w:t xml:space="preserve"> </w:t>
      </w:r>
      <w:r w:rsidR="00420477">
        <w:rPr>
          <w:szCs w:val="22"/>
        </w:rPr>
        <w:tab/>
      </w:r>
      <w:r w:rsidR="00420477">
        <w:rPr>
          <w:szCs w:val="22"/>
        </w:rPr>
        <w:tab/>
      </w:r>
      <w:r w:rsidR="00420477">
        <w:rPr>
          <w:szCs w:val="22"/>
        </w:rPr>
        <w:tab/>
      </w:r>
      <w:r w:rsidR="00420477">
        <w:rPr>
          <w:szCs w:val="22"/>
        </w:rPr>
        <w:tab/>
      </w:r>
      <w:r w:rsidR="00420477">
        <w:rPr>
          <w:szCs w:val="22"/>
        </w:rPr>
        <w:tab/>
      </w:r>
      <w:r w:rsidR="00420477">
        <w:rPr>
          <w:szCs w:val="22"/>
        </w:rPr>
        <w:tab/>
      </w:r>
      <w:r w:rsidR="000E2A30">
        <w:rPr>
          <w:szCs w:val="22"/>
        </w:rPr>
        <w:tab/>
      </w:r>
      <w:r w:rsidR="000E2A30">
        <w:rPr>
          <w:szCs w:val="22"/>
        </w:rPr>
        <w:tab/>
        <w:t xml:space="preserve">   </w:t>
      </w:r>
      <w:r w:rsidR="003770C9" w:rsidRPr="00644F02">
        <w:rPr>
          <w:bCs/>
          <w:szCs w:val="22"/>
        </w:rPr>
        <w:t>(</w:t>
      </w:r>
      <w:r w:rsidR="00644F02">
        <w:rPr>
          <w:bCs/>
          <w:szCs w:val="22"/>
        </w:rPr>
        <w:t>9a</w:t>
      </w:r>
      <w:r w:rsidR="003770C9" w:rsidRPr="00644F02">
        <w:rPr>
          <w:bCs/>
          <w:szCs w:val="22"/>
        </w:rPr>
        <w:t>)</w:t>
      </w:r>
    </w:p>
    <w:p w:rsidR="002F0BB1" w:rsidRPr="00644F02" w:rsidRDefault="002F0BB1" w:rsidP="007D75D2">
      <w:pPr>
        <w:tabs>
          <w:tab w:val="left" w:pos="420"/>
        </w:tabs>
        <w:contextualSpacing/>
        <w:rPr>
          <w:bCs/>
          <w:szCs w:val="22"/>
        </w:rPr>
      </w:pPr>
      <w:r w:rsidRPr="00644F02">
        <w:rPr>
          <w:bCs/>
          <w:i/>
          <w:iCs/>
          <w:szCs w:val="22"/>
        </w:rPr>
        <w:t>S</w:t>
      </w:r>
      <w:r w:rsidR="00644F02" w:rsidRPr="00644F02">
        <w:rPr>
          <w:bCs/>
          <w:i/>
          <w:iCs/>
          <w:szCs w:val="22"/>
        </w:rPr>
        <w:t>BR</w:t>
      </w:r>
      <w:r w:rsidRPr="00644F02">
        <w:rPr>
          <w:bCs/>
          <w:i/>
          <w:iCs/>
          <w:szCs w:val="22"/>
          <w:vertAlign w:val="subscript"/>
        </w:rPr>
        <w:t>t+1</w:t>
      </w:r>
      <w:r w:rsidRPr="00644F02">
        <w:rPr>
          <w:bCs/>
          <w:i/>
          <w:iCs/>
          <w:szCs w:val="22"/>
        </w:rPr>
        <w:t xml:space="preserve"> =</w:t>
      </w:r>
      <w:r w:rsidR="004A3ED6" w:rsidRPr="00644F02">
        <w:rPr>
          <w:bCs/>
          <w:i/>
          <w:iCs/>
          <w:color w:val="222222"/>
          <w:sz w:val="34"/>
          <w:szCs w:val="34"/>
          <w:shd w:val="clear" w:color="auto" w:fill="FFFFF8"/>
        </w:rPr>
        <w:t xml:space="preserve"> </w:t>
      </w:r>
      <w:r w:rsidR="000E2A30" w:rsidRPr="000E2A30">
        <w:rPr>
          <w:i/>
          <w:iCs/>
          <w:color w:val="222222"/>
          <w:szCs w:val="22"/>
          <w:shd w:val="clear" w:color="auto" w:fill="FFFFF8"/>
        </w:rPr>
        <w:t>β</w:t>
      </w:r>
      <w:r w:rsidRPr="00644F02">
        <w:rPr>
          <w:bCs/>
          <w:i/>
          <w:iCs/>
          <w:szCs w:val="22"/>
          <w:vertAlign w:val="subscript"/>
        </w:rPr>
        <w:t>0</w:t>
      </w:r>
      <w:r w:rsidRPr="00644F02">
        <w:rPr>
          <w:bCs/>
          <w:i/>
          <w:iCs/>
          <w:szCs w:val="22"/>
        </w:rPr>
        <w:t xml:space="preserve"> </w:t>
      </w:r>
      <w:r w:rsidR="00D61527" w:rsidRPr="00644F02">
        <w:rPr>
          <w:bCs/>
          <w:i/>
          <w:iCs/>
          <w:szCs w:val="22"/>
        </w:rPr>
        <w:t>+</w:t>
      </w:r>
      <w:r w:rsidR="00783AED" w:rsidRPr="00644F02">
        <w:rPr>
          <w:bCs/>
          <w:i/>
          <w:iCs/>
          <w:color w:val="222222"/>
          <w:szCs w:val="22"/>
          <w:shd w:val="clear" w:color="auto" w:fill="FFFFF8"/>
        </w:rPr>
        <w:t xml:space="preserve"> </w:t>
      </w:r>
      <w:r w:rsidR="000E2A30" w:rsidRPr="000E2A30">
        <w:rPr>
          <w:i/>
          <w:iCs/>
          <w:color w:val="222222"/>
          <w:szCs w:val="22"/>
          <w:shd w:val="clear" w:color="auto" w:fill="FFFFF8"/>
        </w:rPr>
        <w:t>β</w:t>
      </w:r>
      <w:r w:rsidR="0072067B" w:rsidRPr="00644F02">
        <w:rPr>
          <w:bCs/>
          <w:i/>
          <w:iCs/>
          <w:szCs w:val="22"/>
          <w:vertAlign w:val="subscript"/>
        </w:rPr>
        <w:t>1</w:t>
      </w:r>
      <w:r w:rsidRPr="00644F02">
        <w:rPr>
          <w:bCs/>
          <w:i/>
          <w:iCs/>
          <w:szCs w:val="22"/>
        </w:rPr>
        <w:t>RNOA</w:t>
      </w:r>
      <w:r w:rsidRPr="00644F02">
        <w:rPr>
          <w:bCs/>
          <w:i/>
          <w:iCs/>
          <w:szCs w:val="22"/>
          <w:vertAlign w:val="subscript"/>
        </w:rPr>
        <w:t>t</w:t>
      </w:r>
      <w:r w:rsidRPr="00644F02">
        <w:rPr>
          <w:bCs/>
          <w:i/>
          <w:iCs/>
          <w:szCs w:val="22"/>
        </w:rPr>
        <w:t xml:space="preserve"> −</w:t>
      </w:r>
      <w:r w:rsidR="00783AED" w:rsidRPr="00644F02">
        <w:rPr>
          <w:bCs/>
          <w:i/>
          <w:iCs/>
          <w:color w:val="222222"/>
          <w:szCs w:val="22"/>
          <w:shd w:val="clear" w:color="auto" w:fill="FFFFF8"/>
        </w:rPr>
        <w:t xml:space="preserve"> </w:t>
      </w:r>
      <w:r w:rsidR="000E2A30" w:rsidRPr="000E2A30">
        <w:rPr>
          <w:i/>
          <w:iCs/>
          <w:color w:val="222222"/>
          <w:szCs w:val="22"/>
          <w:shd w:val="clear" w:color="auto" w:fill="FFFFF8"/>
        </w:rPr>
        <w:t>β</w:t>
      </w:r>
      <w:r w:rsidR="0072067B" w:rsidRPr="00644F02">
        <w:rPr>
          <w:bCs/>
          <w:i/>
          <w:iCs/>
          <w:szCs w:val="22"/>
          <w:vertAlign w:val="subscript"/>
        </w:rPr>
        <w:t>2</w:t>
      </w:r>
      <w:r w:rsidRPr="00644F02">
        <w:rPr>
          <w:bCs/>
          <w:i/>
          <w:iCs/>
          <w:szCs w:val="22"/>
        </w:rPr>
        <w:t>AD</w:t>
      </w:r>
      <w:r w:rsidRPr="00644F02">
        <w:rPr>
          <w:bCs/>
          <w:i/>
          <w:iCs/>
          <w:szCs w:val="22"/>
          <w:vertAlign w:val="subscript"/>
        </w:rPr>
        <w:t>t</w:t>
      </w:r>
      <w:r w:rsidRPr="00644F02">
        <w:rPr>
          <w:bCs/>
          <w:i/>
          <w:iCs/>
          <w:szCs w:val="22"/>
        </w:rPr>
        <w:t xml:space="preserve"> +</w:t>
      </w:r>
      <w:r w:rsidR="00783AED" w:rsidRPr="00644F02">
        <w:rPr>
          <w:bCs/>
          <w:i/>
          <w:iCs/>
          <w:color w:val="222222"/>
          <w:szCs w:val="22"/>
          <w:shd w:val="clear" w:color="auto" w:fill="FFFFF8"/>
        </w:rPr>
        <w:t xml:space="preserve"> ε</w:t>
      </w:r>
      <w:r w:rsidR="00783AED" w:rsidRPr="00644F02">
        <w:rPr>
          <w:bCs/>
          <w:i/>
          <w:iCs/>
          <w:szCs w:val="22"/>
          <w:vertAlign w:val="subscript"/>
        </w:rPr>
        <w:t xml:space="preserve"> </w:t>
      </w:r>
      <w:r w:rsidRPr="00644F02">
        <w:rPr>
          <w:bCs/>
          <w:i/>
          <w:iCs/>
          <w:szCs w:val="22"/>
          <w:vertAlign w:val="subscript"/>
        </w:rPr>
        <w:t>t+1</w:t>
      </w:r>
      <w:r w:rsidR="00EA54F5" w:rsidRPr="00644F02">
        <w:rPr>
          <w:bCs/>
          <w:szCs w:val="22"/>
        </w:rPr>
        <w:t xml:space="preserve"> </w:t>
      </w:r>
      <w:r w:rsidR="003770C9" w:rsidRPr="00644F02">
        <w:rPr>
          <w:bCs/>
          <w:szCs w:val="22"/>
        </w:rPr>
        <w:t xml:space="preserve"> </w:t>
      </w:r>
      <w:r w:rsidR="00420477" w:rsidRPr="00644F02">
        <w:rPr>
          <w:bCs/>
          <w:szCs w:val="22"/>
        </w:rPr>
        <w:tab/>
      </w:r>
      <w:r w:rsidR="00420477" w:rsidRPr="00644F02">
        <w:rPr>
          <w:bCs/>
          <w:szCs w:val="22"/>
        </w:rPr>
        <w:tab/>
      </w:r>
      <w:r w:rsidR="00420477" w:rsidRPr="00644F02">
        <w:rPr>
          <w:bCs/>
          <w:szCs w:val="22"/>
        </w:rPr>
        <w:tab/>
      </w:r>
      <w:r w:rsidR="00420477" w:rsidRPr="00644F02">
        <w:rPr>
          <w:bCs/>
          <w:szCs w:val="22"/>
        </w:rPr>
        <w:tab/>
      </w:r>
      <w:r w:rsidR="00420477" w:rsidRPr="00644F02">
        <w:rPr>
          <w:bCs/>
          <w:szCs w:val="22"/>
        </w:rPr>
        <w:tab/>
      </w:r>
      <w:r w:rsidR="00420477" w:rsidRPr="00644F02">
        <w:rPr>
          <w:bCs/>
          <w:szCs w:val="22"/>
        </w:rPr>
        <w:tab/>
      </w:r>
      <w:r w:rsidR="000E2A30">
        <w:rPr>
          <w:bCs/>
          <w:szCs w:val="22"/>
        </w:rPr>
        <w:t xml:space="preserve">           </w:t>
      </w:r>
      <w:r w:rsidR="003770C9" w:rsidRPr="00644F02">
        <w:rPr>
          <w:bCs/>
          <w:szCs w:val="22"/>
        </w:rPr>
        <w:t>(</w:t>
      </w:r>
      <w:r w:rsidR="00644F02">
        <w:rPr>
          <w:bCs/>
          <w:szCs w:val="22"/>
        </w:rPr>
        <w:t>9b</w:t>
      </w:r>
      <w:r w:rsidR="003770C9" w:rsidRPr="00644F02">
        <w:rPr>
          <w:bCs/>
          <w:szCs w:val="22"/>
        </w:rPr>
        <w:t>)</w:t>
      </w:r>
    </w:p>
    <w:p w:rsidR="002F0BB1" w:rsidRPr="00644F02" w:rsidRDefault="002F0BB1" w:rsidP="007D75D2">
      <w:pPr>
        <w:tabs>
          <w:tab w:val="left" w:pos="420"/>
        </w:tabs>
        <w:contextualSpacing/>
        <w:rPr>
          <w:bCs/>
          <w:szCs w:val="22"/>
        </w:rPr>
      </w:pPr>
      <w:r w:rsidRPr="00644F02">
        <w:rPr>
          <w:bCs/>
          <w:i/>
          <w:iCs/>
          <w:szCs w:val="22"/>
        </w:rPr>
        <w:t>SB</w:t>
      </w:r>
      <w:r w:rsidR="00644F02" w:rsidRPr="00644F02">
        <w:rPr>
          <w:bCs/>
          <w:i/>
          <w:iCs/>
          <w:szCs w:val="22"/>
        </w:rPr>
        <w:t>R</w:t>
      </w:r>
      <w:r w:rsidRPr="00644F02">
        <w:rPr>
          <w:bCs/>
          <w:i/>
          <w:iCs/>
          <w:szCs w:val="22"/>
          <w:vertAlign w:val="subscript"/>
        </w:rPr>
        <w:t>t+1</w:t>
      </w:r>
      <w:r w:rsidRPr="00644F02">
        <w:rPr>
          <w:bCs/>
          <w:i/>
          <w:iCs/>
          <w:szCs w:val="22"/>
        </w:rPr>
        <w:t xml:space="preserve"> =</w:t>
      </w:r>
      <w:r w:rsidR="00783AED" w:rsidRPr="00644F02">
        <w:rPr>
          <w:bCs/>
          <w:i/>
          <w:iCs/>
          <w:color w:val="222222"/>
          <w:szCs w:val="22"/>
          <w:shd w:val="clear" w:color="auto" w:fill="FFFFF8"/>
        </w:rPr>
        <w:t xml:space="preserve"> </w:t>
      </w:r>
      <w:r w:rsidR="000E2A30" w:rsidRPr="000E2A30">
        <w:rPr>
          <w:i/>
          <w:iCs/>
          <w:color w:val="222222"/>
          <w:szCs w:val="22"/>
          <w:shd w:val="clear" w:color="auto" w:fill="FFFFF8"/>
        </w:rPr>
        <w:t>β</w:t>
      </w:r>
      <w:r w:rsidRPr="00644F02">
        <w:rPr>
          <w:bCs/>
          <w:i/>
          <w:iCs/>
          <w:szCs w:val="22"/>
          <w:vertAlign w:val="subscript"/>
        </w:rPr>
        <w:t>0</w:t>
      </w:r>
      <w:r w:rsidRPr="00644F02">
        <w:rPr>
          <w:bCs/>
          <w:i/>
          <w:iCs/>
          <w:szCs w:val="22"/>
        </w:rPr>
        <w:t xml:space="preserve"> +</w:t>
      </w:r>
      <w:r w:rsidR="00783AED" w:rsidRPr="00644F02">
        <w:rPr>
          <w:bCs/>
          <w:i/>
          <w:iCs/>
          <w:color w:val="222222"/>
          <w:szCs w:val="22"/>
          <w:shd w:val="clear" w:color="auto" w:fill="FFFFF8"/>
        </w:rPr>
        <w:t xml:space="preserve"> </w:t>
      </w:r>
      <w:r w:rsidR="000E2A30" w:rsidRPr="000E2A30">
        <w:rPr>
          <w:i/>
          <w:iCs/>
          <w:color w:val="222222"/>
          <w:szCs w:val="22"/>
          <w:shd w:val="clear" w:color="auto" w:fill="FFFFF8"/>
        </w:rPr>
        <w:t>β</w:t>
      </w:r>
      <w:r w:rsidR="00783AED" w:rsidRPr="00644F02">
        <w:rPr>
          <w:bCs/>
          <w:i/>
          <w:iCs/>
          <w:szCs w:val="22"/>
          <w:vertAlign w:val="subscript"/>
        </w:rPr>
        <w:t xml:space="preserve"> </w:t>
      </w:r>
      <w:r w:rsidR="0072067B" w:rsidRPr="00644F02">
        <w:rPr>
          <w:bCs/>
          <w:i/>
          <w:iCs/>
          <w:szCs w:val="22"/>
          <w:vertAlign w:val="subscript"/>
        </w:rPr>
        <w:t>1</w:t>
      </w:r>
      <w:r w:rsidRPr="00644F02">
        <w:rPr>
          <w:bCs/>
          <w:i/>
          <w:iCs/>
          <w:szCs w:val="22"/>
        </w:rPr>
        <w:t>RNOA</w:t>
      </w:r>
      <w:r w:rsidRPr="00644F02">
        <w:rPr>
          <w:bCs/>
          <w:i/>
          <w:iCs/>
          <w:szCs w:val="22"/>
          <w:vertAlign w:val="subscript"/>
        </w:rPr>
        <w:t>t</w:t>
      </w:r>
      <w:r w:rsidRPr="00644F02">
        <w:rPr>
          <w:bCs/>
          <w:i/>
          <w:iCs/>
          <w:szCs w:val="22"/>
        </w:rPr>
        <w:t xml:space="preserve"> +</w:t>
      </w:r>
      <w:r w:rsidR="00783AED" w:rsidRPr="00644F02">
        <w:rPr>
          <w:bCs/>
          <w:i/>
          <w:iCs/>
          <w:color w:val="222222"/>
          <w:szCs w:val="22"/>
          <w:shd w:val="clear" w:color="auto" w:fill="FFFFF8"/>
        </w:rPr>
        <w:t xml:space="preserve"> </w:t>
      </w:r>
      <w:r w:rsidR="000E2A30" w:rsidRPr="000E2A30">
        <w:rPr>
          <w:i/>
          <w:iCs/>
          <w:color w:val="222222"/>
          <w:szCs w:val="22"/>
          <w:shd w:val="clear" w:color="auto" w:fill="FFFFF8"/>
        </w:rPr>
        <w:t>β</w:t>
      </w:r>
      <w:r w:rsidR="0072067B" w:rsidRPr="00644F02">
        <w:rPr>
          <w:bCs/>
          <w:i/>
          <w:iCs/>
          <w:szCs w:val="22"/>
          <w:vertAlign w:val="subscript"/>
        </w:rPr>
        <w:t>2</w:t>
      </w:r>
      <w:r w:rsidRPr="00644F02">
        <w:rPr>
          <w:bCs/>
          <w:i/>
          <w:iCs/>
          <w:szCs w:val="22"/>
        </w:rPr>
        <w:t>ACC</w:t>
      </w:r>
      <w:r w:rsidRPr="00644F02">
        <w:rPr>
          <w:bCs/>
          <w:i/>
          <w:iCs/>
          <w:szCs w:val="22"/>
          <w:vertAlign w:val="subscript"/>
        </w:rPr>
        <w:t>t</w:t>
      </w:r>
      <w:r w:rsidRPr="00644F02">
        <w:rPr>
          <w:bCs/>
          <w:i/>
          <w:iCs/>
          <w:szCs w:val="22"/>
        </w:rPr>
        <w:t>+</w:t>
      </w:r>
      <w:r w:rsidR="00783AED" w:rsidRPr="00644F02">
        <w:rPr>
          <w:bCs/>
          <w:i/>
          <w:iCs/>
          <w:color w:val="222222"/>
          <w:szCs w:val="22"/>
          <w:shd w:val="clear" w:color="auto" w:fill="FFFFF8"/>
        </w:rPr>
        <w:t xml:space="preserve"> ε</w:t>
      </w:r>
      <w:r w:rsidR="00783AED" w:rsidRPr="00644F02">
        <w:rPr>
          <w:bCs/>
          <w:i/>
          <w:iCs/>
          <w:szCs w:val="22"/>
          <w:vertAlign w:val="subscript"/>
        </w:rPr>
        <w:t xml:space="preserve"> </w:t>
      </w:r>
      <w:r w:rsidRPr="00644F02">
        <w:rPr>
          <w:bCs/>
          <w:i/>
          <w:iCs/>
          <w:szCs w:val="22"/>
          <w:vertAlign w:val="subscript"/>
        </w:rPr>
        <w:t>t+1</w:t>
      </w:r>
      <w:r w:rsidR="003770C9" w:rsidRPr="00644F02">
        <w:rPr>
          <w:bCs/>
          <w:szCs w:val="22"/>
        </w:rPr>
        <w:t xml:space="preserve">  </w:t>
      </w:r>
      <w:r w:rsidR="00420477" w:rsidRPr="00644F02">
        <w:rPr>
          <w:bCs/>
          <w:szCs w:val="22"/>
        </w:rPr>
        <w:tab/>
      </w:r>
      <w:r w:rsidR="00420477" w:rsidRPr="00644F02">
        <w:rPr>
          <w:bCs/>
          <w:szCs w:val="22"/>
        </w:rPr>
        <w:tab/>
      </w:r>
      <w:r w:rsidR="00420477" w:rsidRPr="00644F02">
        <w:rPr>
          <w:bCs/>
          <w:szCs w:val="22"/>
        </w:rPr>
        <w:tab/>
      </w:r>
      <w:r w:rsidR="00420477" w:rsidRPr="00644F02">
        <w:rPr>
          <w:bCs/>
          <w:szCs w:val="22"/>
        </w:rPr>
        <w:tab/>
      </w:r>
      <w:r w:rsidR="00420477" w:rsidRPr="00644F02">
        <w:rPr>
          <w:bCs/>
          <w:szCs w:val="22"/>
        </w:rPr>
        <w:tab/>
      </w:r>
      <w:r w:rsidR="000E2A30">
        <w:rPr>
          <w:bCs/>
          <w:szCs w:val="22"/>
        </w:rPr>
        <w:t xml:space="preserve">           </w:t>
      </w:r>
      <w:r w:rsidR="001171AC">
        <w:rPr>
          <w:bCs/>
          <w:szCs w:val="22"/>
        </w:rPr>
        <w:t xml:space="preserve">    </w:t>
      </w:r>
      <w:r w:rsidR="003770C9" w:rsidRPr="00644F02">
        <w:rPr>
          <w:bCs/>
          <w:szCs w:val="22"/>
        </w:rPr>
        <w:t>(</w:t>
      </w:r>
      <w:r w:rsidR="00644F02">
        <w:rPr>
          <w:bCs/>
          <w:szCs w:val="22"/>
        </w:rPr>
        <w:t>9c</w:t>
      </w:r>
      <w:r w:rsidR="003770C9" w:rsidRPr="00644F02">
        <w:rPr>
          <w:bCs/>
          <w:szCs w:val="22"/>
        </w:rPr>
        <w:t>)</w:t>
      </w:r>
    </w:p>
    <w:p w:rsidR="00496602" w:rsidRPr="00905ACC" w:rsidRDefault="00E165B0" w:rsidP="007D75D2">
      <w:pPr>
        <w:tabs>
          <w:tab w:val="left" w:pos="420"/>
        </w:tabs>
        <w:contextualSpacing/>
        <w:rPr>
          <w:szCs w:val="22"/>
        </w:rPr>
      </w:pPr>
      <w:r w:rsidRPr="00905ACC">
        <w:rPr>
          <w:szCs w:val="22"/>
        </w:rPr>
        <w:t>Where</w:t>
      </w:r>
      <w:r w:rsidR="0030421D" w:rsidRPr="00905ACC">
        <w:rPr>
          <w:szCs w:val="22"/>
        </w:rPr>
        <w:t xml:space="preserve"> </w:t>
      </w:r>
    </w:p>
    <w:p w:rsidR="000742E7" w:rsidRPr="00905ACC" w:rsidRDefault="00644F02" w:rsidP="007D75D2">
      <w:pPr>
        <w:tabs>
          <w:tab w:val="left" w:pos="420"/>
        </w:tabs>
        <w:ind w:firstLine="0"/>
        <w:contextualSpacing/>
        <w:rPr>
          <w:szCs w:val="22"/>
        </w:rPr>
      </w:pPr>
      <w:r>
        <w:rPr>
          <w:i/>
          <w:iCs/>
          <w:szCs w:val="22"/>
        </w:rPr>
        <w:t>SB</w:t>
      </w:r>
      <w:r w:rsidR="003922B5" w:rsidRPr="002C59BF">
        <w:rPr>
          <w:i/>
          <w:iCs/>
          <w:szCs w:val="22"/>
        </w:rPr>
        <w:t>R</w:t>
      </w:r>
      <w:r w:rsidR="003922B5" w:rsidRPr="002C59BF">
        <w:rPr>
          <w:i/>
          <w:iCs/>
          <w:szCs w:val="22"/>
          <w:vertAlign w:val="subscript"/>
        </w:rPr>
        <w:t>t+1</w:t>
      </w:r>
      <w:r w:rsidR="0072067B" w:rsidRPr="00905ACC">
        <w:rPr>
          <w:szCs w:val="22"/>
        </w:rPr>
        <w:t xml:space="preserve"> is the one-year-</w:t>
      </w:r>
      <w:r w:rsidR="008070A6" w:rsidRPr="00905ACC">
        <w:rPr>
          <w:szCs w:val="22"/>
        </w:rPr>
        <w:t>ahead size and</w:t>
      </w:r>
      <w:r w:rsidR="003922B5" w:rsidRPr="00905ACC">
        <w:rPr>
          <w:szCs w:val="22"/>
        </w:rPr>
        <w:t xml:space="preserve"> book to market adjusted return</w:t>
      </w:r>
      <w:r w:rsidR="008070A6" w:rsidRPr="00905ACC">
        <w:rPr>
          <w:szCs w:val="22"/>
        </w:rPr>
        <w:t>;</w:t>
      </w:r>
    </w:p>
    <w:p w:rsidR="00CB617E" w:rsidRPr="00905ACC" w:rsidRDefault="00CB617E" w:rsidP="007D75D2">
      <w:pPr>
        <w:tabs>
          <w:tab w:val="left" w:pos="420"/>
        </w:tabs>
        <w:ind w:firstLine="0"/>
        <w:contextualSpacing/>
        <w:rPr>
          <w:szCs w:val="22"/>
        </w:rPr>
      </w:pPr>
      <w:r w:rsidRPr="002C59BF">
        <w:rPr>
          <w:i/>
          <w:iCs/>
          <w:szCs w:val="22"/>
        </w:rPr>
        <w:t>RNOA</w:t>
      </w:r>
      <w:r w:rsidRPr="002C59BF">
        <w:rPr>
          <w:i/>
          <w:iCs/>
          <w:szCs w:val="22"/>
          <w:vertAlign w:val="subscript"/>
        </w:rPr>
        <w:t>t</w:t>
      </w:r>
      <w:r w:rsidRPr="00905ACC">
        <w:rPr>
          <w:szCs w:val="22"/>
          <w:vertAlign w:val="subscript"/>
        </w:rPr>
        <w:t xml:space="preserve"> </w:t>
      </w:r>
      <w:r w:rsidRPr="00905ACC">
        <w:rPr>
          <w:szCs w:val="22"/>
        </w:rPr>
        <w:t xml:space="preserve">is current operating profitability, measured as operating income </w:t>
      </w:r>
      <w:r w:rsidR="00482716" w:rsidRPr="00905ACC">
        <w:rPr>
          <w:szCs w:val="22"/>
        </w:rPr>
        <w:t>divided by</w:t>
      </w:r>
      <w:r w:rsidRPr="00905ACC">
        <w:rPr>
          <w:szCs w:val="22"/>
        </w:rPr>
        <w:t xml:space="preserve"> lagged </w:t>
      </w:r>
      <w:r w:rsidRPr="002C59BF">
        <w:rPr>
          <w:i/>
          <w:iCs/>
          <w:szCs w:val="22"/>
        </w:rPr>
        <w:t>NOA</w:t>
      </w:r>
      <w:r w:rsidR="00E327CA" w:rsidRPr="00905ACC">
        <w:rPr>
          <w:szCs w:val="22"/>
        </w:rPr>
        <w:t xml:space="preserve"> (DI #01251)</w:t>
      </w:r>
      <w:r w:rsidR="008070A6" w:rsidRPr="00905ACC">
        <w:rPr>
          <w:szCs w:val="22"/>
        </w:rPr>
        <w:t>,i.e.</w:t>
      </w:r>
      <w:r w:rsidR="00881620" w:rsidRPr="00905ACC">
        <w:rPr>
          <w:szCs w:val="22"/>
        </w:rPr>
        <w:t>,</w:t>
      </w:r>
      <w:r w:rsidR="008070A6" w:rsidRPr="002C59BF">
        <w:rPr>
          <w:i/>
          <w:iCs/>
          <w:szCs w:val="22"/>
        </w:rPr>
        <w:t>OI</w:t>
      </w:r>
      <w:r w:rsidR="008070A6" w:rsidRPr="002C59BF">
        <w:rPr>
          <w:i/>
          <w:iCs/>
          <w:szCs w:val="22"/>
          <w:vertAlign w:val="subscript"/>
        </w:rPr>
        <w:t>t</w:t>
      </w:r>
      <w:r w:rsidR="008070A6" w:rsidRPr="002C59BF">
        <w:rPr>
          <w:i/>
          <w:iCs/>
          <w:szCs w:val="22"/>
        </w:rPr>
        <w:t>/NOA</w:t>
      </w:r>
      <w:r w:rsidR="008070A6" w:rsidRPr="002C59BF">
        <w:rPr>
          <w:i/>
          <w:iCs/>
          <w:szCs w:val="22"/>
          <w:vertAlign w:val="subscript"/>
        </w:rPr>
        <w:t>t−1</w:t>
      </w:r>
      <w:r w:rsidR="008070A6" w:rsidRPr="002C59BF">
        <w:rPr>
          <w:i/>
          <w:iCs/>
          <w:szCs w:val="22"/>
        </w:rPr>
        <w:t>.</w:t>
      </w:r>
    </w:p>
    <w:p w:rsidR="00F41DD1" w:rsidRPr="00905ACC" w:rsidRDefault="00E67F4C" w:rsidP="007D75D2">
      <w:pPr>
        <w:tabs>
          <w:tab w:val="left" w:pos="420"/>
        </w:tabs>
        <w:ind w:firstLineChars="200" w:firstLine="440"/>
        <w:contextualSpacing/>
        <w:rPr>
          <w:szCs w:val="22"/>
        </w:rPr>
      </w:pPr>
      <w:r>
        <w:rPr>
          <w:szCs w:val="22"/>
        </w:rPr>
        <w:t>This</w:t>
      </w:r>
      <w:r w:rsidRPr="00905ACC">
        <w:rPr>
          <w:szCs w:val="22"/>
        </w:rPr>
        <w:t xml:space="preserve"> </w:t>
      </w:r>
      <w:r w:rsidR="00235E66" w:rsidRPr="00905ACC">
        <w:rPr>
          <w:szCs w:val="22"/>
        </w:rPr>
        <w:t>study investigate</w:t>
      </w:r>
      <w:r>
        <w:rPr>
          <w:szCs w:val="22"/>
        </w:rPr>
        <w:t>s</w:t>
      </w:r>
      <w:r w:rsidR="00235E66" w:rsidRPr="00905ACC">
        <w:rPr>
          <w:szCs w:val="22"/>
        </w:rPr>
        <w:t xml:space="preserve"> the relationship between accruals and share return and </w:t>
      </w:r>
      <w:r w:rsidR="006736C0">
        <w:rPr>
          <w:szCs w:val="22"/>
        </w:rPr>
        <w:t xml:space="preserve">aims to </w:t>
      </w:r>
      <w:r>
        <w:rPr>
          <w:szCs w:val="22"/>
        </w:rPr>
        <w:t>improve</w:t>
      </w:r>
      <w:r w:rsidRPr="00905ACC">
        <w:rPr>
          <w:szCs w:val="22"/>
        </w:rPr>
        <w:t xml:space="preserve"> </w:t>
      </w:r>
      <w:r w:rsidR="00235E66" w:rsidRPr="00905ACC">
        <w:rPr>
          <w:szCs w:val="22"/>
        </w:rPr>
        <w:t xml:space="preserve">the quality of the information that accounting earnings provide to shareholders to predict future returns, under the hypothesis of earning manipulation. From </w:t>
      </w:r>
      <w:r>
        <w:rPr>
          <w:szCs w:val="22"/>
        </w:rPr>
        <w:t>this discussion</w:t>
      </w:r>
      <w:r w:rsidR="00235E66" w:rsidRPr="00905ACC">
        <w:rPr>
          <w:szCs w:val="22"/>
        </w:rPr>
        <w:t xml:space="preserve">, </w:t>
      </w:r>
      <w:r w:rsidR="00CE7E84" w:rsidRPr="00905ACC">
        <w:rPr>
          <w:szCs w:val="22"/>
        </w:rPr>
        <w:t>Papanastasopoulos</w:t>
      </w:r>
      <w:r w:rsidR="00416C85" w:rsidRPr="00905ACC">
        <w:rPr>
          <w:szCs w:val="22"/>
        </w:rPr>
        <w:t>’s (2015)</w:t>
      </w:r>
      <w:r w:rsidR="00235E66" w:rsidRPr="00905ACC">
        <w:rPr>
          <w:szCs w:val="22"/>
        </w:rPr>
        <w:t xml:space="preserve"> </w:t>
      </w:r>
      <w:r w:rsidR="00416C85" w:rsidRPr="00905ACC">
        <w:rPr>
          <w:szCs w:val="22"/>
        </w:rPr>
        <w:t xml:space="preserve">method </w:t>
      </w:r>
      <w:r w:rsidR="00235E66" w:rsidRPr="00905ACC">
        <w:rPr>
          <w:szCs w:val="22"/>
        </w:rPr>
        <w:t>appears</w:t>
      </w:r>
      <w:r>
        <w:rPr>
          <w:szCs w:val="22"/>
        </w:rPr>
        <w:t xml:space="preserve"> to be the</w:t>
      </w:r>
      <w:r w:rsidR="00235E66" w:rsidRPr="00905ACC">
        <w:rPr>
          <w:szCs w:val="22"/>
        </w:rPr>
        <w:t xml:space="preserve"> most appropriate for investigating the issue as </w:t>
      </w:r>
      <w:r w:rsidR="00416C85" w:rsidRPr="00905ACC">
        <w:rPr>
          <w:szCs w:val="22"/>
        </w:rPr>
        <w:t xml:space="preserve">the </w:t>
      </w:r>
      <w:r w:rsidR="00235E66" w:rsidRPr="00905ACC">
        <w:rPr>
          <w:szCs w:val="22"/>
        </w:rPr>
        <w:t xml:space="preserve">cross-sectional regressions he employed directly relate stock return </w:t>
      </w:r>
      <w:r>
        <w:rPr>
          <w:szCs w:val="22"/>
        </w:rPr>
        <w:t>with</w:t>
      </w:r>
      <w:r w:rsidRPr="00905ACC">
        <w:rPr>
          <w:szCs w:val="22"/>
        </w:rPr>
        <w:t xml:space="preserve"> </w:t>
      </w:r>
      <w:r w:rsidR="00416C85" w:rsidRPr="00905ACC">
        <w:rPr>
          <w:szCs w:val="22"/>
        </w:rPr>
        <w:t xml:space="preserve">accruals and the relation between accruals and stock returns </w:t>
      </w:r>
      <w:r w:rsidR="00235E66" w:rsidRPr="00905ACC">
        <w:rPr>
          <w:szCs w:val="22"/>
        </w:rPr>
        <w:t xml:space="preserve">can be seen from the coefficients. Therefore, </w:t>
      </w:r>
      <w:r>
        <w:rPr>
          <w:szCs w:val="22"/>
        </w:rPr>
        <w:t>this</w:t>
      </w:r>
      <w:r w:rsidRPr="00905ACC">
        <w:rPr>
          <w:szCs w:val="22"/>
        </w:rPr>
        <w:t xml:space="preserve"> </w:t>
      </w:r>
      <w:r w:rsidR="00235E66" w:rsidRPr="00905ACC">
        <w:rPr>
          <w:szCs w:val="22"/>
        </w:rPr>
        <w:t xml:space="preserve">study will further examine </w:t>
      </w:r>
      <w:r w:rsidR="00E02C4E" w:rsidRPr="00905ACC">
        <w:rPr>
          <w:szCs w:val="22"/>
        </w:rPr>
        <w:t xml:space="preserve">the </w:t>
      </w:r>
      <w:r w:rsidR="00525B9A" w:rsidRPr="00905ACC">
        <w:rPr>
          <w:szCs w:val="22"/>
        </w:rPr>
        <w:t>cross-sectional regressions between stock return and both accrual and other variables on the basis of</w:t>
      </w:r>
      <w:r w:rsidR="00235E66" w:rsidRPr="00905ACC">
        <w:rPr>
          <w:szCs w:val="22"/>
        </w:rPr>
        <w:t xml:space="preserve"> </w:t>
      </w:r>
      <w:r w:rsidR="00CE7E84" w:rsidRPr="00905ACC">
        <w:rPr>
          <w:szCs w:val="22"/>
        </w:rPr>
        <w:t>Papanastasopoulos</w:t>
      </w:r>
      <w:r w:rsidR="00525B9A" w:rsidRPr="00905ACC">
        <w:rPr>
          <w:szCs w:val="22"/>
        </w:rPr>
        <w:t>’s</w:t>
      </w:r>
      <w:r w:rsidR="00235E66" w:rsidRPr="00905ACC">
        <w:rPr>
          <w:szCs w:val="22"/>
        </w:rPr>
        <w:t xml:space="preserve"> (2015) </w:t>
      </w:r>
      <w:r w:rsidR="00525B9A" w:rsidRPr="00905ACC">
        <w:rPr>
          <w:szCs w:val="22"/>
        </w:rPr>
        <w:t>model</w:t>
      </w:r>
      <w:r w:rsidR="00235E66" w:rsidRPr="00905ACC">
        <w:rPr>
          <w:szCs w:val="22"/>
        </w:rPr>
        <w:t>.</w:t>
      </w:r>
      <w:r w:rsidR="000850DC" w:rsidRPr="00905ACC">
        <w:rPr>
          <w:szCs w:val="22"/>
        </w:rPr>
        <w:t xml:space="preserve"> However, </w:t>
      </w:r>
      <w:r>
        <w:rPr>
          <w:szCs w:val="22"/>
        </w:rPr>
        <w:t>this</w:t>
      </w:r>
      <w:r w:rsidRPr="00905ACC">
        <w:rPr>
          <w:szCs w:val="22"/>
        </w:rPr>
        <w:t xml:space="preserve"> </w:t>
      </w:r>
      <w:r w:rsidR="000850DC" w:rsidRPr="00905ACC">
        <w:rPr>
          <w:szCs w:val="22"/>
        </w:rPr>
        <w:t xml:space="preserve">study includes the lagged </w:t>
      </w:r>
      <w:r w:rsidR="002928B5" w:rsidRPr="00905ACC">
        <w:rPr>
          <w:szCs w:val="22"/>
        </w:rPr>
        <w:t>return</w:t>
      </w:r>
      <w:r w:rsidR="00525B9A" w:rsidRPr="00905ACC">
        <w:rPr>
          <w:szCs w:val="22"/>
        </w:rPr>
        <w:t xml:space="preserve"> in the model </w:t>
      </w:r>
      <w:r w:rsidR="002928B5" w:rsidRPr="00905ACC">
        <w:rPr>
          <w:szCs w:val="22"/>
        </w:rPr>
        <w:t>and measures returns as one-year-ahead annual raw return</w:t>
      </w:r>
      <w:r>
        <w:rPr>
          <w:szCs w:val="22"/>
        </w:rPr>
        <w:t>. The following models are examined</w:t>
      </w:r>
      <w:r w:rsidR="00525B9A" w:rsidRPr="00905ACC">
        <w:rPr>
          <w:szCs w:val="22"/>
        </w:rPr>
        <w:t>:</w:t>
      </w:r>
    </w:p>
    <w:p w:rsidR="0072067B" w:rsidRPr="00DE2130" w:rsidRDefault="00EF68DE" w:rsidP="007D75D2">
      <w:pPr>
        <w:tabs>
          <w:tab w:val="left" w:pos="420"/>
        </w:tabs>
        <w:contextualSpacing/>
        <w:rPr>
          <w:bCs/>
          <w:szCs w:val="22"/>
          <w:vertAlign w:val="subscript"/>
        </w:rPr>
      </w:pPr>
      <w:r w:rsidRPr="00EF68DE">
        <w:rPr>
          <w:i/>
          <w:iCs/>
          <w:szCs w:val="22"/>
        </w:rPr>
        <w:t>R</w:t>
      </w:r>
      <w:r w:rsidR="0072067B" w:rsidRPr="00EF68DE">
        <w:rPr>
          <w:i/>
          <w:iCs/>
          <w:szCs w:val="22"/>
        </w:rPr>
        <w:t>T</w:t>
      </w:r>
      <w:r w:rsidR="0072067B" w:rsidRPr="00EF68DE">
        <w:rPr>
          <w:i/>
          <w:iCs/>
          <w:szCs w:val="22"/>
          <w:vertAlign w:val="subscript"/>
        </w:rPr>
        <w:t>t+1</w:t>
      </w:r>
      <w:r w:rsidR="0072067B" w:rsidRPr="00EF68DE">
        <w:rPr>
          <w:i/>
          <w:iCs/>
          <w:szCs w:val="22"/>
        </w:rPr>
        <w:t xml:space="preserve"> = </w:t>
      </w:r>
      <w:r w:rsidRPr="00EF68DE">
        <w:rPr>
          <w:i/>
          <w:iCs/>
          <w:color w:val="222222"/>
          <w:szCs w:val="22"/>
          <w:shd w:val="clear" w:color="auto" w:fill="FFFFF8"/>
        </w:rPr>
        <w:t>β</w:t>
      </w:r>
      <w:r w:rsidRPr="00EF68DE">
        <w:rPr>
          <w:i/>
          <w:iCs/>
          <w:szCs w:val="22"/>
          <w:vertAlign w:val="subscript"/>
        </w:rPr>
        <w:t xml:space="preserve"> </w:t>
      </w:r>
      <w:r w:rsidR="0072067B" w:rsidRPr="00EF68DE">
        <w:rPr>
          <w:i/>
          <w:iCs/>
          <w:szCs w:val="22"/>
          <w:vertAlign w:val="subscript"/>
        </w:rPr>
        <w:t>0</w:t>
      </w:r>
      <w:r w:rsidR="0072067B" w:rsidRPr="00EF68DE">
        <w:rPr>
          <w:i/>
          <w:iCs/>
          <w:szCs w:val="22"/>
        </w:rPr>
        <w:t xml:space="preserve"> +</w:t>
      </w:r>
      <w:r w:rsidRPr="00EF68DE">
        <w:rPr>
          <w:i/>
          <w:iCs/>
          <w:color w:val="222222"/>
          <w:szCs w:val="22"/>
          <w:shd w:val="clear" w:color="auto" w:fill="FFFFF8"/>
        </w:rPr>
        <w:t xml:space="preserve"> β</w:t>
      </w:r>
      <w:r w:rsidRPr="00EF68DE">
        <w:rPr>
          <w:i/>
          <w:iCs/>
          <w:szCs w:val="22"/>
          <w:vertAlign w:val="subscript"/>
        </w:rPr>
        <w:t xml:space="preserve"> </w:t>
      </w:r>
      <w:r w:rsidR="0072067B" w:rsidRPr="00EF68DE">
        <w:rPr>
          <w:i/>
          <w:iCs/>
          <w:szCs w:val="22"/>
          <w:vertAlign w:val="subscript"/>
        </w:rPr>
        <w:t>1</w:t>
      </w:r>
      <w:r w:rsidR="00525B9A" w:rsidRPr="00EF68DE">
        <w:rPr>
          <w:i/>
          <w:iCs/>
          <w:szCs w:val="22"/>
          <w:vertAlign w:val="subscript"/>
        </w:rPr>
        <w:t xml:space="preserve"> </w:t>
      </w:r>
      <w:r w:rsidR="0072067B" w:rsidRPr="00EF68DE">
        <w:rPr>
          <w:i/>
          <w:iCs/>
          <w:szCs w:val="22"/>
          <w:vertAlign w:val="subscript"/>
        </w:rPr>
        <w:t>2</w:t>
      </w:r>
      <w:r w:rsidR="0072067B" w:rsidRPr="00EF68DE">
        <w:rPr>
          <w:i/>
          <w:iCs/>
          <w:szCs w:val="22"/>
        </w:rPr>
        <w:t>RNOA</w:t>
      </w:r>
      <w:r w:rsidR="0072067B" w:rsidRPr="00EF68DE">
        <w:rPr>
          <w:i/>
          <w:iCs/>
          <w:szCs w:val="22"/>
          <w:vertAlign w:val="subscript"/>
        </w:rPr>
        <w:t>t</w:t>
      </w:r>
      <w:r w:rsidR="0072067B" w:rsidRPr="00EF68DE">
        <w:rPr>
          <w:i/>
          <w:iCs/>
          <w:szCs w:val="22"/>
        </w:rPr>
        <w:t xml:space="preserve">+ </w:t>
      </w:r>
      <w:r w:rsidRPr="00EF68DE">
        <w:rPr>
          <w:i/>
          <w:iCs/>
          <w:color w:val="222222"/>
          <w:szCs w:val="22"/>
          <w:shd w:val="clear" w:color="auto" w:fill="FFFFF8"/>
        </w:rPr>
        <w:t>ε</w:t>
      </w:r>
      <w:r w:rsidRPr="00EF68DE">
        <w:rPr>
          <w:i/>
          <w:iCs/>
          <w:szCs w:val="22"/>
          <w:vertAlign w:val="subscript"/>
        </w:rPr>
        <w:t xml:space="preserve"> t+1</w:t>
      </w:r>
      <w:r>
        <w:rPr>
          <w:i/>
          <w:iCs/>
          <w:szCs w:val="22"/>
          <w:vertAlign w:val="subscript"/>
        </w:rPr>
        <w:t xml:space="preserve">                                                        </w:t>
      </w:r>
      <w:r w:rsidRPr="00905ACC">
        <w:rPr>
          <w:szCs w:val="22"/>
        </w:rPr>
        <w:t xml:space="preserve"> </w:t>
      </w:r>
      <w:r w:rsidR="00DE2130">
        <w:rPr>
          <w:szCs w:val="22"/>
        </w:rPr>
        <w:t xml:space="preserve">  </w:t>
      </w:r>
      <w:r w:rsidR="00E0105C">
        <w:rPr>
          <w:szCs w:val="22"/>
        </w:rPr>
        <w:t xml:space="preserve"> </w:t>
      </w:r>
      <w:r w:rsidR="00DE2130">
        <w:rPr>
          <w:szCs w:val="22"/>
        </w:rPr>
        <w:t xml:space="preserve"> </w:t>
      </w:r>
      <w:r w:rsidR="0072067B" w:rsidRPr="00DE2130">
        <w:rPr>
          <w:bCs/>
          <w:szCs w:val="22"/>
        </w:rPr>
        <w:t>(</w:t>
      </w:r>
      <w:r w:rsidR="00DE2130">
        <w:rPr>
          <w:bCs/>
          <w:szCs w:val="22"/>
        </w:rPr>
        <w:t>10.a</w:t>
      </w:r>
      <w:r w:rsidR="0072067B" w:rsidRPr="00DE2130">
        <w:rPr>
          <w:bCs/>
          <w:szCs w:val="22"/>
        </w:rPr>
        <w:t>)</w:t>
      </w:r>
    </w:p>
    <w:p w:rsidR="0072067B" w:rsidRPr="00DE2130" w:rsidRDefault="00EF68DE" w:rsidP="007D75D2">
      <w:pPr>
        <w:tabs>
          <w:tab w:val="left" w:pos="420"/>
        </w:tabs>
        <w:contextualSpacing/>
        <w:rPr>
          <w:bCs/>
          <w:szCs w:val="22"/>
        </w:rPr>
      </w:pPr>
      <w:r w:rsidRPr="00DE2130">
        <w:rPr>
          <w:bCs/>
          <w:i/>
          <w:iCs/>
          <w:szCs w:val="22"/>
        </w:rPr>
        <w:t>R</w:t>
      </w:r>
      <w:r w:rsidR="0072067B" w:rsidRPr="00DE2130">
        <w:rPr>
          <w:bCs/>
          <w:i/>
          <w:iCs/>
          <w:szCs w:val="22"/>
        </w:rPr>
        <w:t>T</w:t>
      </w:r>
      <w:r w:rsidR="0072067B" w:rsidRPr="00DE2130">
        <w:rPr>
          <w:bCs/>
          <w:i/>
          <w:iCs/>
          <w:szCs w:val="22"/>
          <w:vertAlign w:val="subscript"/>
        </w:rPr>
        <w:t>t+1</w:t>
      </w:r>
      <w:r w:rsidR="0072067B" w:rsidRPr="00DE2130">
        <w:rPr>
          <w:bCs/>
          <w:i/>
          <w:iCs/>
          <w:szCs w:val="22"/>
        </w:rPr>
        <w:t xml:space="preserve"> =</w:t>
      </w:r>
      <w:r w:rsidRPr="00DE2130">
        <w:rPr>
          <w:bCs/>
          <w:i/>
          <w:iCs/>
          <w:color w:val="222222"/>
          <w:szCs w:val="22"/>
          <w:shd w:val="clear" w:color="auto" w:fill="FFFFF8"/>
        </w:rPr>
        <w:t xml:space="preserve"> β</w:t>
      </w:r>
      <w:r w:rsidRPr="00DE2130">
        <w:rPr>
          <w:bCs/>
          <w:i/>
          <w:iCs/>
          <w:szCs w:val="22"/>
          <w:vertAlign w:val="subscript"/>
        </w:rPr>
        <w:t xml:space="preserve"> </w:t>
      </w:r>
      <w:r w:rsidR="0072067B" w:rsidRPr="00DE2130">
        <w:rPr>
          <w:bCs/>
          <w:i/>
          <w:iCs/>
          <w:szCs w:val="22"/>
          <w:vertAlign w:val="subscript"/>
        </w:rPr>
        <w:t>0</w:t>
      </w:r>
      <w:r w:rsidR="0072067B" w:rsidRPr="00DE2130">
        <w:rPr>
          <w:bCs/>
          <w:i/>
          <w:iCs/>
          <w:szCs w:val="22"/>
        </w:rPr>
        <w:t xml:space="preserve"> +</w:t>
      </w:r>
      <w:r w:rsidRPr="00DE2130">
        <w:rPr>
          <w:bCs/>
          <w:i/>
          <w:iCs/>
          <w:color w:val="222222"/>
          <w:szCs w:val="22"/>
          <w:shd w:val="clear" w:color="auto" w:fill="FFFFF8"/>
        </w:rPr>
        <w:t xml:space="preserve"> β</w:t>
      </w:r>
      <w:r w:rsidRPr="00DE2130">
        <w:rPr>
          <w:bCs/>
          <w:i/>
          <w:iCs/>
          <w:szCs w:val="22"/>
          <w:vertAlign w:val="subscript"/>
        </w:rPr>
        <w:t xml:space="preserve"> </w:t>
      </w:r>
      <w:r w:rsidR="00326B84" w:rsidRPr="00DE2130">
        <w:rPr>
          <w:bCs/>
          <w:i/>
          <w:iCs/>
          <w:szCs w:val="22"/>
          <w:vertAlign w:val="subscript"/>
        </w:rPr>
        <w:t>1</w:t>
      </w:r>
      <w:r w:rsidR="00326B84">
        <w:rPr>
          <w:bCs/>
          <w:i/>
          <w:iCs/>
          <w:szCs w:val="22"/>
        </w:rPr>
        <w:t>RNOA</w:t>
      </w:r>
      <w:r w:rsidR="00326B84" w:rsidRPr="00DE2130">
        <w:rPr>
          <w:bCs/>
          <w:i/>
          <w:iCs/>
          <w:szCs w:val="22"/>
          <w:vertAlign w:val="subscript"/>
        </w:rPr>
        <w:t>t</w:t>
      </w:r>
      <w:r w:rsidR="0072067B" w:rsidRPr="00DE2130">
        <w:rPr>
          <w:bCs/>
          <w:i/>
          <w:iCs/>
          <w:szCs w:val="22"/>
        </w:rPr>
        <w:t>+</w:t>
      </w:r>
      <w:r w:rsidRPr="00DE2130">
        <w:rPr>
          <w:bCs/>
          <w:i/>
          <w:iCs/>
          <w:color w:val="222222"/>
          <w:szCs w:val="22"/>
          <w:shd w:val="clear" w:color="auto" w:fill="FFFFF8"/>
        </w:rPr>
        <w:t xml:space="preserve"> β</w:t>
      </w:r>
      <w:r w:rsidRPr="00DE2130">
        <w:rPr>
          <w:bCs/>
          <w:i/>
          <w:iCs/>
          <w:szCs w:val="22"/>
          <w:vertAlign w:val="subscript"/>
        </w:rPr>
        <w:t xml:space="preserve"> </w:t>
      </w:r>
      <w:r w:rsidR="00326B84" w:rsidRPr="00DE2130">
        <w:rPr>
          <w:bCs/>
          <w:i/>
          <w:iCs/>
          <w:szCs w:val="22"/>
          <w:vertAlign w:val="subscript"/>
        </w:rPr>
        <w:t>2</w:t>
      </w:r>
      <w:r w:rsidR="00326B84">
        <w:rPr>
          <w:bCs/>
          <w:i/>
          <w:iCs/>
          <w:szCs w:val="22"/>
        </w:rPr>
        <w:t>SG</w:t>
      </w:r>
      <w:r w:rsidR="00326B84" w:rsidRPr="00DE2130">
        <w:rPr>
          <w:bCs/>
          <w:i/>
          <w:iCs/>
          <w:szCs w:val="22"/>
          <w:vertAlign w:val="subscript"/>
        </w:rPr>
        <w:t>t</w:t>
      </w:r>
      <w:r w:rsidR="00326B84" w:rsidRPr="00DE2130">
        <w:rPr>
          <w:bCs/>
          <w:i/>
          <w:iCs/>
          <w:szCs w:val="22"/>
        </w:rPr>
        <w:t xml:space="preserve"> </w:t>
      </w:r>
      <w:r w:rsidR="0072067B" w:rsidRPr="00DE2130">
        <w:rPr>
          <w:bCs/>
          <w:i/>
          <w:iCs/>
          <w:szCs w:val="22"/>
        </w:rPr>
        <w:t>+</w:t>
      </w:r>
      <w:r w:rsidRPr="00DE2130">
        <w:rPr>
          <w:bCs/>
          <w:i/>
          <w:iCs/>
          <w:color w:val="222222"/>
          <w:szCs w:val="22"/>
          <w:shd w:val="clear" w:color="auto" w:fill="FFFFF8"/>
        </w:rPr>
        <w:t xml:space="preserve"> ε</w:t>
      </w:r>
      <w:r w:rsidRPr="00DE2130">
        <w:rPr>
          <w:bCs/>
          <w:i/>
          <w:iCs/>
          <w:szCs w:val="22"/>
          <w:vertAlign w:val="subscript"/>
        </w:rPr>
        <w:t xml:space="preserve"> t+1</w:t>
      </w:r>
      <w:r w:rsidRPr="00DE2130">
        <w:rPr>
          <w:bCs/>
          <w:szCs w:val="22"/>
        </w:rPr>
        <w:t xml:space="preserve">                           </w:t>
      </w:r>
      <w:r w:rsidR="00DE2130">
        <w:rPr>
          <w:bCs/>
          <w:szCs w:val="22"/>
        </w:rPr>
        <w:t xml:space="preserve">    </w:t>
      </w:r>
      <w:r w:rsidR="00F52126">
        <w:rPr>
          <w:bCs/>
          <w:szCs w:val="22"/>
        </w:rPr>
        <w:t xml:space="preserve">  </w:t>
      </w:r>
      <w:r w:rsidR="00E0105C">
        <w:rPr>
          <w:bCs/>
          <w:szCs w:val="22"/>
        </w:rPr>
        <w:t xml:space="preserve"> </w:t>
      </w:r>
      <w:r w:rsidR="00F52126">
        <w:rPr>
          <w:bCs/>
          <w:szCs w:val="22"/>
        </w:rPr>
        <w:t xml:space="preserve"> </w:t>
      </w:r>
      <w:r w:rsidR="0072067B" w:rsidRPr="00DE2130">
        <w:rPr>
          <w:bCs/>
          <w:szCs w:val="22"/>
        </w:rPr>
        <w:t>(</w:t>
      </w:r>
      <w:r w:rsidR="00DE2130">
        <w:rPr>
          <w:bCs/>
          <w:szCs w:val="22"/>
        </w:rPr>
        <w:t>10.b</w:t>
      </w:r>
      <w:r w:rsidR="0072067B" w:rsidRPr="00DE2130">
        <w:rPr>
          <w:bCs/>
          <w:szCs w:val="22"/>
        </w:rPr>
        <w:t>)</w:t>
      </w:r>
    </w:p>
    <w:p w:rsidR="00525B9A" w:rsidRPr="00DE2130" w:rsidRDefault="00EF68DE" w:rsidP="007D75D2">
      <w:pPr>
        <w:tabs>
          <w:tab w:val="left" w:pos="420"/>
        </w:tabs>
        <w:contextualSpacing/>
        <w:rPr>
          <w:bCs/>
          <w:szCs w:val="22"/>
        </w:rPr>
      </w:pPr>
      <w:r w:rsidRPr="00DE2130">
        <w:rPr>
          <w:bCs/>
          <w:i/>
          <w:iCs/>
          <w:szCs w:val="22"/>
        </w:rPr>
        <w:t>R</w:t>
      </w:r>
      <w:r w:rsidR="00525B9A" w:rsidRPr="00DE2130">
        <w:rPr>
          <w:bCs/>
          <w:i/>
          <w:iCs/>
          <w:szCs w:val="22"/>
        </w:rPr>
        <w:t>T</w:t>
      </w:r>
      <w:r w:rsidR="00525B9A" w:rsidRPr="00DE2130">
        <w:rPr>
          <w:bCs/>
          <w:i/>
          <w:iCs/>
          <w:szCs w:val="22"/>
          <w:vertAlign w:val="subscript"/>
        </w:rPr>
        <w:t>t+1</w:t>
      </w:r>
      <w:r w:rsidR="00525B9A" w:rsidRPr="00DE2130">
        <w:rPr>
          <w:bCs/>
          <w:i/>
          <w:iCs/>
          <w:szCs w:val="22"/>
        </w:rPr>
        <w:t xml:space="preserve"> =</w:t>
      </w:r>
      <w:r w:rsidRPr="00DE2130">
        <w:rPr>
          <w:bCs/>
          <w:i/>
          <w:iCs/>
          <w:color w:val="222222"/>
          <w:szCs w:val="22"/>
          <w:shd w:val="clear" w:color="auto" w:fill="FFFFF8"/>
        </w:rPr>
        <w:t xml:space="preserve"> β</w:t>
      </w:r>
      <w:r w:rsidRPr="00DE2130">
        <w:rPr>
          <w:bCs/>
          <w:i/>
          <w:iCs/>
          <w:szCs w:val="22"/>
          <w:vertAlign w:val="subscript"/>
        </w:rPr>
        <w:t xml:space="preserve"> </w:t>
      </w:r>
      <w:r w:rsidR="00525B9A" w:rsidRPr="00DE2130">
        <w:rPr>
          <w:bCs/>
          <w:i/>
          <w:iCs/>
          <w:szCs w:val="22"/>
          <w:vertAlign w:val="subscript"/>
        </w:rPr>
        <w:t>0</w:t>
      </w:r>
      <w:r w:rsidR="00525B9A" w:rsidRPr="00DE2130">
        <w:rPr>
          <w:bCs/>
          <w:i/>
          <w:iCs/>
          <w:szCs w:val="22"/>
        </w:rPr>
        <w:t xml:space="preserve"> +</w:t>
      </w:r>
      <w:r w:rsidRPr="00DE2130">
        <w:rPr>
          <w:bCs/>
          <w:i/>
          <w:iCs/>
          <w:color w:val="222222"/>
          <w:szCs w:val="22"/>
          <w:shd w:val="clear" w:color="auto" w:fill="FFFFF8"/>
        </w:rPr>
        <w:t xml:space="preserve"> β</w:t>
      </w:r>
      <w:r w:rsidRPr="00DE2130">
        <w:rPr>
          <w:bCs/>
          <w:i/>
          <w:iCs/>
          <w:szCs w:val="22"/>
          <w:vertAlign w:val="subscript"/>
        </w:rPr>
        <w:t xml:space="preserve"> </w:t>
      </w:r>
      <w:r w:rsidR="00525B9A" w:rsidRPr="00DE2130">
        <w:rPr>
          <w:bCs/>
          <w:i/>
          <w:iCs/>
          <w:szCs w:val="22"/>
          <w:vertAlign w:val="subscript"/>
        </w:rPr>
        <w:t>1</w:t>
      </w:r>
      <w:r w:rsidR="00525B9A" w:rsidRPr="00DE2130">
        <w:rPr>
          <w:bCs/>
          <w:i/>
          <w:iCs/>
          <w:szCs w:val="22"/>
        </w:rPr>
        <w:t>RNOA</w:t>
      </w:r>
      <w:r w:rsidR="00525B9A" w:rsidRPr="00DE2130">
        <w:rPr>
          <w:bCs/>
          <w:i/>
          <w:iCs/>
          <w:szCs w:val="22"/>
          <w:vertAlign w:val="subscript"/>
        </w:rPr>
        <w:t>t</w:t>
      </w:r>
      <w:r w:rsidR="00525B9A" w:rsidRPr="00DE2130">
        <w:rPr>
          <w:bCs/>
          <w:i/>
          <w:iCs/>
          <w:szCs w:val="22"/>
        </w:rPr>
        <w:t xml:space="preserve"> </w:t>
      </w:r>
      <w:r w:rsidR="00326B84">
        <w:rPr>
          <w:bCs/>
          <w:i/>
          <w:iCs/>
          <w:szCs w:val="22"/>
        </w:rPr>
        <w:t>+</w:t>
      </w:r>
      <w:r w:rsidR="00326B84" w:rsidRPr="00DE2130">
        <w:rPr>
          <w:bCs/>
          <w:i/>
          <w:iCs/>
          <w:color w:val="222222"/>
          <w:szCs w:val="22"/>
          <w:shd w:val="clear" w:color="auto" w:fill="FFFFF8"/>
        </w:rPr>
        <w:t xml:space="preserve"> </w:t>
      </w:r>
      <w:r w:rsidRPr="00DE2130">
        <w:rPr>
          <w:bCs/>
          <w:i/>
          <w:iCs/>
          <w:color w:val="222222"/>
          <w:szCs w:val="22"/>
          <w:shd w:val="clear" w:color="auto" w:fill="FFFFF8"/>
        </w:rPr>
        <w:t>β</w:t>
      </w:r>
      <w:r w:rsidRPr="00DE2130">
        <w:rPr>
          <w:bCs/>
          <w:i/>
          <w:iCs/>
          <w:szCs w:val="22"/>
          <w:vertAlign w:val="subscript"/>
        </w:rPr>
        <w:t xml:space="preserve"> </w:t>
      </w:r>
      <w:r w:rsidR="00525B9A" w:rsidRPr="00DE2130">
        <w:rPr>
          <w:bCs/>
          <w:i/>
          <w:iCs/>
          <w:szCs w:val="22"/>
          <w:vertAlign w:val="subscript"/>
        </w:rPr>
        <w:t>2</w:t>
      </w:r>
      <w:r w:rsidR="00525B9A" w:rsidRPr="00DE2130">
        <w:rPr>
          <w:bCs/>
          <w:i/>
          <w:iCs/>
          <w:szCs w:val="22"/>
        </w:rPr>
        <w:t>AD</w:t>
      </w:r>
      <w:r w:rsidR="00525B9A" w:rsidRPr="00DE2130">
        <w:rPr>
          <w:bCs/>
          <w:i/>
          <w:iCs/>
          <w:szCs w:val="22"/>
          <w:vertAlign w:val="subscript"/>
        </w:rPr>
        <w:t>t</w:t>
      </w:r>
      <w:r w:rsidR="00525B9A" w:rsidRPr="00DE2130">
        <w:rPr>
          <w:bCs/>
          <w:i/>
          <w:iCs/>
          <w:szCs w:val="22"/>
        </w:rPr>
        <w:t xml:space="preserve"> +</w:t>
      </w:r>
      <w:r w:rsidRPr="00DE2130">
        <w:rPr>
          <w:bCs/>
          <w:i/>
          <w:iCs/>
          <w:color w:val="222222"/>
          <w:szCs w:val="22"/>
          <w:shd w:val="clear" w:color="auto" w:fill="FFFFF8"/>
        </w:rPr>
        <w:t xml:space="preserve"> ε</w:t>
      </w:r>
      <w:r w:rsidRPr="00DE2130">
        <w:rPr>
          <w:bCs/>
          <w:i/>
          <w:iCs/>
          <w:szCs w:val="22"/>
          <w:vertAlign w:val="subscript"/>
        </w:rPr>
        <w:t xml:space="preserve"> t+1</w:t>
      </w:r>
      <w:r w:rsidRPr="00DE2130">
        <w:rPr>
          <w:bCs/>
          <w:szCs w:val="22"/>
        </w:rPr>
        <w:t xml:space="preserve">                              </w:t>
      </w:r>
      <w:r w:rsidR="00DE2130">
        <w:rPr>
          <w:bCs/>
          <w:szCs w:val="22"/>
        </w:rPr>
        <w:t xml:space="preserve">   </w:t>
      </w:r>
      <w:r w:rsidR="00F52126">
        <w:rPr>
          <w:bCs/>
          <w:szCs w:val="22"/>
        </w:rPr>
        <w:t xml:space="preserve"> </w:t>
      </w:r>
      <w:r w:rsidR="00525B9A" w:rsidRPr="00DE2130">
        <w:rPr>
          <w:bCs/>
          <w:szCs w:val="22"/>
        </w:rPr>
        <w:t>(</w:t>
      </w:r>
      <w:r w:rsidR="00DE2130">
        <w:rPr>
          <w:bCs/>
          <w:szCs w:val="22"/>
        </w:rPr>
        <w:t>10.c</w:t>
      </w:r>
      <w:r w:rsidR="00525B9A" w:rsidRPr="00DE2130">
        <w:rPr>
          <w:bCs/>
          <w:szCs w:val="22"/>
        </w:rPr>
        <w:t>)</w:t>
      </w:r>
    </w:p>
    <w:p w:rsidR="0072067B" w:rsidRPr="00905ACC" w:rsidRDefault="00E165B0" w:rsidP="007D75D2">
      <w:pPr>
        <w:tabs>
          <w:tab w:val="left" w:pos="420"/>
        </w:tabs>
        <w:contextualSpacing/>
        <w:rPr>
          <w:szCs w:val="22"/>
        </w:rPr>
      </w:pPr>
      <w:r w:rsidRPr="00905ACC">
        <w:rPr>
          <w:szCs w:val="22"/>
        </w:rPr>
        <w:t>Where</w:t>
      </w:r>
      <w:r w:rsidR="0072067B" w:rsidRPr="00905ACC">
        <w:rPr>
          <w:szCs w:val="22"/>
        </w:rPr>
        <w:t xml:space="preserve"> </w:t>
      </w:r>
    </w:p>
    <w:p w:rsidR="002928B5" w:rsidRPr="00267D0D" w:rsidRDefault="00EF68DE" w:rsidP="007D75D2">
      <w:pPr>
        <w:tabs>
          <w:tab w:val="left" w:pos="420"/>
        </w:tabs>
        <w:ind w:firstLine="0"/>
        <w:contextualSpacing/>
        <w:rPr>
          <w:szCs w:val="22"/>
        </w:rPr>
      </w:pPr>
      <w:r w:rsidRPr="00282871">
        <w:rPr>
          <w:i/>
          <w:iCs/>
          <w:szCs w:val="22"/>
        </w:rPr>
        <w:t>RT</w:t>
      </w:r>
      <w:r w:rsidRPr="00282871">
        <w:rPr>
          <w:i/>
          <w:iCs/>
          <w:szCs w:val="22"/>
          <w:vertAlign w:val="subscript"/>
        </w:rPr>
        <w:t>t+1</w:t>
      </w:r>
      <w:r w:rsidRPr="00282871">
        <w:rPr>
          <w:i/>
          <w:iCs/>
          <w:szCs w:val="22"/>
        </w:rPr>
        <w:t xml:space="preserve"> </w:t>
      </w:r>
      <w:r w:rsidR="002928B5" w:rsidRPr="00267D0D">
        <w:rPr>
          <w:szCs w:val="22"/>
        </w:rPr>
        <w:t>is the one-year-ahead annual raw return,</w:t>
      </w:r>
      <w:r w:rsidR="00FD6683" w:rsidRPr="00267D0D">
        <w:rPr>
          <w:szCs w:val="22"/>
        </w:rPr>
        <w:t xml:space="preserve"> </w:t>
      </w:r>
      <w:r w:rsidR="00CC6DA1" w:rsidRPr="00267D0D">
        <w:rPr>
          <w:szCs w:val="22"/>
        </w:rPr>
        <w:t xml:space="preserve">measured as the annual </w:t>
      </w:r>
      <w:r w:rsidR="00FD6683" w:rsidRPr="00267D0D">
        <w:rPr>
          <w:szCs w:val="22"/>
        </w:rPr>
        <w:t>buy-and-hold returns</w:t>
      </w:r>
      <w:r w:rsidR="00CC6DA1" w:rsidRPr="00267D0D">
        <w:rPr>
          <w:szCs w:val="22"/>
        </w:rPr>
        <w:t xml:space="preserve"> using information from Datastream (item RI)</w:t>
      </w:r>
      <w:r w:rsidR="00FD6683" w:rsidRPr="00267D0D">
        <w:rPr>
          <w:szCs w:val="22"/>
        </w:rPr>
        <w:t>.</w:t>
      </w:r>
    </w:p>
    <w:p w:rsidR="00525B9A" w:rsidRPr="00267D0D" w:rsidRDefault="00EF68DE" w:rsidP="007D75D2">
      <w:pPr>
        <w:tabs>
          <w:tab w:val="left" w:pos="420"/>
        </w:tabs>
        <w:ind w:firstLine="0"/>
        <w:contextualSpacing/>
        <w:rPr>
          <w:szCs w:val="22"/>
        </w:rPr>
      </w:pPr>
      <w:r w:rsidRPr="00267D0D">
        <w:rPr>
          <w:i/>
          <w:iCs/>
          <w:szCs w:val="22"/>
        </w:rPr>
        <w:t>RT</w:t>
      </w:r>
      <w:r w:rsidRPr="00267D0D">
        <w:rPr>
          <w:i/>
          <w:iCs/>
          <w:szCs w:val="22"/>
          <w:vertAlign w:val="subscript"/>
        </w:rPr>
        <w:t>t-1</w:t>
      </w:r>
      <w:r w:rsidRPr="00267D0D">
        <w:rPr>
          <w:i/>
          <w:iCs/>
          <w:szCs w:val="22"/>
        </w:rPr>
        <w:t xml:space="preserve"> </w:t>
      </w:r>
      <w:r w:rsidR="0072067B" w:rsidRPr="00267D0D">
        <w:rPr>
          <w:szCs w:val="22"/>
        </w:rPr>
        <w:t xml:space="preserve">is the lagged one-year-ahead </w:t>
      </w:r>
      <w:r w:rsidR="002928B5" w:rsidRPr="00267D0D">
        <w:rPr>
          <w:szCs w:val="22"/>
        </w:rPr>
        <w:t>annual raw</w:t>
      </w:r>
      <w:r w:rsidR="0072067B" w:rsidRPr="00267D0D">
        <w:rPr>
          <w:szCs w:val="22"/>
        </w:rPr>
        <w:t xml:space="preserve"> return</w:t>
      </w:r>
      <w:r w:rsidR="00525B9A" w:rsidRPr="00267D0D">
        <w:rPr>
          <w:szCs w:val="22"/>
        </w:rPr>
        <w:t>,</w:t>
      </w:r>
      <w:r w:rsidR="00E67F4C" w:rsidRPr="00267D0D">
        <w:rPr>
          <w:szCs w:val="22"/>
        </w:rPr>
        <w:t xml:space="preserve"> and the </w:t>
      </w:r>
      <w:r w:rsidR="00F43858" w:rsidRPr="00267D0D">
        <w:rPr>
          <w:szCs w:val="22"/>
        </w:rPr>
        <w:t>other variables are the</w:t>
      </w:r>
      <w:r w:rsidR="00525B9A" w:rsidRPr="00267D0D">
        <w:rPr>
          <w:szCs w:val="22"/>
        </w:rPr>
        <w:t xml:space="preserve"> same as</w:t>
      </w:r>
      <w:r w:rsidR="00E67F4C" w:rsidRPr="00267D0D">
        <w:rPr>
          <w:szCs w:val="22"/>
        </w:rPr>
        <w:t xml:space="preserve"> in</w:t>
      </w:r>
      <w:r w:rsidR="00525B9A" w:rsidRPr="00267D0D">
        <w:rPr>
          <w:szCs w:val="22"/>
        </w:rPr>
        <w:t xml:space="preserve"> Papanastasopoulos’s (2015) model.</w:t>
      </w:r>
    </w:p>
    <w:p w:rsidR="00B5149A" w:rsidRPr="007D75D2" w:rsidRDefault="00B5149A" w:rsidP="007D75D2">
      <w:pPr>
        <w:tabs>
          <w:tab w:val="left" w:pos="420"/>
        </w:tabs>
        <w:ind w:firstLine="418"/>
        <w:contextualSpacing/>
        <w:rPr>
          <w:szCs w:val="22"/>
        </w:rPr>
      </w:pPr>
      <w:r w:rsidRPr="00267D0D">
        <w:rPr>
          <w:szCs w:val="22"/>
        </w:rPr>
        <w:t xml:space="preserve">In this </w:t>
      </w:r>
      <w:r w:rsidR="00EC180D" w:rsidRPr="00267D0D">
        <w:rPr>
          <w:szCs w:val="22"/>
        </w:rPr>
        <w:t xml:space="preserve">study </w:t>
      </w:r>
      <w:r w:rsidR="00F30FA4" w:rsidRPr="00267D0D">
        <w:rPr>
          <w:szCs w:val="22"/>
        </w:rPr>
        <w:t xml:space="preserve">we provide a new </w:t>
      </w:r>
      <w:r w:rsidR="007B6558" w:rsidRPr="00267D0D">
        <w:rPr>
          <w:szCs w:val="22"/>
        </w:rPr>
        <w:t>model</w:t>
      </w:r>
      <w:r w:rsidR="00F30FA4" w:rsidRPr="00267D0D">
        <w:rPr>
          <w:szCs w:val="22"/>
        </w:rPr>
        <w:t xml:space="preserve"> </w:t>
      </w:r>
      <w:r w:rsidR="006A5F91" w:rsidRPr="00267D0D">
        <w:rPr>
          <w:szCs w:val="22"/>
        </w:rPr>
        <w:t xml:space="preserve">and </w:t>
      </w:r>
      <w:r w:rsidR="006A5F91" w:rsidRPr="007D75D2">
        <w:rPr>
          <w:szCs w:val="22"/>
        </w:rPr>
        <w:t>w</w:t>
      </w:r>
      <w:r w:rsidRPr="007D75D2">
        <w:rPr>
          <w:szCs w:val="22"/>
        </w:rPr>
        <w:t>e include the regression model control variables book-to-market values and size of firm. Firm size is normally used for investor coverage. Since the larger firms have more shareholders more analysis is needed to follow them. According to Hong et al. (2000), small firms have more pronounced fluctuations than large firms. Therefore, this study expects to find that small firms use more discretionary accrua</w:t>
      </w:r>
      <w:r w:rsidR="00A54B37" w:rsidRPr="007D75D2">
        <w:rPr>
          <w:szCs w:val="22"/>
        </w:rPr>
        <w:t xml:space="preserve">ls to manage the returns </w:t>
      </w:r>
      <w:r w:rsidRPr="007D75D2">
        <w:rPr>
          <w:szCs w:val="22"/>
        </w:rPr>
        <w:t>(see Louis, Robinson and Sbaraglia, 2005). Following the asset pricing literature, the book-to-market ratio is considered in research model regressions as a method for distress risk (Fama and French, 1992).</w:t>
      </w:r>
      <w:r w:rsidRPr="007D75D2">
        <w:rPr>
          <w:rFonts w:eastAsia="Times New Roman"/>
          <w:b/>
          <w:bCs/>
          <w:szCs w:val="22"/>
        </w:rPr>
        <w:t xml:space="preserve"> </w:t>
      </w:r>
      <w:r w:rsidRPr="007D75D2">
        <w:rPr>
          <w:rFonts w:eastAsia="Times New Roman"/>
          <w:szCs w:val="22"/>
        </w:rPr>
        <w:t>They show that size and book-to-market equity are methods for providing sensitivity of risk factors in returns</w:t>
      </w:r>
      <w:r w:rsidR="00CF74BE" w:rsidRPr="007D75D2">
        <w:rPr>
          <w:rFonts w:eastAsia="Times New Roman"/>
          <w:szCs w:val="22"/>
        </w:rPr>
        <w:t>.</w:t>
      </w:r>
    </w:p>
    <w:p w:rsidR="00EC180D" w:rsidRDefault="00CF74BE" w:rsidP="007D75D2">
      <w:pPr>
        <w:tabs>
          <w:tab w:val="left" w:pos="420"/>
        </w:tabs>
        <w:ind w:firstLine="0"/>
        <w:contextualSpacing/>
        <w:rPr>
          <w:szCs w:val="22"/>
        </w:rPr>
      </w:pPr>
      <w:r>
        <w:rPr>
          <w:szCs w:val="22"/>
        </w:rPr>
        <w:t xml:space="preserve">We </w:t>
      </w:r>
      <w:r w:rsidR="00EC180D">
        <w:rPr>
          <w:szCs w:val="22"/>
        </w:rPr>
        <w:t>follow</w:t>
      </w:r>
      <w:r w:rsidR="00EC180D" w:rsidRPr="00EC180D">
        <w:rPr>
          <w:szCs w:val="22"/>
        </w:rPr>
        <w:t xml:space="preserve"> Fama and French (1993) when computing the size and book-to-market values.</w:t>
      </w:r>
      <w:r w:rsidR="00EC180D">
        <w:rPr>
          <w:szCs w:val="22"/>
        </w:rPr>
        <w:t xml:space="preserve"> </w:t>
      </w:r>
      <w:r w:rsidR="00EC180D" w:rsidRPr="00EC180D">
        <w:rPr>
          <w:szCs w:val="22"/>
        </w:rPr>
        <w:t xml:space="preserve">The natural logarithm of the market value of equity (year-end market capital # WS # 8001) and the ratio of the book-to-market (BM) </w:t>
      </w:r>
      <w:r w:rsidR="00B5149A">
        <w:rPr>
          <w:szCs w:val="22"/>
        </w:rPr>
        <w:t>at</w:t>
      </w:r>
      <w:r w:rsidR="00EC180D" w:rsidRPr="00EC180D">
        <w:rPr>
          <w:szCs w:val="22"/>
        </w:rPr>
        <w:t xml:space="preserve"> the end of period are calculated by dividing common equity (WS#3501) by year-end market capitalisation. </w:t>
      </w:r>
      <w:r>
        <w:rPr>
          <w:szCs w:val="22"/>
        </w:rPr>
        <w:t xml:space="preserve">Also, </w:t>
      </w:r>
      <w:r w:rsidR="00F30FA4">
        <w:rPr>
          <w:szCs w:val="22"/>
        </w:rPr>
        <w:t xml:space="preserve">we </w:t>
      </w:r>
      <w:r w:rsidR="001E7EDC">
        <w:rPr>
          <w:szCs w:val="22"/>
        </w:rPr>
        <w:t xml:space="preserve">added </w:t>
      </w:r>
      <w:r w:rsidR="006030BE">
        <w:rPr>
          <w:szCs w:val="22"/>
        </w:rPr>
        <w:t>the following</w:t>
      </w:r>
      <w:r w:rsidR="00F30FA4">
        <w:rPr>
          <w:szCs w:val="22"/>
        </w:rPr>
        <w:t xml:space="preserve"> regression as follows:</w:t>
      </w:r>
    </w:p>
    <w:p w:rsidR="00A84971" w:rsidRPr="00DE2130" w:rsidRDefault="00A84971" w:rsidP="007D75D2">
      <w:pPr>
        <w:tabs>
          <w:tab w:val="left" w:pos="420"/>
        </w:tabs>
        <w:contextualSpacing/>
        <w:rPr>
          <w:bCs/>
          <w:szCs w:val="22"/>
        </w:rPr>
      </w:pPr>
      <w:r w:rsidRPr="00DE2130">
        <w:rPr>
          <w:bCs/>
          <w:i/>
          <w:iCs/>
          <w:szCs w:val="22"/>
        </w:rPr>
        <w:lastRenderedPageBreak/>
        <w:t>RT</w:t>
      </w:r>
      <w:r w:rsidRPr="00DE2130">
        <w:rPr>
          <w:bCs/>
          <w:i/>
          <w:iCs/>
          <w:szCs w:val="22"/>
          <w:vertAlign w:val="subscript"/>
        </w:rPr>
        <w:t>t+1</w:t>
      </w:r>
      <w:r w:rsidRPr="00DE2130">
        <w:rPr>
          <w:bCs/>
          <w:i/>
          <w:iCs/>
          <w:szCs w:val="22"/>
        </w:rPr>
        <w:t xml:space="preserve"> =</w:t>
      </w:r>
      <w:r w:rsidRPr="00DE2130">
        <w:rPr>
          <w:bCs/>
          <w:i/>
          <w:iCs/>
          <w:color w:val="222222"/>
          <w:szCs w:val="22"/>
          <w:shd w:val="clear" w:color="auto" w:fill="FFFFF8"/>
        </w:rPr>
        <w:t xml:space="preserve"> β</w:t>
      </w:r>
      <w:r w:rsidRPr="00DE2130">
        <w:rPr>
          <w:bCs/>
          <w:i/>
          <w:iCs/>
          <w:szCs w:val="22"/>
          <w:vertAlign w:val="subscript"/>
        </w:rPr>
        <w:t xml:space="preserve"> 0</w:t>
      </w:r>
      <w:r w:rsidRPr="00DE2130">
        <w:rPr>
          <w:bCs/>
          <w:i/>
          <w:iCs/>
          <w:szCs w:val="22"/>
        </w:rPr>
        <w:t>+</w:t>
      </w:r>
      <w:r w:rsidRPr="00DE2130">
        <w:rPr>
          <w:bCs/>
          <w:i/>
          <w:iCs/>
          <w:color w:val="222222"/>
          <w:szCs w:val="22"/>
          <w:shd w:val="clear" w:color="auto" w:fill="FFFFF8"/>
        </w:rPr>
        <w:t xml:space="preserve"> β</w:t>
      </w:r>
      <w:r w:rsidRPr="00DE2130">
        <w:rPr>
          <w:bCs/>
          <w:i/>
          <w:iCs/>
          <w:szCs w:val="22"/>
          <w:vertAlign w:val="subscript"/>
        </w:rPr>
        <w:t xml:space="preserve"> 1</w:t>
      </w:r>
      <w:r w:rsidRPr="00DE2130">
        <w:rPr>
          <w:bCs/>
          <w:i/>
          <w:iCs/>
          <w:szCs w:val="22"/>
        </w:rPr>
        <w:t>RNOA</w:t>
      </w:r>
      <w:r w:rsidRPr="00DE2130">
        <w:rPr>
          <w:bCs/>
          <w:i/>
          <w:iCs/>
          <w:szCs w:val="22"/>
          <w:vertAlign w:val="subscript"/>
        </w:rPr>
        <w:t>t</w:t>
      </w:r>
      <w:r w:rsidRPr="00DE2130">
        <w:rPr>
          <w:bCs/>
          <w:i/>
          <w:iCs/>
          <w:szCs w:val="22"/>
        </w:rPr>
        <w:t xml:space="preserve"> +</w:t>
      </w:r>
      <w:r w:rsidRPr="00DE2130">
        <w:rPr>
          <w:bCs/>
          <w:i/>
          <w:iCs/>
          <w:color w:val="222222"/>
          <w:szCs w:val="22"/>
          <w:shd w:val="clear" w:color="auto" w:fill="FFFFF8"/>
        </w:rPr>
        <w:t xml:space="preserve"> β</w:t>
      </w:r>
      <w:r w:rsidRPr="00DE2130">
        <w:rPr>
          <w:bCs/>
          <w:i/>
          <w:iCs/>
          <w:szCs w:val="22"/>
          <w:vertAlign w:val="subscript"/>
        </w:rPr>
        <w:t xml:space="preserve"> </w:t>
      </w:r>
      <w:r w:rsidR="00BD530E">
        <w:rPr>
          <w:bCs/>
          <w:i/>
          <w:iCs/>
          <w:szCs w:val="22"/>
          <w:vertAlign w:val="subscript"/>
        </w:rPr>
        <w:t>2</w:t>
      </w:r>
      <w:r w:rsidRPr="00DE2130">
        <w:rPr>
          <w:bCs/>
          <w:i/>
          <w:iCs/>
          <w:szCs w:val="22"/>
        </w:rPr>
        <w:t>ACC</w:t>
      </w:r>
      <w:r w:rsidRPr="00DE2130">
        <w:rPr>
          <w:bCs/>
          <w:i/>
          <w:iCs/>
          <w:szCs w:val="22"/>
          <w:vertAlign w:val="subscript"/>
        </w:rPr>
        <w:t>t</w:t>
      </w:r>
      <w:r w:rsidRPr="00DE2130" w:rsidDel="00A84971">
        <w:rPr>
          <w:bCs/>
          <w:i/>
          <w:iCs/>
          <w:color w:val="222222"/>
          <w:szCs w:val="22"/>
          <w:shd w:val="clear" w:color="auto" w:fill="FFFFF8"/>
        </w:rPr>
        <w:t xml:space="preserve"> </w:t>
      </w:r>
      <w:r w:rsidRPr="00DE2130">
        <w:rPr>
          <w:bCs/>
          <w:i/>
          <w:iCs/>
          <w:szCs w:val="22"/>
        </w:rPr>
        <w:t>+</w:t>
      </w:r>
      <w:r w:rsidRPr="00DE2130">
        <w:rPr>
          <w:bCs/>
          <w:i/>
          <w:iCs/>
          <w:color w:val="222222"/>
          <w:szCs w:val="22"/>
          <w:shd w:val="clear" w:color="auto" w:fill="FFFFF8"/>
        </w:rPr>
        <w:t xml:space="preserve"> ε</w:t>
      </w:r>
      <w:r w:rsidRPr="00DE2130">
        <w:rPr>
          <w:bCs/>
          <w:i/>
          <w:iCs/>
          <w:szCs w:val="22"/>
          <w:vertAlign w:val="subscript"/>
        </w:rPr>
        <w:t xml:space="preserve"> t+1</w:t>
      </w:r>
      <w:r w:rsidRPr="00DE2130">
        <w:rPr>
          <w:bCs/>
          <w:szCs w:val="22"/>
        </w:rPr>
        <w:t xml:space="preserve">                       </w:t>
      </w:r>
      <w:r>
        <w:rPr>
          <w:bCs/>
          <w:szCs w:val="22"/>
        </w:rPr>
        <w:t xml:space="preserve">  </w:t>
      </w:r>
      <w:r w:rsidR="00E0105C">
        <w:rPr>
          <w:bCs/>
          <w:szCs w:val="22"/>
        </w:rPr>
        <w:t xml:space="preserve">    </w:t>
      </w:r>
      <w:r w:rsidRPr="00DE2130">
        <w:rPr>
          <w:bCs/>
          <w:szCs w:val="22"/>
        </w:rPr>
        <w:t>(</w:t>
      </w:r>
      <w:r>
        <w:rPr>
          <w:bCs/>
          <w:szCs w:val="22"/>
        </w:rPr>
        <w:t>10.d</w:t>
      </w:r>
      <w:r w:rsidRPr="00DE2130">
        <w:rPr>
          <w:bCs/>
          <w:szCs w:val="22"/>
        </w:rPr>
        <w:t>)</w:t>
      </w:r>
    </w:p>
    <w:p w:rsidR="00EC180D" w:rsidRPr="00EC180D" w:rsidRDefault="00EC180D" w:rsidP="007D75D2">
      <w:pPr>
        <w:tabs>
          <w:tab w:val="left" w:pos="420"/>
        </w:tabs>
        <w:ind w:firstLine="0"/>
        <w:contextualSpacing/>
        <w:rPr>
          <w:szCs w:val="22"/>
        </w:rPr>
      </w:pPr>
      <w:r w:rsidRPr="00267D0D">
        <w:rPr>
          <w:szCs w:val="22"/>
        </w:rPr>
        <w:t xml:space="preserve">Furthermore, </w:t>
      </w:r>
      <w:r w:rsidR="0083500C">
        <w:rPr>
          <w:szCs w:val="22"/>
        </w:rPr>
        <w:t>b</w:t>
      </w:r>
      <w:r w:rsidRPr="00267D0D">
        <w:rPr>
          <w:szCs w:val="22"/>
        </w:rPr>
        <w:t>ook-to-market (BM) is the ratio of common equity to market capitalisation (Worldscope#09704).</w:t>
      </w:r>
      <w:r w:rsidR="0083500C">
        <w:rPr>
          <w:szCs w:val="22"/>
        </w:rPr>
        <w:t xml:space="preserve"> </w:t>
      </w:r>
      <w:r w:rsidRPr="00267D0D">
        <w:rPr>
          <w:szCs w:val="22"/>
        </w:rPr>
        <w:t>Size is the natural logarithm of the year-end market capitalisation (Worldscope#08001)</w:t>
      </w:r>
      <w:r w:rsidR="0083500C">
        <w:rPr>
          <w:szCs w:val="22"/>
        </w:rPr>
        <w:t xml:space="preserve"> that </w:t>
      </w:r>
      <w:r w:rsidRPr="00267D0D">
        <w:rPr>
          <w:szCs w:val="22"/>
        </w:rPr>
        <w:t xml:space="preserve">is determined by multiplying closing price by number of shares. </w:t>
      </w:r>
      <w:r w:rsidR="00B0206F" w:rsidRPr="00267D0D">
        <w:rPr>
          <w:szCs w:val="22"/>
        </w:rPr>
        <w:t xml:space="preserve">To calculate </w:t>
      </w:r>
      <w:r w:rsidR="00B0206F" w:rsidRPr="00267D0D">
        <w:rPr>
          <w:bCs/>
          <w:i/>
          <w:iCs/>
          <w:szCs w:val="22"/>
        </w:rPr>
        <w:t>RT</w:t>
      </w:r>
      <w:r w:rsidR="00B0206F" w:rsidRPr="00267D0D">
        <w:rPr>
          <w:bCs/>
          <w:i/>
          <w:iCs/>
          <w:szCs w:val="22"/>
          <w:vertAlign w:val="subscript"/>
        </w:rPr>
        <w:t>t+1</w:t>
      </w:r>
      <w:r w:rsidR="00B0206F" w:rsidRPr="00267D0D">
        <w:rPr>
          <w:bCs/>
          <w:i/>
          <w:iCs/>
          <w:szCs w:val="22"/>
        </w:rPr>
        <w:t xml:space="preserve"> </w:t>
      </w:r>
      <w:r w:rsidR="00B0206F" w:rsidRPr="00267D0D">
        <w:rPr>
          <w:szCs w:val="22"/>
        </w:rPr>
        <w:t xml:space="preserve">, we consider one year ahead size and book to market adjusted return. Then we calculate </w:t>
      </w:r>
      <w:r w:rsidR="007D0670">
        <w:rPr>
          <w:szCs w:val="22"/>
        </w:rPr>
        <w:t xml:space="preserve">the </w:t>
      </w:r>
      <w:r w:rsidR="00B0206F" w:rsidRPr="00267D0D">
        <w:rPr>
          <w:szCs w:val="22"/>
        </w:rPr>
        <w:t>d</w:t>
      </w:r>
      <w:r w:rsidR="007D0670">
        <w:rPr>
          <w:szCs w:val="22"/>
        </w:rPr>
        <w:t xml:space="preserve">ifference between </w:t>
      </w:r>
      <w:r w:rsidR="00B0206F" w:rsidRPr="00267D0D">
        <w:rPr>
          <w:szCs w:val="22"/>
        </w:rPr>
        <w:t>the one year ahead annual raw return and the</w:t>
      </w:r>
      <w:r w:rsidR="00B0206F" w:rsidRPr="007D75D2">
        <w:rPr>
          <w:szCs w:val="22"/>
        </w:rPr>
        <w:t xml:space="preserve"> </w:t>
      </w:r>
      <w:r w:rsidR="00B0206F" w:rsidRPr="00282871">
        <w:rPr>
          <w:szCs w:val="22"/>
        </w:rPr>
        <w:t xml:space="preserve">adjusted return </w:t>
      </w:r>
      <w:r w:rsidR="00B0206F" w:rsidRPr="00267D0D">
        <w:rPr>
          <w:szCs w:val="22"/>
        </w:rPr>
        <w:t>of the 16 benchmark portfolios</w:t>
      </w:r>
      <w:r w:rsidR="00B0206F">
        <w:rPr>
          <w:szCs w:val="22"/>
        </w:rPr>
        <w:t xml:space="preserve">. </w:t>
      </w:r>
    </w:p>
    <w:p w:rsidR="00CB3FF6" w:rsidRPr="00905ACC" w:rsidRDefault="00EC180D" w:rsidP="007D75D2">
      <w:pPr>
        <w:tabs>
          <w:tab w:val="left" w:pos="420"/>
        </w:tabs>
        <w:ind w:firstLine="0"/>
        <w:contextualSpacing/>
        <w:rPr>
          <w:szCs w:val="22"/>
        </w:rPr>
      </w:pPr>
      <w:r>
        <w:rPr>
          <w:szCs w:val="22"/>
        </w:rPr>
        <w:t xml:space="preserve"> </w:t>
      </w:r>
    </w:p>
    <w:p w:rsidR="00A361E2" w:rsidRPr="007D75D2" w:rsidRDefault="00E11185">
      <w:pPr>
        <w:numPr>
          <w:ilvl w:val="0"/>
          <w:numId w:val="5"/>
        </w:numPr>
        <w:ind w:left="284" w:hanging="284"/>
        <w:contextualSpacing/>
        <w:rPr>
          <w:rFonts w:asciiTheme="majorBidi" w:hAnsiTheme="majorBidi" w:cstheme="majorBidi"/>
          <w:b/>
          <w:szCs w:val="22"/>
        </w:rPr>
      </w:pPr>
      <w:r w:rsidRPr="007D75D2">
        <w:rPr>
          <w:rFonts w:asciiTheme="majorBidi" w:hAnsiTheme="majorBidi" w:cstheme="majorBidi"/>
          <w:b/>
          <w:szCs w:val="22"/>
        </w:rPr>
        <w:t>Analysis and Discussion</w:t>
      </w:r>
    </w:p>
    <w:p w:rsidR="000D179C" w:rsidRDefault="00A361E2" w:rsidP="007D75D2">
      <w:pPr>
        <w:ind w:firstLine="0"/>
        <w:contextualSpacing/>
        <w:rPr>
          <w:szCs w:val="22"/>
        </w:rPr>
      </w:pPr>
      <w:r w:rsidRPr="00A361E2">
        <w:rPr>
          <w:rFonts w:hint="eastAsia"/>
          <w:szCs w:val="22"/>
        </w:rPr>
        <w:t xml:space="preserve">The sample includes all firms listed on the London Stock Exchange Market (excluding financial companies) that contain enough information to calculate variables and annual returns on Worldscope and Datastream documents over the period </w:t>
      </w:r>
      <w:r w:rsidR="00C51CCD">
        <w:rPr>
          <w:rFonts w:hint="cs"/>
          <w:szCs w:val="22"/>
          <w:rtl/>
        </w:rPr>
        <w:t>20</w:t>
      </w:r>
      <w:r w:rsidR="00AA78FE">
        <w:rPr>
          <w:szCs w:val="22"/>
        </w:rPr>
        <w:t>08</w:t>
      </w:r>
      <w:r w:rsidRPr="00A361E2">
        <w:rPr>
          <w:rFonts w:hint="eastAsia"/>
          <w:szCs w:val="22"/>
        </w:rPr>
        <w:t>-</w:t>
      </w:r>
      <w:r w:rsidR="00AA78FE" w:rsidRPr="00A361E2">
        <w:rPr>
          <w:rFonts w:hint="eastAsia"/>
          <w:szCs w:val="22"/>
        </w:rPr>
        <w:t>20</w:t>
      </w:r>
      <w:r w:rsidR="00AA78FE">
        <w:rPr>
          <w:szCs w:val="22"/>
        </w:rPr>
        <w:t>17</w:t>
      </w:r>
      <w:r w:rsidRPr="00A361E2">
        <w:rPr>
          <w:rFonts w:hint="eastAsia"/>
          <w:szCs w:val="22"/>
        </w:rPr>
        <w:t>. The total number of observation</w:t>
      </w:r>
      <w:r w:rsidR="00EC1FA7">
        <w:rPr>
          <w:szCs w:val="22"/>
        </w:rPr>
        <w:t>s</w:t>
      </w:r>
      <w:r w:rsidRPr="00A361E2">
        <w:rPr>
          <w:rFonts w:hint="eastAsia"/>
          <w:szCs w:val="22"/>
        </w:rPr>
        <w:t xml:space="preserve"> </w:t>
      </w:r>
      <w:r w:rsidRPr="00A361E2">
        <w:rPr>
          <w:szCs w:val="22"/>
        </w:rPr>
        <w:t>before any deflat</w:t>
      </w:r>
      <w:r w:rsidRPr="00A361E2">
        <w:rPr>
          <w:rFonts w:hint="eastAsia"/>
          <w:szCs w:val="22"/>
        </w:rPr>
        <w:t>ion</w:t>
      </w:r>
      <w:r w:rsidRPr="00A361E2">
        <w:rPr>
          <w:szCs w:val="22"/>
        </w:rPr>
        <w:t xml:space="preserve"> or truncation</w:t>
      </w:r>
      <w:r w:rsidRPr="00A361E2">
        <w:rPr>
          <w:rFonts w:hint="eastAsia"/>
          <w:szCs w:val="22"/>
        </w:rPr>
        <w:t xml:space="preserve"> is </w:t>
      </w:r>
      <w:r w:rsidR="00AA78FE">
        <w:rPr>
          <w:szCs w:val="22"/>
        </w:rPr>
        <w:t>5,313</w:t>
      </w:r>
      <w:r w:rsidRPr="00A361E2">
        <w:rPr>
          <w:rFonts w:hint="eastAsia"/>
          <w:szCs w:val="22"/>
        </w:rPr>
        <w:t xml:space="preserve"> over the five years</w:t>
      </w:r>
      <w:r w:rsidR="00137542">
        <w:rPr>
          <w:szCs w:val="22"/>
        </w:rPr>
        <w:t>.</w:t>
      </w:r>
      <w:r w:rsidR="001819FB">
        <w:rPr>
          <w:szCs w:val="22"/>
        </w:rPr>
        <w:t xml:space="preserve"> The Table 1, provides </w:t>
      </w:r>
      <w:r w:rsidR="001819FB" w:rsidRPr="007D75D2">
        <w:rPr>
          <w:szCs w:val="22"/>
        </w:rPr>
        <w:t>provides a summary of our data selection procedures.</w:t>
      </w:r>
    </w:p>
    <w:p w:rsidR="00F71222" w:rsidRDefault="00AA78FE">
      <w:pPr>
        <w:contextualSpacing/>
        <w:rPr>
          <w:szCs w:val="22"/>
        </w:rPr>
      </w:pPr>
      <w:r w:rsidRPr="00A361E2">
        <w:rPr>
          <w:rFonts w:hint="eastAsia"/>
          <w:szCs w:val="22"/>
        </w:rPr>
        <w:t xml:space="preserve">The descriptive statistics of financial variables is shown </w:t>
      </w:r>
      <w:r w:rsidR="0092586C">
        <w:rPr>
          <w:szCs w:val="22"/>
        </w:rPr>
        <w:t xml:space="preserve">in </w:t>
      </w:r>
      <w:r w:rsidRPr="00453C81">
        <w:rPr>
          <w:rFonts w:hint="eastAsia"/>
          <w:szCs w:val="22"/>
        </w:rPr>
        <w:t xml:space="preserve">Table </w:t>
      </w:r>
      <w:r w:rsidR="00137542">
        <w:rPr>
          <w:bCs/>
          <w:sz w:val="20"/>
          <w:szCs w:val="20"/>
        </w:rPr>
        <w:t>2</w:t>
      </w:r>
      <w:r w:rsidRPr="00A361E2">
        <w:rPr>
          <w:rFonts w:hint="eastAsia"/>
          <w:szCs w:val="22"/>
        </w:rPr>
        <w:t>. Later this section will focus on the c</w:t>
      </w:r>
      <w:r w:rsidRPr="00A361E2">
        <w:rPr>
          <w:szCs w:val="22"/>
        </w:rPr>
        <w:t>ross-sectional regression</w:t>
      </w:r>
      <w:r w:rsidRPr="00A361E2">
        <w:rPr>
          <w:rFonts w:hint="eastAsia"/>
          <w:szCs w:val="22"/>
        </w:rPr>
        <w:t xml:space="preserve"> results shown </w:t>
      </w:r>
      <w:r w:rsidR="003D316A">
        <w:rPr>
          <w:szCs w:val="22"/>
        </w:rPr>
        <w:t xml:space="preserve">in </w:t>
      </w:r>
      <w:r w:rsidR="003D316A" w:rsidRPr="00453C81">
        <w:rPr>
          <w:rFonts w:hint="eastAsia"/>
          <w:szCs w:val="22"/>
        </w:rPr>
        <w:t xml:space="preserve">Table </w:t>
      </w:r>
      <w:r w:rsidR="00A9761F">
        <w:rPr>
          <w:bCs/>
          <w:sz w:val="20"/>
          <w:szCs w:val="20"/>
        </w:rPr>
        <w:t>3</w:t>
      </w:r>
      <w:r w:rsidR="003D316A">
        <w:rPr>
          <w:szCs w:val="22"/>
        </w:rPr>
        <w:t xml:space="preserve"> </w:t>
      </w:r>
      <w:r w:rsidRPr="00A361E2">
        <w:rPr>
          <w:rFonts w:hint="eastAsia"/>
          <w:szCs w:val="22"/>
        </w:rPr>
        <w:t>and provide a discussion about the regression results.</w:t>
      </w:r>
      <w:r>
        <w:rPr>
          <w:szCs w:val="22"/>
        </w:rPr>
        <w:t xml:space="preserve"> </w:t>
      </w:r>
      <w:r w:rsidR="0064037B" w:rsidRPr="00905ACC">
        <w:rPr>
          <w:szCs w:val="22"/>
        </w:rPr>
        <w:t xml:space="preserve">This section will firstly present the information about the </w:t>
      </w:r>
      <w:r w:rsidR="005C43DD" w:rsidRPr="00905ACC">
        <w:rPr>
          <w:szCs w:val="22"/>
        </w:rPr>
        <w:t xml:space="preserve">extraction of </w:t>
      </w:r>
      <w:r w:rsidR="0064037B" w:rsidRPr="00905ACC">
        <w:rPr>
          <w:szCs w:val="22"/>
        </w:rPr>
        <w:t xml:space="preserve">sampled </w:t>
      </w:r>
      <w:r w:rsidR="005C43DD" w:rsidRPr="00905ACC">
        <w:rPr>
          <w:szCs w:val="22"/>
        </w:rPr>
        <w:t>firms and</w:t>
      </w:r>
      <w:r w:rsidR="0064037B" w:rsidRPr="00905ACC">
        <w:rPr>
          <w:szCs w:val="22"/>
        </w:rPr>
        <w:t xml:space="preserve"> the descriptive statistics of financial variables</w:t>
      </w:r>
      <w:r w:rsidR="005C43DD" w:rsidRPr="00905ACC">
        <w:rPr>
          <w:szCs w:val="22"/>
        </w:rPr>
        <w:t xml:space="preserve">, which </w:t>
      </w:r>
      <w:r w:rsidR="00EC1FA7">
        <w:rPr>
          <w:szCs w:val="22"/>
        </w:rPr>
        <w:t>are</w:t>
      </w:r>
      <w:r w:rsidR="00EC1FA7" w:rsidRPr="00905ACC">
        <w:rPr>
          <w:szCs w:val="22"/>
        </w:rPr>
        <w:t xml:space="preserve"> </w:t>
      </w:r>
      <w:r w:rsidR="005C43DD" w:rsidRPr="00905ACC">
        <w:rPr>
          <w:szCs w:val="22"/>
        </w:rPr>
        <w:t xml:space="preserve">shown </w:t>
      </w:r>
      <w:r w:rsidR="006736C0">
        <w:rPr>
          <w:szCs w:val="22"/>
        </w:rPr>
        <w:t>in</w:t>
      </w:r>
      <w:r w:rsidR="006736C0" w:rsidRPr="00905ACC">
        <w:rPr>
          <w:szCs w:val="22"/>
        </w:rPr>
        <w:t xml:space="preserve"> </w:t>
      </w:r>
      <w:r w:rsidR="005C43DD" w:rsidRPr="00905ACC">
        <w:rPr>
          <w:szCs w:val="22"/>
        </w:rPr>
        <w:t xml:space="preserve">Table </w:t>
      </w:r>
      <w:r w:rsidR="00A9761F">
        <w:rPr>
          <w:sz w:val="20"/>
          <w:szCs w:val="20"/>
        </w:rPr>
        <w:t>1</w:t>
      </w:r>
      <w:r w:rsidR="00EE6121">
        <w:rPr>
          <w:sz w:val="20"/>
          <w:szCs w:val="20"/>
        </w:rPr>
        <w:t xml:space="preserve"> </w:t>
      </w:r>
      <w:r w:rsidR="005C43DD" w:rsidRPr="00905ACC">
        <w:rPr>
          <w:szCs w:val="22"/>
        </w:rPr>
        <w:t xml:space="preserve">and Table </w:t>
      </w:r>
      <w:r w:rsidR="00A9761F">
        <w:rPr>
          <w:sz w:val="20"/>
          <w:szCs w:val="20"/>
        </w:rPr>
        <w:t>2</w:t>
      </w:r>
      <w:r w:rsidR="00453C81" w:rsidRPr="00A361E2">
        <w:rPr>
          <w:rFonts w:hint="eastAsia"/>
          <w:szCs w:val="22"/>
        </w:rPr>
        <w:t>.</w:t>
      </w:r>
      <w:r w:rsidR="005C43DD" w:rsidRPr="00905ACC">
        <w:rPr>
          <w:szCs w:val="22"/>
        </w:rPr>
        <w:t xml:space="preserve"> Later this section will focus on the cross-sectional regression results and provide a discussion about the main findings of the project.</w:t>
      </w:r>
    </w:p>
    <w:p w:rsidR="00572A27" w:rsidRDefault="00572A27" w:rsidP="00453C81">
      <w:pPr>
        <w:contextualSpacing/>
        <w:rPr>
          <w:szCs w:val="22"/>
        </w:rPr>
      </w:pPr>
    </w:p>
    <w:p w:rsidR="00572A27" w:rsidRDefault="00572A27" w:rsidP="00453C81">
      <w:pPr>
        <w:contextualSpacing/>
        <w:rPr>
          <w:szCs w:val="22"/>
        </w:rPr>
      </w:pPr>
    </w:p>
    <w:p w:rsidR="008378F3" w:rsidRPr="00A61CD8" w:rsidRDefault="008378F3" w:rsidP="00C81073">
      <w:pPr>
        <w:autoSpaceDE w:val="0"/>
        <w:adjustRightInd w:val="0"/>
        <w:spacing w:line="240" w:lineRule="auto"/>
        <w:ind w:right="95" w:firstLine="0"/>
        <w:rPr>
          <w:sz w:val="20"/>
          <w:szCs w:val="20"/>
        </w:rPr>
        <w:sectPr w:rsidR="008378F3" w:rsidRPr="00A61CD8" w:rsidSect="0066378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sectPr>
      </w:pPr>
    </w:p>
    <w:p w:rsidR="00F13501" w:rsidRPr="00905ACC" w:rsidRDefault="00EC1FA7" w:rsidP="007D75D2">
      <w:pPr>
        <w:ind w:firstLine="0"/>
        <w:contextualSpacing/>
        <w:rPr>
          <w:szCs w:val="22"/>
        </w:rPr>
      </w:pPr>
      <w:r>
        <w:rPr>
          <w:szCs w:val="22"/>
        </w:rPr>
        <w:lastRenderedPageBreak/>
        <w:t>This</w:t>
      </w:r>
      <w:r w:rsidRPr="00905ACC">
        <w:rPr>
          <w:szCs w:val="22"/>
        </w:rPr>
        <w:t xml:space="preserve"> </w:t>
      </w:r>
      <w:r w:rsidR="00E327CA" w:rsidRPr="00905ACC">
        <w:rPr>
          <w:szCs w:val="22"/>
        </w:rPr>
        <w:t xml:space="preserve">study presents the mean, standard deviation, 25th percentile, 50th percentile and 75th percentile for accounting variables and ignores those percentiles </w:t>
      </w:r>
      <w:r w:rsidR="006736C0">
        <w:rPr>
          <w:szCs w:val="22"/>
        </w:rPr>
        <w:t>between these intervals</w:t>
      </w:r>
      <w:r w:rsidR="00E327CA" w:rsidRPr="00905ACC">
        <w:rPr>
          <w:szCs w:val="22"/>
        </w:rPr>
        <w:t xml:space="preserve">. The sample includes all listed corporations on the London Stock Market (excluding financial companies) that contain enough information to calculate variables and annual returns (item RI) on Worldscope and Datastream documents during the period of </w:t>
      </w:r>
      <w:r w:rsidR="00463C07" w:rsidRPr="00905ACC">
        <w:rPr>
          <w:szCs w:val="22"/>
        </w:rPr>
        <w:t>200</w:t>
      </w:r>
      <w:r w:rsidR="00463C07">
        <w:rPr>
          <w:szCs w:val="22"/>
        </w:rPr>
        <w:t>8</w:t>
      </w:r>
      <w:r w:rsidR="00463C07" w:rsidRPr="00905ACC">
        <w:rPr>
          <w:szCs w:val="22"/>
        </w:rPr>
        <w:t xml:space="preserve"> </w:t>
      </w:r>
      <w:r w:rsidR="00E327CA" w:rsidRPr="00905ACC">
        <w:rPr>
          <w:szCs w:val="22"/>
        </w:rPr>
        <w:t xml:space="preserve">to </w:t>
      </w:r>
      <w:r w:rsidR="00463C07" w:rsidRPr="00905ACC">
        <w:rPr>
          <w:szCs w:val="22"/>
        </w:rPr>
        <w:t>20</w:t>
      </w:r>
      <w:r w:rsidR="00463C07">
        <w:rPr>
          <w:szCs w:val="22"/>
        </w:rPr>
        <w:t>17</w:t>
      </w:r>
      <w:r w:rsidR="00E327CA" w:rsidRPr="00905ACC">
        <w:rPr>
          <w:szCs w:val="22"/>
        </w:rPr>
        <w:t>.</w:t>
      </w:r>
    </w:p>
    <w:p w:rsidR="00C94245" w:rsidRDefault="00A70E77" w:rsidP="007D75D2">
      <w:pPr>
        <w:ind w:firstLineChars="200" w:firstLine="440"/>
        <w:contextualSpacing/>
        <w:rPr>
          <w:szCs w:val="22"/>
        </w:rPr>
      </w:pPr>
      <w:r w:rsidRPr="00905ACC">
        <w:rPr>
          <w:szCs w:val="22"/>
        </w:rPr>
        <w:t xml:space="preserve">From Table </w:t>
      </w:r>
      <w:r w:rsidR="00137542">
        <w:rPr>
          <w:sz w:val="20"/>
          <w:szCs w:val="20"/>
        </w:rPr>
        <w:t>2</w:t>
      </w:r>
      <w:r w:rsidRPr="00905ACC">
        <w:rPr>
          <w:szCs w:val="22"/>
        </w:rPr>
        <w:t>, the mean and 50th percentile values for ACC are</w:t>
      </w:r>
      <w:r w:rsidR="0062497F" w:rsidRPr="00905ACC">
        <w:rPr>
          <w:szCs w:val="22"/>
        </w:rPr>
        <w:t xml:space="preserve"> </w:t>
      </w:r>
      <w:r w:rsidR="000210DC" w:rsidRPr="00905ACC">
        <w:rPr>
          <w:szCs w:val="22"/>
        </w:rPr>
        <w:t xml:space="preserve">respectively </w:t>
      </w:r>
      <w:r w:rsidR="00463C07" w:rsidRPr="007D75D2">
        <w:rPr>
          <w:szCs w:val="22"/>
        </w:rPr>
        <w:t>0.065</w:t>
      </w:r>
      <w:r w:rsidRPr="00905ACC">
        <w:rPr>
          <w:szCs w:val="22"/>
        </w:rPr>
        <w:t xml:space="preserve">and </w:t>
      </w:r>
      <w:r w:rsidR="00463C07" w:rsidRPr="007D75D2">
        <w:rPr>
          <w:szCs w:val="22"/>
        </w:rPr>
        <w:t>0.037</w:t>
      </w:r>
      <w:r w:rsidRPr="00905ACC">
        <w:rPr>
          <w:szCs w:val="22"/>
        </w:rPr>
        <w:t xml:space="preserve">, which indicates that operating assets had experienced both downward and upward </w:t>
      </w:r>
      <w:r w:rsidR="006C13B0" w:rsidRPr="00905ACC">
        <w:rPr>
          <w:szCs w:val="22"/>
        </w:rPr>
        <w:t>trends</w:t>
      </w:r>
      <w:r w:rsidR="00686078" w:rsidRPr="00905ACC">
        <w:rPr>
          <w:szCs w:val="22"/>
        </w:rPr>
        <w:t xml:space="preserve"> over the period. With a standard deviation of </w:t>
      </w:r>
      <w:r w:rsidR="00F140F8" w:rsidRPr="007D75D2">
        <w:rPr>
          <w:szCs w:val="22"/>
        </w:rPr>
        <w:t>0.346</w:t>
      </w:r>
      <w:r w:rsidR="00686078" w:rsidRPr="00905ACC">
        <w:rPr>
          <w:szCs w:val="22"/>
        </w:rPr>
        <w:t>, net operating assets fluctuate significantly</w:t>
      </w:r>
      <w:r w:rsidR="006B04D2" w:rsidRPr="00905ACC">
        <w:rPr>
          <w:szCs w:val="22"/>
        </w:rPr>
        <w:t xml:space="preserve"> </w:t>
      </w:r>
      <w:r w:rsidR="00AB0FB2" w:rsidRPr="00905ACC">
        <w:rPr>
          <w:szCs w:val="22"/>
        </w:rPr>
        <w:t xml:space="preserve">during the period </w:t>
      </w:r>
      <w:r w:rsidR="006B04D2" w:rsidRPr="00905ACC">
        <w:rPr>
          <w:szCs w:val="22"/>
        </w:rPr>
        <w:t>and the level of deviation from the mean is</w:t>
      </w:r>
      <w:r w:rsidR="00F71222">
        <w:rPr>
          <w:szCs w:val="22"/>
        </w:rPr>
        <w:t xml:space="preserve"> very</w:t>
      </w:r>
      <w:r w:rsidR="006B04D2" w:rsidRPr="00905ACC">
        <w:rPr>
          <w:szCs w:val="22"/>
        </w:rPr>
        <w:t xml:space="preserve"> high.</w:t>
      </w:r>
      <w:r w:rsidR="00683FAA" w:rsidRPr="00905ACC">
        <w:rPr>
          <w:szCs w:val="22"/>
        </w:rPr>
        <w:t xml:space="preserve"> Moreover, </w:t>
      </w:r>
      <w:r w:rsidR="000210DC" w:rsidRPr="00905ACC">
        <w:rPr>
          <w:szCs w:val="22"/>
        </w:rPr>
        <w:t>the mean value</w:t>
      </w:r>
      <w:r w:rsidR="00683FAA" w:rsidRPr="00905ACC">
        <w:rPr>
          <w:szCs w:val="22"/>
        </w:rPr>
        <w:t xml:space="preserve"> for SG </w:t>
      </w:r>
      <w:r w:rsidR="0084104B">
        <w:rPr>
          <w:szCs w:val="22"/>
        </w:rPr>
        <w:t>is</w:t>
      </w:r>
      <w:r w:rsidR="0084104B" w:rsidRPr="00905ACC">
        <w:rPr>
          <w:szCs w:val="22"/>
        </w:rPr>
        <w:t xml:space="preserve"> </w:t>
      </w:r>
      <w:r w:rsidR="00F140F8" w:rsidRPr="007D75D2">
        <w:rPr>
          <w:szCs w:val="22"/>
        </w:rPr>
        <w:t>0.480</w:t>
      </w:r>
      <w:r w:rsidR="0084104B">
        <w:rPr>
          <w:szCs w:val="22"/>
        </w:rPr>
        <w:t xml:space="preserve"> </w:t>
      </w:r>
      <w:r w:rsidR="00683FAA" w:rsidRPr="00905ACC">
        <w:rPr>
          <w:szCs w:val="22"/>
        </w:rPr>
        <w:t xml:space="preserve">and </w:t>
      </w:r>
      <w:r w:rsidR="000210DC" w:rsidRPr="00905ACC">
        <w:rPr>
          <w:szCs w:val="22"/>
        </w:rPr>
        <w:t xml:space="preserve">for AD is </w:t>
      </w:r>
      <w:r w:rsidR="00F140F8" w:rsidRPr="007D75D2">
        <w:rPr>
          <w:szCs w:val="22"/>
        </w:rPr>
        <w:t>0.023</w:t>
      </w:r>
      <w:r w:rsidR="00683FAA" w:rsidRPr="00905ACC">
        <w:rPr>
          <w:szCs w:val="22"/>
        </w:rPr>
        <w:t xml:space="preserve">, which indicates that both sales growth and accounting distortion </w:t>
      </w:r>
      <w:r w:rsidR="005E1FE7" w:rsidRPr="00905ACC">
        <w:rPr>
          <w:szCs w:val="22"/>
        </w:rPr>
        <w:t>made significant contribution</w:t>
      </w:r>
      <w:r w:rsidR="00EC1FA7">
        <w:rPr>
          <w:szCs w:val="22"/>
        </w:rPr>
        <w:t>s</w:t>
      </w:r>
      <w:r w:rsidR="005E1FE7" w:rsidRPr="00905ACC">
        <w:rPr>
          <w:szCs w:val="22"/>
        </w:rPr>
        <w:t xml:space="preserve"> to t</w:t>
      </w:r>
      <w:r w:rsidR="000210DC" w:rsidRPr="00905ACC">
        <w:rPr>
          <w:szCs w:val="22"/>
        </w:rPr>
        <w:t>he generation of total accruals, especially the component of sales growth.</w:t>
      </w:r>
      <w:r w:rsidR="0056474F" w:rsidRPr="00905ACC">
        <w:rPr>
          <w:szCs w:val="22"/>
        </w:rPr>
        <w:t xml:space="preserve"> </w:t>
      </w:r>
      <w:r w:rsidR="00EC1FA7">
        <w:rPr>
          <w:szCs w:val="22"/>
        </w:rPr>
        <w:t xml:space="preserve">Additionally, </w:t>
      </w:r>
      <w:r w:rsidR="0056474F" w:rsidRPr="00905ACC">
        <w:rPr>
          <w:szCs w:val="22"/>
        </w:rPr>
        <w:t>the standard deviation of both sales growth and accounting distortion are s</w:t>
      </w:r>
      <w:r w:rsidR="00BD1B26" w:rsidRPr="00905ACC">
        <w:rPr>
          <w:szCs w:val="22"/>
        </w:rPr>
        <w:t>ignificantly high, with a respec</w:t>
      </w:r>
      <w:r w:rsidR="0056474F" w:rsidRPr="00905ACC">
        <w:rPr>
          <w:szCs w:val="22"/>
        </w:rPr>
        <w:t xml:space="preserve">tive value of </w:t>
      </w:r>
      <w:r w:rsidR="00F140F8" w:rsidRPr="007D75D2">
        <w:rPr>
          <w:szCs w:val="22"/>
        </w:rPr>
        <w:t>0.117</w:t>
      </w:r>
      <w:r w:rsidR="0056474F" w:rsidRPr="00905ACC">
        <w:rPr>
          <w:szCs w:val="22"/>
        </w:rPr>
        <w:t xml:space="preserve">and </w:t>
      </w:r>
      <w:r w:rsidR="00F140F8" w:rsidRPr="007D75D2">
        <w:rPr>
          <w:szCs w:val="22"/>
        </w:rPr>
        <w:t>0.294</w:t>
      </w:r>
      <w:r w:rsidR="0056474F" w:rsidRPr="00905ACC">
        <w:rPr>
          <w:szCs w:val="22"/>
        </w:rPr>
        <w:t xml:space="preserve">, which suggests that </w:t>
      </w:r>
      <w:r w:rsidR="00E478B5" w:rsidRPr="00905ACC">
        <w:rPr>
          <w:szCs w:val="22"/>
        </w:rPr>
        <w:t xml:space="preserve">both of them are essential cause </w:t>
      </w:r>
      <w:r w:rsidR="006736C0">
        <w:rPr>
          <w:szCs w:val="22"/>
        </w:rPr>
        <w:t xml:space="preserve">of </w:t>
      </w:r>
      <w:r w:rsidR="00E478B5" w:rsidRPr="00905ACC">
        <w:rPr>
          <w:szCs w:val="22"/>
        </w:rPr>
        <w:t>variation in total accruals.</w:t>
      </w:r>
      <w:r w:rsidR="00526DD0" w:rsidRPr="00905ACC">
        <w:rPr>
          <w:szCs w:val="22"/>
        </w:rPr>
        <w:t xml:space="preserve"> </w:t>
      </w:r>
      <w:r w:rsidR="00EC1FA7">
        <w:rPr>
          <w:szCs w:val="22"/>
        </w:rPr>
        <w:t>Also</w:t>
      </w:r>
      <w:r w:rsidR="00526DD0" w:rsidRPr="00905ACC">
        <w:rPr>
          <w:szCs w:val="22"/>
        </w:rPr>
        <w:t xml:space="preserve">, the mean of RNOA results in </w:t>
      </w:r>
      <w:r w:rsidR="00515040" w:rsidRPr="007D75D2">
        <w:rPr>
          <w:szCs w:val="22"/>
        </w:rPr>
        <w:t>0.171</w:t>
      </w:r>
      <w:r w:rsidR="00526DD0" w:rsidRPr="00905ACC">
        <w:rPr>
          <w:szCs w:val="22"/>
        </w:rPr>
        <w:t xml:space="preserve">, which indicates that </w:t>
      </w:r>
      <w:r w:rsidR="00EC1FA7">
        <w:rPr>
          <w:szCs w:val="22"/>
        </w:rPr>
        <w:t xml:space="preserve">on </w:t>
      </w:r>
      <w:r w:rsidR="00526DD0" w:rsidRPr="00905ACC">
        <w:rPr>
          <w:szCs w:val="22"/>
        </w:rPr>
        <w:t xml:space="preserve">average the operating profitability of the sampled companies </w:t>
      </w:r>
      <w:r w:rsidR="006736C0">
        <w:rPr>
          <w:szCs w:val="22"/>
        </w:rPr>
        <w:t>is</w:t>
      </w:r>
      <w:r w:rsidR="006736C0" w:rsidRPr="00905ACC">
        <w:rPr>
          <w:szCs w:val="22"/>
        </w:rPr>
        <w:t xml:space="preserve"> </w:t>
      </w:r>
      <w:r w:rsidR="00526DD0" w:rsidRPr="00905ACC">
        <w:rPr>
          <w:szCs w:val="22"/>
        </w:rPr>
        <w:t xml:space="preserve">high over the period </w:t>
      </w:r>
      <w:r w:rsidR="00515040" w:rsidRPr="00905ACC">
        <w:rPr>
          <w:szCs w:val="22"/>
        </w:rPr>
        <w:t>200</w:t>
      </w:r>
      <w:r w:rsidR="00515040">
        <w:rPr>
          <w:szCs w:val="22"/>
        </w:rPr>
        <w:t>8</w:t>
      </w:r>
      <w:r w:rsidR="00526DD0" w:rsidRPr="00905ACC">
        <w:rPr>
          <w:szCs w:val="22"/>
        </w:rPr>
        <w:t>-</w:t>
      </w:r>
      <w:r w:rsidR="00515040" w:rsidRPr="00905ACC">
        <w:rPr>
          <w:szCs w:val="22"/>
        </w:rPr>
        <w:t>20</w:t>
      </w:r>
      <w:r w:rsidR="00515040">
        <w:rPr>
          <w:szCs w:val="22"/>
        </w:rPr>
        <w:t>17</w:t>
      </w:r>
      <w:r w:rsidR="00C94245">
        <w:rPr>
          <w:szCs w:val="22"/>
        </w:rPr>
        <w:t>.</w:t>
      </w:r>
      <w:r w:rsidR="00C94245" w:rsidRPr="00905ACC" w:rsidDel="00C94245">
        <w:rPr>
          <w:szCs w:val="22"/>
        </w:rPr>
        <w:t xml:space="preserve"> </w:t>
      </w:r>
    </w:p>
    <w:p w:rsidR="00C94245" w:rsidRDefault="00C94245" w:rsidP="007D75D2">
      <w:pPr>
        <w:ind w:firstLineChars="200" w:firstLine="440"/>
        <w:contextualSpacing/>
        <w:rPr>
          <w:szCs w:val="22"/>
        </w:rPr>
      </w:pPr>
    </w:p>
    <w:p w:rsidR="00C94245" w:rsidRDefault="00C94245" w:rsidP="007D75D2">
      <w:pPr>
        <w:ind w:firstLineChars="200" w:firstLine="440"/>
        <w:contextualSpacing/>
        <w:rPr>
          <w:szCs w:val="22"/>
        </w:rPr>
      </w:pPr>
    </w:p>
    <w:p w:rsidR="00A17BF3" w:rsidRDefault="00A17BF3" w:rsidP="00A17BF3">
      <w:pPr>
        <w:tabs>
          <w:tab w:val="left" w:pos="8222"/>
        </w:tabs>
        <w:spacing w:line="240" w:lineRule="auto"/>
        <w:ind w:right="-483" w:firstLine="0"/>
        <w:rPr>
          <w:sz w:val="20"/>
          <w:szCs w:val="20"/>
        </w:rPr>
      </w:pPr>
    </w:p>
    <w:p w:rsidR="00F23D39" w:rsidRDefault="00F23D39" w:rsidP="00453C81">
      <w:pPr>
        <w:tabs>
          <w:tab w:val="left" w:pos="8222"/>
        </w:tabs>
        <w:ind w:right="84" w:firstLine="0"/>
        <w:contextualSpacing/>
        <w:rPr>
          <w:sz w:val="20"/>
          <w:szCs w:val="20"/>
        </w:rPr>
      </w:pPr>
    </w:p>
    <w:p w:rsidR="0030421D" w:rsidRPr="00905ACC" w:rsidRDefault="00EC1FA7">
      <w:pPr>
        <w:tabs>
          <w:tab w:val="left" w:pos="8222"/>
        </w:tabs>
        <w:ind w:right="84" w:firstLine="0"/>
        <w:contextualSpacing/>
        <w:rPr>
          <w:szCs w:val="22"/>
        </w:rPr>
      </w:pPr>
      <w:r>
        <w:rPr>
          <w:sz w:val="20"/>
          <w:szCs w:val="20"/>
        </w:rPr>
        <w:br w:type="page"/>
      </w:r>
      <w:r w:rsidR="00666253" w:rsidRPr="006B754C">
        <w:rPr>
          <w:bCs/>
          <w:szCs w:val="22"/>
        </w:rPr>
        <w:lastRenderedPageBreak/>
        <w:t>The a</w:t>
      </w:r>
      <w:r w:rsidR="00FC56D7" w:rsidRPr="006B754C">
        <w:rPr>
          <w:bCs/>
          <w:szCs w:val="22"/>
        </w:rPr>
        <w:t xml:space="preserve">nalysis for </w:t>
      </w:r>
      <w:r w:rsidR="00666253" w:rsidRPr="006B754C">
        <w:rPr>
          <w:bCs/>
          <w:szCs w:val="22"/>
        </w:rPr>
        <w:t>T</w:t>
      </w:r>
      <w:r w:rsidR="00FC56D7" w:rsidRPr="006B754C">
        <w:rPr>
          <w:bCs/>
          <w:szCs w:val="22"/>
        </w:rPr>
        <w:t xml:space="preserve">able </w:t>
      </w:r>
      <w:r w:rsidR="00AB1D79">
        <w:rPr>
          <w:sz w:val="20"/>
          <w:szCs w:val="20"/>
        </w:rPr>
        <w:t>3</w:t>
      </w:r>
      <w:r w:rsidR="00AB1D79" w:rsidRPr="006B754C">
        <w:rPr>
          <w:bCs/>
          <w:szCs w:val="22"/>
        </w:rPr>
        <w:t xml:space="preserve"> </w:t>
      </w:r>
      <w:r w:rsidR="00FC56D7" w:rsidRPr="006B754C">
        <w:rPr>
          <w:bCs/>
          <w:szCs w:val="22"/>
        </w:rPr>
        <w:t>is</w:t>
      </w:r>
      <w:r w:rsidR="00CF4FC4" w:rsidRPr="006B754C">
        <w:rPr>
          <w:bCs/>
          <w:szCs w:val="22"/>
        </w:rPr>
        <w:t xml:space="preserve"> as follow</w:t>
      </w:r>
      <w:r w:rsidR="00666253" w:rsidRPr="006B754C">
        <w:rPr>
          <w:bCs/>
          <w:szCs w:val="22"/>
        </w:rPr>
        <w:t>s</w:t>
      </w:r>
      <w:r w:rsidR="00CF4FC4" w:rsidRPr="006B754C">
        <w:rPr>
          <w:bCs/>
          <w:szCs w:val="22"/>
        </w:rPr>
        <w:t xml:space="preserve">. </w:t>
      </w:r>
      <w:r w:rsidR="00720B54" w:rsidRPr="006B754C">
        <w:rPr>
          <w:bCs/>
          <w:szCs w:val="22"/>
        </w:rPr>
        <w:t xml:space="preserve">Equation.10.a </w:t>
      </w:r>
      <w:r w:rsidR="00FC56D7" w:rsidRPr="006B754C">
        <w:rPr>
          <w:bCs/>
          <w:szCs w:val="22"/>
        </w:rPr>
        <w:t>reflects the regression between one-year-ahead raw return and current operating profitability (ratio of operating income to lagged NOA). The coefficients on RNOA is negative and significant (</w:t>
      </w:r>
      <w:r w:rsidR="00B21D7F" w:rsidRPr="007D75D2">
        <w:rPr>
          <w:bCs/>
          <w:szCs w:val="22"/>
        </w:rPr>
        <w:t>-0.418</w:t>
      </w:r>
      <w:r w:rsidR="00637C2C" w:rsidRPr="006B754C">
        <w:rPr>
          <w:bCs/>
          <w:szCs w:val="22"/>
        </w:rPr>
        <w:t>, t-statistic=</w:t>
      </w:r>
      <w:r w:rsidR="00B21D7F" w:rsidRPr="007D75D2">
        <w:rPr>
          <w:bCs/>
          <w:szCs w:val="22"/>
        </w:rPr>
        <w:t>-3.300</w:t>
      </w:r>
      <w:r w:rsidR="00637C2C" w:rsidRPr="006B754C">
        <w:rPr>
          <w:bCs/>
          <w:szCs w:val="22"/>
        </w:rPr>
        <w:t>,</w:t>
      </w:r>
      <w:r w:rsidR="00FC56D7" w:rsidRPr="006B754C">
        <w:rPr>
          <w:bCs/>
          <w:szCs w:val="22"/>
        </w:rPr>
        <w:t xml:space="preserve"> p-value=</w:t>
      </w:r>
      <w:r w:rsidR="00B21D7F" w:rsidRPr="007D75D2">
        <w:rPr>
          <w:bCs/>
          <w:szCs w:val="22"/>
        </w:rPr>
        <w:t>0.003</w:t>
      </w:r>
      <w:r w:rsidR="00637C2C" w:rsidRPr="006B754C">
        <w:rPr>
          <w:bCs/>
          <w:szCs w:val="22"/>
        </w:rPr>
        <w:t>, i.e., 0.01&lt;p&lt;0.05</w:t>
      </w:r>
      <w:r w:rsidR="00FC56D7" w:rsidRPr="006B754C">
        <w:rPr>
          <w:bCs/>
          <w:szCs w:val="22"/>
        </w:rPr>
        <w:t xml:space="preserve">), which shows that the current operating profitability can be regarded as a significant dependent variable in terms of stock return and should be taken into account when examining the regressions between stock return and other variables. </w:t>
      </w:r>
      <w:r w:rsidR="003B6F21" w:rsidRPr="006B754C">
        <w:rPr>
          <w:bCs/>
          <w:szCs w:val="22"/>
        </w:rPr>
        <w:t xml:space="preserve">The Adj R-squared of the model is </w:t>
      </w:r>
      <w:r w:rsidR="0076347E" w:rsidRPr="007D75D2">
        <w:rPr>
          <w:bCs/>
          <w:szCs w:val="22"/>
        </w:rPr>
        <w:t>0.275</w:t>
      </w:r>
      <w:r w:rsidR="00666253" w:rsidRPr="006B754C">
        <w:rPr>
          <w:bCs/>
          <w:szCs w:val="22"/>
        </w:rPr>
        <w:t>,</w:t>
      </w:r>
      <w:r w:rsidR="003B6F21" w:rsidRPr="006B754C">
        <w:rPr>
          <w:bCs/>
          <w:szCs w:val="22"/>
        </w:rPr>
        <w:t xml:space="preserve"> however it is acceptable as this is cross-sectional and the number of obs</w:t>
      </w:r>
      <w:r w:rsidR="004C60DE">
        <w:rPr>
          <w:bCs/>
          <w:szCs w:val="22"/>
        </w:rPr>
        <w:t>ervation</w:t>
      </w:r>
      <w:r w:rsidR="003B6F21" w:rsidRPr="006B754C">
        <w:rPr>
          <w:bCs/>
          <w:szCs w:val="22"/>
        </w:rPr>
        <w:t xml:space="preserve"> is considerable.</w:t>
      </w:r>
      <w:r w:rsidR="003B6F21" w:rsidRPr="00905ACC">
        <w:rPr>
          <w:szCs w:val="22"/>
        </w:rPr>
        <w:t xml:space="preserve"> </w:t>
      </w:r>
    </w:p>
    <w:p w:rsidR="00F10A05" w:rsidRPr="00905ACC" w:rsidRDefault="002762F8">
      <w:pPr>
        <w:ind w:firstLineChars="200" w:firstLine="440"/>
        <w:contextualSpacing/>
        <w:rPr>
          <w:szCs w:val="22"/>
        </w:rPr>
      </w:pPr>
      <w:r w:rsidRPr="002762F8">
        <w:rPr>
          <w:bCs/>
          <w:szCs w:val="22"/>
        </w:rPr>
        <w:t>Equation.10.</w:t>
      </w:r>
      <w:r>
        <w:rPr>
          <w:bCs/>
          <w:szCs w:val="22"/>
        </w:rPr>
        <w:t>b</w:t>
      </w:r>
      <w:r w:rsidRPr="00905ACC">
        <w:rPr>
          <w:szCs w:val="22"/>
        </w:rPr>
        <w:t xml:space="preserve"> </w:t>
      </w:r>
      <w:r w:rsidR="00B00E92" w:rsidRPr="00905ACC">
        <w:rPr>
          <w:szCs w:val="22"/>
        </w:rPr>
        <w:t xml:space="preserve">reflects the regression between stock return and both lagged stock return and RNOA. </w:t>
      </w:r>
      <w:r w:rsidR="00870AED" w:rsidRPr="00905ACC">
        <w:rPr>
          <w:szCs w:val="22"/>
        </w:rPr>
        <w:t xml:space="preserve">In addition, consistent with the result of </w:t>
      </w:r>
      <w:r w:rsidR="00720B54">
        <w:rPr>
          <w:bCs/>
          <w:i/>
          <w:iCs/>
          <w:szCs w:val="22"/>
        </w:rPr>
        <w:t>Equation.</w:t>
      </w:r>
      <w:r w:rsidR="00720B54" w:rsidRPr="00F37821">
        <w:rPr>
          <w:bCs/>
          <w:i/>
          <w:iCs/>
          <w:szCs w:val="22"/>
        </w:rPr>
        <w:t>10.a</w:t>
      </w:r>
      <w:r w:rsidR="00870AED" w:rsidRPr="00905ACC">
        <w:rPr>
          <w:szCs w:val="22"/>
        </w:rPr>
        <w:t xml:space="preserve">, the coefficients on RNOA also appear negative and significant </w:t>
      </w:r>
      <w:r w:rsidR="0076347E" w:rsidRPr="00905ACC">
        <w:rPr>
          <w:szCs w:val="22"/>
        </w:rPr>
        <w:t>(</w:t>
      </w:r>
      <w:r w:rsidR="0076347E" w:rsidRPr="00EE5364">
        <w:rPr>
          <w:szCs w:val="22"/>
        </w:rPr>
        <w:t>-0.423</w:t>
      </w:r>
      <w:r w:rsidR="0076347E" w:rsidRPr="00905ACC">
        <w:rPr>
          <w:szCs w:val="22"/>
        </w:rPr>
        <w:t xml:space="preserve">, t-statistic= </w:t>
      </w:r>
      <w:r w:rsidR="0076347E" w:rsidRPr="00EE5364">
        <w:rPr>
          <w:szCs w:val="22"/>
        </w:rPr>
        <w:t>-3.480</w:t>
      </w:r>
      <w:r w:rsidR="0076347E" w:rsidRPr="00905ACC">
        <w:rPr>
          <w:szCs w:val="22"/>
        </w:rPr>
        <w:t>, p-value=</w:t>
      </w:r>
      <w:r w:rsidR="0076347E" w:rsidRPr="00EE5364">
        <w:rPr>
          <w:szCs w:val="22"/>
        </w:rPr>
        <w:t>0.002</w:t>
      </w:r>
      <w:r w:rsidR="0076347E" w:rsidRPr="00905ACC">
        <w:rPr>
          <w:szCs w:val="22"/>
        </w:rPr>
        <w:t>i.e., p&lt;0.1),</w:t>
      </w:r>
      <w:r w:rsidR="00870AED" w:rsidRPr="00905ACC">
        <w:rPr>
          <w:szCs w:val="22"/>
        </w:rPr>
        <w:t xml:space="preserve"> </w:t>
      </w:r>
      <w:r w:rsidR="000C3543" w:rsidRPr="00905ACC">
        <w:rPr>
          <w:szCs w:val="22"/>
        </w:rPr>
        <w:t xml:space="preserve">which further proves </w:t>
      </w:r>
      <w:r w:rsidR="002C029F" w:rsidRPr="00905ACC">
        <w:rPr>
          <w:szCs w:val="22"/>
        </w:rPr>
        <w:t>that it is necessary to consider</w:t>
      </w:r>
      <w:r w:rsidR="00870AED" w:rsidRPr="00905ACC">
        <w:rPr>
          <w:szCs w:val="22"/>
        </w:rPr>
        <w:t xml:space="preserve"> </w:t>
      </w:r>
      <w:r w:rsidR="002C029F" w:rsidRPr="00905ACC">
        <w:rPr>
          <w:szCs w:val="22"/>
        </w:rPr>
        <w:t xml:space="preserve">current operating profitability when examining the potential factors that influence future returns. </w:t>
      </w:r>
      <w:r w:rsidR="00AD0DA7" w:rsidRPr="00905ACC">
        <w:rPr>
          <w:szCs w:val="22"/>
        </w:rPr>
        <w:t xml:space="preserve">The Adj R-squared for the equation is </w:t>
      </w:r>
      <w:r w:rsidR="0076347E" w:rsidRPr="007D75D2">
        <w:rPr>
          <w:szCs w:val="22"/>
        </w:rPr>
        <w:t>0.334</w:t>
      </w:r>
      <w:r w:rsidR="00AD0DA7" w:rsidRPr="00905ACC">
        <w:rPr>
          <w:szCs w:val="22"/>
        </w:rPr>
        <w:t xml:space="preserve">, </w:t>
      </w:r>
      <w:r w:rsidR="00D80985" w:rsidRPr="00905ACC">
        <w:rPr>
          <w:szCs w:val="22"/>
        </w:rPr>
        <w:t xml:space="preserve">which indicates that </w:t>
      </w:r>
      <w:r w:rsidR="009405CF" w:rsidRPr="00905ACC">
        <w:rPr>
          <w:szCs w:val="22"/>
        </w:rPr>
        <w:t>the model fits the financial data</w:t>
      </w:r>
      <w:r w:rsidR="00666253">
        <w:rPr>
          <w:szCs w:val="22"/>
        </w:rPr>
        <w:t xml:space="preserve"> well</w:t>
      </w:r>
      <w:r w:rsidR="009405CF" w:rsidRPr="00905ACC">
        <w:rPr>
          <w:szCs w:val="22"/>
        </w:rPr>
        <w:t xml:space="preserve">. </w:t>
      </w:r>
    </w:p>
    <w:p w:rsidR="00752B8C" w:rsidRPr="00905ACC" w:rsidRDefault="00F10A05">
      <w:pPr>
        <w:ind w:firstLineChars="200" w:firstLine="440"/>
        <w:contextualSpacing/>
        <w:rPr>
          <w:szCs w:val="22"/>
        </w:rPr>
      </w:pPr>
      <w:r w:rsidRPr="00905ACC">
        <w:rPr>
          <w:szCs w:val="22"/>
        </w:rPr>
        <w:t>Model 3</w:t>
      </w:r>
      <w:r w:rsidR="0066373F" w:rsidRPr="00905ACC">
        <w:rPr>
          <w:szCs w:val="22"/>
        </w:rPr>
        <w:t xml:space="preserve"> </w:t>
      </w:r>
      <w:r w:rsidRPr="00905ACC">
        <w:rPr>
          <w:szCs w:val="22"/>
        </w:rPr>
        <w:t>focus</w:t>
      </w:r>
      <w:r w:rsidR="00666253">
        <w:rPr>
          <w:szCs w:val="22"/>
        </w:rPr>
        <w:t>es</w:t>
      </w:r>
      <w:r w:rsidRPr="00905ACC">
        <w:rPr>
          <w:szCs w:val="22"/>
        </w:rPr>
        <w:t xml:space="preserve"> on the investigation o</w:t>
      </w:r>
      <w:r w:rsidR="00666253">
        <w:rPr>
          <w:szCs w:val="22"/>
        </w:rPr>
        <w:t>f</w:t>
      </w:r>
      <w:r w:rsidRPr="00905ACC">
        <w:rPr>
          <w:szCs w:val="22"/>
        </w:rPr>
        <w:t xml:space="preserve"> the regression between stock return and both</w:t>
      </w:r>
      <w:r w:rsidR="00EB61D5" w:rsidRPr="00905ACC">
        <w:rPr>
          <w:szCs w:val="22"/>
        </w:rPr>
        <w:t xml:space="preserve"> RNOA and accounting distortion, which is the </w:t>
      </w:r>
      <w:r w:rsidR="00420B7A">
        <w:rPr>
          <w:szCs w:val="22"/>
        </w:rPr>
        <w:t>similar to</w:t>
      </w:r>
      <w:r w:rsidR="00EB61D5" w:rsidRPr="00905ACC">
        <w:rPr>
          <w:szCs w:val="22"/>
        </w:rPr>
        <w:t xml:space="preserve"> the </w:t>
      </w:r>
      <w:r w:rsidR="00420B7A" w:rsidRPr="00420B7A">
        <w:rPr>
          <w:bCs/>
          <w:szCs w:val="22"/>
        </w:rPr>
        <w:t>equation</w:t>
      </w:r>
      <w:r w:rsidR="00666253">
        <w:rPr>
          <w:bCs/>
          <w:szCs w:val="22"/>
        </w:rPr>
        <w:t xml:space="preserve"> used</w:t>
      </w:r>
      <w:r w:rsidR="002762F8">
        <w:rPr>
          <w:szCs w:val="22"/>
        </w:rPr>
        <w:t xml:space="preserve"> </w:t>
      </w:r>
      <w:r w:rsidR="00420B7A">
        <w:rPr>
          <w:szCs w:val="22"/>
        </w:rPr>
        <w:t>by</w:t>
      </w:r>
      <w:r w:rsidR="00EB61D5" w:rsidRPr="00905ACC">
        <w:rPr>
          <w:szCs w:val="22"/>
        </w:rPr>
        <w:t xml:space="preserve"> Papanastasopoulos (2015). </w:t>
      </w:r>
      <w:r w:rsidR="00942A3F" w:rsidRPr="00905ACC">
        <w:rPr>
          <w:szCs w:val="22"/>
        </w:rPr>
        <w:t xml:space="preserve">As can be seen from the regression result, the coefficient value of RNOA is consistent with </w:t>
      </w:r>
      <w:r w:rsidR="00720B54">
        <w:rPr>
          <w:bCs/>
          <w:i/>
          <w:iCs/>
          <w:szCs w:val="22"/>
        </w:rPr>
        <w:t>Equation.</w:t>
      </w:r>
      <w:r w:rsidR="00720B54" w:rsidRPr="00F37821">
        <w:rPr>
          <w:bCs/>
          <w:i/>
          <w:iCs/>
          <w:szCs w:val="22"/>
        </w:rPr>
        <w:t>10.a</w:t>
      </w:r>
      <w:r w:rsidR="00720B54" w:rsidRPr="00905ACC">
        <w:rPr>
          <w:szCs w:val="22"/>
        </w:rPr>
        <w:t xml:space="preserve"> </w:t>
      </w:r>
      <w:r w:rsidR="00942A3F" w:rsidRPr="00905ACC">
        <w:rPr>
          <w:szCs w:val="22"/>
        </w:rPr>
        <w:t xml:space="preserve">and </w:t>
      </w:r>
      <w:r w:rsidR="002762F8">
        <w:rPr>
          <w:bCs/>
          <w:i/>
          <w:iCs/>
          <w:szCs w:val="22"/>
        </w:rPr>
        <w:t>Equation.</w:t>
      </w:r>
      <w:r w:rsidR="002762F8" w:rsidRPr="00F37821">
        <w:rPr>
          <w:bCs/>
          <w:i/>
          <w:iCs/>
          <w:szCs w:val="22"/>
        </w:rPr>
        <w:t>10.</w:t>
      </w:r>
      <w:r w:rsidR="002762F8">
        <w:rPr>
          <w:bCs/>
          <w:i/>
          <w:iCs/>
          <w:szCs w:val="22"/>
        </w:rPr>
        <w:t>b</w:t>
      </w:r>
      <w:r w:rsidR="002762F8" w:rsidRPr="00905ACC">
        <w:rPr>
          <w:szCs w:val="22"/>
        </w:rPr>
        <w:t xml:space="preserve"> </w:t>
      </w:r>
      <w:r w:rsidR="00942A3F" w:rsidRPr="00905ACC">
        <w:rPr>
          <w:szCs w:val="22"/>
        </w:rPr>
        <w:t>and is</w:t>
      </w:r>
      <w:r w:rsidRPr="00905ACC">
        <w:rPr>
          <w:szCs w:val="22"/>
        </w:rPr>
        <w:t xml:space="preserve"> </w:t>
      </w:r>
      <w:r w:rsidR="00942A3F" w:rsidRPr="00905ACC">
        <w:rPr>
          <w:szCs w:val="22"/>
        </w:rPr>
        <w:t xml:space="preserve">significant and </w:t>
      </w:r>
      <w:r w:rsidR="009D11EA" w:rsidRPr="00905ACC">
        <w:rPr>
          <w:szCs w:val="22"/>
        </w:rPr>
        <w:t>negative</w:t>
      </w:r>
      <w:r w:rsidR="00942A3F" w:rsidRPr="00905ACC">
        <w:rPr>
          <w:szCs w:val="22"/>
        </w:rPr>
        <w:t xml:space="preserve"> (</w:t>
      </w:r>
      <w:r w:rsidR="0076347E" w:rsidRPr="00B773B5">
        <w:rPr>
          <w:rFonts w:asciiTheme="majorBidi" w:eastAsia="Times New Roman" w:hAnsiTheme="majorBidi" w:cstheme="majorBidi"/>
          <w:kern w:val="0"/>
          <w:sz w:val="20"/>
          <w:szCs w:val="20"/>
          <w:lang w:val="en-GB" w:eastAsia="en-GB"/>
        </w:rPr>
        <w:t>-</w:t>
      </w:r>
      <w:r w:rsidR="0076347E" w:rsidRPr="007D75D2">
        <w:rPr>
          <w:szCs w:val="22"/>
        </w:rPr>
        <w:t>0.408</w:t>
      </w:r>
      <w:r w:rsidR="00942A3F" w:rsidRPr="00905ACC">
        <w:rPr>
          <w:szCs w:val="22"/>
        </w:rPr>
        <w:t xml:space="preserve">, t-statistic= </w:t>
      </w:r>
      <w:r w:rsidR="0076347E" w:rsidRPr="007D75D2">
        <w:rPr>
          <w:szCs w:val="22"/>
        </w:rPr>
        <w:t>-3.150</w:t>
      </w:r>
      <w:r w:rsidR="00942A3F" w:rsidRPr="00905ACC">
        <w:rPr>
          <w:szCs w:val="22"/>
        </w:rPr>
        <w:t>, p-value=</w:t>
      </w:r>
      <w:r w:rsidR="0076347E" w:rsidRPr="007D75D2">
        <w:rPr>
          <w:szCs w:val="22"/>
        </w:rPr>
        <w:t>0.004</w:t>
      </w:r>
      <w:r w:rsidR="00942A3F" w:rsidRPr="00905ACC">
        <w:rPr>
          <w:szCs w:val="22"/>
        </w:rPr>
        <w:t>i.e., p&lt;0.</w:t>
      </w:r>
      <w:r w:rsidR="00BC3BFA" w:rsidRPr="00905ACC">
        <w:rPr>
          <w:szCs w:val="22"/>
        </w:rPr>
        <w:t>01</w:t>
      </w:r>
      <w:r w:rsidR="00942A3F" w:rsidRPr="00905ACC">
        <w:rPr>
          <w:szCs w:val="22"/>
        </w:rPr>
        <w:t xml:space="preserve">). In terms of the coefficient of accounting distortion, </w:t>
      </w:r>
      <w:r w:rsidR="00666253">
        <w:rPr>
          <w:szCs w:val="22"/>
        </w:rPr>
        <w:t>the</w:t>
      </w:r>
      <w:r w:rsidR="00666253" w:rsidRPr="00905ACC">
        <w:rPr>
          <w:szCs w:val="22"/>
        </w:rPr>
        <w:t xml:space="preserve"> </w:t>
      </w:r>
      <w:r w:rsidR="00BC3BFA" w:rsidRPr="00905ACC">
        <w:rPr>
          <w:szCs w:val="22"/>
        </w:rPr>
        <w:t>result i</w:t>
      </w:r>
      <w:r w:rsidR="00666253">
        <w:rPr>
          <w:szCs w:val="22"/>
        </w:rPr>
        <w:t>s</w:t>
      </w:r>
      <w:r w:rsidR="00BC3BFA" w:rsidRPr="00905ACC">
        <w:rPr>
          <w:szCs w:val="22"/>
        </w:rPr>
        <w:t xml:space="preserve"> insignificant and positive (</w:t>
      </w:r>
      <w:r w:rsidR="0076347E" w:rsidRPr="007D75D2">
        <w:rPr>
          <w:szCs w:val="22"/>
        </w:rPr>
        <w:t>0.793</w:t>
      </w:r>
      <w:r w:rsidR="00BC3BFA" w:rsidRPr="00905ACC">
        <w:rPr>
          <w:szCs w:val="22"/>
        </w:rPr>
        <w:t>,</w:t>
      </w:r>
      <w:r w:rsidR="00942A3F" w:rsidRPr="00905ACC">
        <w:rPr>
          <w:szCs w:val="22"/>
        </w:rPr>
        <w:t xml:space="preserve"> </w:t>
      </w:r>
      <w:r w:rsidR="00BC3BFA" w:rsidRPr="00905ACC">
        <w:rPr>
          <w:szCs w:val="22"/>
        </w:rPr>
        <w:t>t-statistic=</w:t>
      </w:r>
      <w:r w:rsidR="0076347E" w:rsidRPr="007D75D2">
        <w:rPr>
          <w:szCs w:val="22"/>
        </w:rPr>
        <w:t>0.610</w:t>
      </w:r>
      <w:r w:rsidR="00BC3BFA" w:rsidRPr="00905ACC">
        <w:rPr>
          <w:szCs w:val="22"/>
        </w:rPr>
        <w:t>, p-value=</w:t>
      </w:r>
      <w:r w:rsidR="0076347E" w:rsidRPr="007D75D2">
        <w:rPr>
          <w:szCs w:val="22"/>
        </w:rPr>
        <w:t>0.55</w:t>
      </w:r>
      <w:r w:rsidR="00BC3BFA" w:rsidRPr="00905ACC">
        <w:rPr>
          <w:szCs w:val="22"/>
        </w:rPr>
        <w:t xml:space="preserve">i.e., p&gt;0.05), </w:t>
      </w:r>
      <w:r w:rsidR="00795440" w:rsidRPr="00905ACC">
        <w:rPr>
          <w:szCs w:val="22"/>
        </w:rPr>
        <w:t xml:space="preserve">which suggests that </w:t>
      </w:r>
      <w:r w:rsidR="00752B8C" w:rsidRPr="00905ACC">
        <w:rPr>
          <w:szCs w:val="22"/>
        </w:rPr>
        <w:t xml:space="preserve">the independent </w:t>
      </w:r>
      <w:r w:rsidR="00795440" w:rsidRPr="00905ACC">
        <w:rPr>
          <w:szCs w:val="22"/>
        </w:rPr>
        <w:t>variable of AD in the e</w:t>
      </w:r>
      <w:r w:rsidR="00752B8C" w:rsidRPr="00905ACC">
        <w:rPr>
          <w:szCs w:val="22"/>
        </w:rPr>
        <w:t xml:space="preserve">quation should be regarded as inefficient in predicting returns. </w:t>
      </w:r>
      <w:r w:rsidR="00666253">
        <w:rPr>
          <w:szCs w:val="22"/>
        </w:rPr>
        <w:t>T</w:t>
      </w:r>
      <w:r w:rsidR="005424EA" w:rsidRPr="00905ACC">
        <w:rPr>
          <w:szCs w:val="22"/>
        </w:rPr>
        <w:t xml:space="preserve">he </w:t>
      </w:r>
      <w:r w:rsidR="00D7493E" w:rsidRPr="00905ACC">
        <w:rPr>
          <w:szCs w:val="22"/>
        </w:rPr>
        <w:t xml:space="preserve">value of </w:t>
      </w:r>
      <w:r w:rsidR="005424EA" w:rsidRPr="00905ACC">
        <w:rPr>
          <w:szCs w:val="22"/>
        </w:rPr>
        <w:t>Adj R-squared for this</w:t>
      </w:r>
      <w:r w:rsidR="00551C20" w:rsidRPr="00905ACC">
        <w:rPr>
          <w:szCs w:val="22"/>
        </w:rPr>
        <w:t xml:space="preserve"> equation is </w:t>
      </w:r>
      <w:r w:rsidR="00D7493E" w:rsidRPr="00905ACC">
        <w:rPr>
          <w:szCs w:val="22"/>
        </w:rPr>
        <w:t>also optimistic (</w:t>
      </w:r>
      <w:r w:rsidR="0076347E" w:rsidRPr="007D75D2">
        <w:rPr>
          <w:szCs w:val="22"/>
        </w:rPr>
        <w:t>0.256</w:t>
      </w:r>
      <w:r w:rsidR="00D7493E" w:rsidRPr="00905ACC">
        <w:rPr>
          <w:szCs w:val="22"/>
        </w:rPr>
        <w:t>).</w:t>
      </w:r>
      <w:r w:rsidR="00551C20" w:rsidRPr="00905ACC">
        <w:rPr>
          <w:szCs w:val="22"/>
        </w:rPr>
        <w:t xml:space="preserve"> </w:t>
      </w:r>
      <w:r w:rsidR="00752B8C" w:rsidRPr="00905ACC">
        <w:rPr>
          <w:szCs w:val="22"/>
        </w:rPr>
        <w:t xml:space="preserve">The regression results of accounting distortion are contrary to the findings of </w:t>
      </w:r>
      <w:r w:rsidR="00420B7A">
        <w:rPr>
          <w:szCs w:val="22"/>
        </w:rPr>
        <w:t>his study</w:t>
      </w:r>
      <w:r w:rsidR="00752B8C" w:rsidRPr="00905ACC">
        <w:rPr>
          <w:szCs w:val="22"/>
        </w:rPr>
        <w:t xml:space="preserve">. </w:t>
      </w:r>
      <w:r w:rsidR="002F5FC0" w:rsidRPr="00905ACC">
        <w:rPr>
          <w:szCs w:val="22"/>
        </w:rPr>
        <w:t xml:space="preserve">There are two </w:t>
      </w:r>
      <w:r w:rsidR="00666253">
        <w:rPr>
          <w:szCs w:val="22"/>
        </w:rPr>
        <w:t>differences</w:t>
      </w:r>
      <w:r w:rsidR="00666253" w:rsidRPr="00905ACC">
        <w:rPr>
          <w:szCs w:val="22"/>
        </w:rPr>
        <w:t xml:space="preserve"> </w:t>
      </w:r>
      <w:r w:rsidR="002F5FC0" w:rsidRPr="00905ACC">
        <w:rPr>
          <w:szCs w:val="22"/>
        </w:rPr>
        <w:t xml:space="preserve">between </w:t>
      </w:r>
      <w:r w:rsidR="00666253">
        <w:rPr>
          <w:szCs w:val="22"/>
        </w:rPr>
        <w:t xml:space="preserve">the </w:t>
      </w:r>
      <w:r w:rsidR="002F5FC0" w:rsidRPr="00905ACC">
        <w:rPr>
          <w:szCs w:val="22"/>
        </w:rPr>
        <w:t xml:space="preserve">current </w:t>
      </w:r>
      <w:r w:rsidR="00666253">
        <w:rPr>
          <w:szCs w:val="22"/>
        </w:rPr>
        <w:t>study</w:t>
      </w:r>
      <w:r w:rsidR="00666253" w:rsidRPr="00905ACC">
        <w:rPr>
          <w:szCs w:val="22"/>
        </w:rPr>
        <w:t xml:space="preserve"> </w:t>
      </w:r>
      <w:r w:rsidR="002F5FC0" w:rsidRPr="00905ACC">
        <w:rPr>
          <w:szCs w:val="22"/>
        </w:rPr>
        <w:t xml:space="preserve">and </w:t>
      </w:r>
      <w:r w:rsidR="00420B7A">
        <w:rPr>
          <w:szCs w:val="22"/>
        </w:rPr>
        <w:t xml:space="preserve">his </w:t>
      </w:r>
      <w:r w:rsidR="00420B7A" w:rsidRPr="00905ACC">
        <w:rPr>
          <w:szCs w:val="22"/>
        </w:rPr>
        <w:t>approach</w:t>
      </w:r>
      <w:r w:rsidR="002F5FC0" w:rsidRPr="00905ACC">
        <w:rPr>
          <w:szCs w:val="22"/>
        </w:rPr>
        <w:t xml:space="preserve">. First, </w:t>
      </w:r>
      <w:r w:rsidR="00420B7A">
        <w:rPr>
          <w:szCs w:val="22"/>
        </w:rPr>
        <w:t>he</w:t>
      </w:r>
      <w:r w:rsidR="002F5FC0" w:rsidRPr="00905ACC">
        <w:rPr>
          <w:szCs w:val="22"/>
        </w:rPr>
        <w:t xml:space="preserve"> examines </w:t>
      </w:r>
      <w:r w:rsidR="00CE6ED4" w:rsidRPr="00905ACC">
        <w:rPr>
          <w:szCs w:val="22"/>
        </w:rPr>
        <w:t xml:space="preserve">cross-sectional </w:t>
      </w:r>
      <w:r w:rsidR="002F5FC0" w:rsidRPr="00905ACC">
        <w:rPr>
          <w:szCs w:val="22"/>
        </w:rPr>
        <w:t>regression over the period 1980-2009 while</w:t>
      </w:r>
      <w:r w:rsidR="00666253">
        <w:rPr>
          <w:szCs w:val="22"/>
        </w:rPr>
        <w:t xml:space="preserve"> the</w:t>
      </w:r>
      <w:r w:rsidR="002F5FC0" w:rsidRPr="00905ACC">
        <w:rPr>
          <w:szCs w:val="22"/>
        </w:rPr>
        <w:t xml:space="preserve"> current study investigate</w:t>
      </w:r>
      <w:r w:rsidR="00CE6ED4" w:rsidRPr="00905ACC">
        <w:rPr>
          <w:szCs w:val="22"/>
        </w:rPr>
        <w:t>s</w:t>
      </w:r>
      <w:r w:rsidR="002F5FC0" w:rsidRPr="00905ACC">
        <w:rPr>
          <w:szCs w:val="22"/>
        </w:rPr>
        <w:t xml:space="preserve"> the period 2002-2009, which shows the difference of magnitude </w:t>
      </w:r>
      <w:r w:rsidR="00CE6ED4" w:rsidRPr="00905ACC">
        <w:rPr>
          <w:szCs w:val="22"/>
        </w:rPr>
        <w:t xml:space="preserve">and time period </w:t>
      </w:r>
      <w:r w:rsidR="002F5FC0" w:rsidRPr="00905ACC">
        <w:rPr>
          <w:szCs w:val="22"/>
        </w:rPr>
        <w:t xml:space="preserve">of observations. Second, the measurement of one-year-ahead stock return in </w:t>
      </w:r>
      <w:r w:rsidR="00666253">
        <w:rPr>
          <w:szCs w:val="22"/>
        </w:rPr>
        <w:t xml:space="preserve">the </w:t>
      </w:r>
      <w:r w:rsidR="002F5FC0" w:rsidRPr="00905ACC">
        <w:rPr>
          <w:szCs w:val="22"/>
        </w:rPr>
        <w:t xml:space="preserve">current study is also different </w:t>
      </w:r>
      <w:r w:rsidR="00666253">
        <w:rPr>
          <w:szCs w:val="22"/>
        </w:rPr>
        <w:t>from</w:t>
      </w:r>
      <w:r w:rsidR="00666253" w:rsidRPr="00905ACC">
        <w:rPr>
          <w:szCs w:val="22"/>
        </w:rPr>
        <w:t xml:space="preserve"> </w:t>
      </w:r>
      <w:r w:rsidR="00420B7A">
        <w:rPr>
          <w:szCs w:val="22"/>
        </w:rPr>
        <w:t>his</w:t>
      </w:r>
      <w:r w:rsidR="002F5FC0" w:rsidRPr="00905ACC">
        <w:rPr>
          <w:szCs w:val="22"/>
        </w:rPr>
        <w:t xml:space="preserve"> </w:t>
      </w:r>
      <w:r w:rsidR="00666253">
        <w:rPr>
          <w:szCs w:val="22"/>
        </w:rPr>
        <w:t>study</w:t>
      </w:r>
      <w:r w:rsidR="002F5FC0" w:rsidRPr="00905ACC">
        <w:rPr>
          <w:szCs w:val="22"/>
        </w:rPr>
        <w:t xml:space="preserve">. Papanastasopoulos (2015) measures returns as the difference between </w:t>
      </w:r>
      <w:r w:rsidR="00CC6DA1" w:rsidRPr="00905ACC">
        <w:rPr>
          <w:szCs w:val="22"/>
        </w:rPr>
        <w:t>compounded</w:t>
      </w:r>
      <w:r w:rsidR="00CE6ED4" w:rsidRPr="00905ACC">
        <w:rPr>
          <w:szCs w:val="22"/>
        </w:rPr>
        <w:t xml:space="preserve"> </w:t>
      </w:r>
      <w:r w:rsidR="00CC6DA1" w:rsidRPr="00905ACC">
        <w:rPr>
          <w:szCs w:val="22"/>
        </w:rPr>
        <w:t>12-monthly</w:t>
      </w:r>
      <w:r w:rsidR="002F5FC0" w:rsidRPr="00905ACC">
        <w:rPr>
          <w:szCs w:val="22"/>
        </w:rPr>
        <w:t xml:space="preserve"> raw return and the matching return of the benchmark portfolio </w:t>
      </w:r>
      <w:r w:rsidR="00CC6DA1" w:rsidRPr="00905ACC">
        <w:rPr>
          <w:szCs w:val="22"/>
        </w:rPr>
        <w:t>that the company belongs to while</w:t>
      </w:r>
      <w:r w:rsidR="00666253">
        <w:rPr>
          <w:szCs w:val="22"/>
        </w:rPr>
        <w:t xml:space="preserve"> the</w:t>
      </w:r>
      <w:r w:rsidR="00CC6DA1" w:rsidRPr="00905ACC">
        <w:rPr>
          <w:szCs w:val="22"/>
        </w:rPr>
        <w:t xml:space="preserve"> current study uses the annual raw returns to measure the dependent variable.</w:t>
      </w:r>
      <w:r w:rsidR="00CE6ED4" w:rsidRPr="00905ACC">
        <w:rPr>
          <w:szCs w:val="22"/>
        </w:rPr>
        <w:t xml:space="preserve"> As a result, the difference of the measurement</w:t>
      </w:r>
      <w:r w:rsidR="00666253">
        <w:rPr>
          <w:szCs w:val="22"/>
        </w:rPr>
        <w:t xml:space="preserve"> method</w:t>
      </w:r>
      <w:r w:rsidR="00CE6ED4" w:rsidRPr="00905ACC">
        <w:rPr>
          <w:szCs w:val="22"/>
        </w:rPr>
        <w:t xml:space="preserve"> may cause </w:t>
      </w:r>
      <w:r w:rsidR="00BC4984" w:rsidRPr="00905ACC">
        <w:rPr>
          <w:szCs w:val="22"/>
        </w:rPr>
        <w:t>deviation and</w:t>
      </w:r>
      <w:r w:rsidR="00A6743C" w:rsidRPr="00905ACC">
        <w:rPr>
          <w:szCs w:val="22"/>
        </w:rPr>
        <w:t xml:space="preserve"> different result</w:t>
      </w:r>
      <w:r w:rsidR="00BC4984" w:rsidRPr="00905ACC">
        <w:rPr>
          <w:szCs w:val="22"/>
        </w:rPr>
        <w:t>s. However, regression result</w:t>
      </w:r>
      <w:r w:rsidR="00666253">
        <w:rPr>
          <w:szCs w:val="22"/>
        </w:rPr>
        <w:t>s</w:t>
      </w:r>
      <w:r w:rsidR="00BC4984" w:rsidRPr="00905ACC">
        <w:rPr>
          <w:szCs w:val="22"/>
        </w:rPr>
        <w:t xml:space="preserve"> from</w:t>
      </w:r>
      <w:r w:rsidR="00A6743C" w:rsidRPr="00905ACC">
        <w:rPr>
          <w:szCs w:val="22"/>
        </w:rPr>
        <w:t xml:space="preserve"> </w:t>
      </w:r>
      <w:r w:rsidR="00666253">
        <w:rPr>
          <w:szCs w:val="22"/>
        </w:rPr>
        <w:t xml:space="preserve">the </w:t>
      </w:r>
      <w:r w:rsidR="00A6743C" w:rsidRPr="00905ACC">
        <w:rPr>
          <w:szCs w:val="22"/>
        </w:rPr>
        <w:t xml:space="preserve">current </w:t>
      </w:r>
      <w:r w:rsidR="00BC4984" w:rsidRPr="00905ACC">
        <w:rPr>
          <w:szCs w:val="22"/>
        </w:rPr>
        <w:t xml:space="preserve">study </w:t>
      </w:r>
      <w:r w:rsidR="00A6743C" w:rsidRPr="00905ACC">
        <w:rPr>
          <w:szCs w:val="22"/>
        </w:rPr>
        <w:t xml:space="preserve">suggest that accounting distortion in this case </w:t>
      </w:r>
      <w:r w:rsidR="00444BF0" w:rsidRPr="00905ACC">
        <w:rPr>
          <w:szCs w:val="22"/>
        </w:rPr>
        <w:t>cannot</w:t>
      </w:r>
      <w:r w:rsidR="00A6743C" w:rsidRPr="00905ACC">
        <w:rPr>
          <w:szCs w:val="22"/>
        </w:rPr>
        <w:t xml:space="preserve"> be concluded </w:t>
      </w:r>
      <w:r w:rsidR="00666253">
        <w:rPr>
          <w:szCs w:val="22"/>
        </w:rPr>
        <w:t>to be</w:t>
      </w:r>
      <w:r w:rsidR="00666253" w:rsidRPr="00905ACC">
        <w:rPr>
          <w:szCs w:val="22"/>
        </w:rPr>
        <w:t xml:space="preserve"> </w:t>
      </w:r>
      <w:r w:rsidR="00A6743C" w:rsidRPr="00905ACC">
        <w:rPr>
          <w:szCs w:val="22"/>
        </w:rPr>
        <w:t xml:space="preserve">an important indicator of future stock return. </w:t>
      </w:r>
    </w:p>
    <w:p w:rsidR="000E0C5F" w:rsidRPr="00D46DB9" w:rsidRDefault="000300D5">
      <w:pPr>
        <w:ind w:firstLineChars="200" w:firstLine="440"/>
        <w:contextualSpacing/>
        <w:rPr>
          <w:szCs w:val="22"/>
        </w:rPr>
      </w:pPr>
      <w:r w:rsidRPr="00905ACC">
        <w:rPr>
          <w:szCs w:val="22"/>
        </w:rPr>
        <w:t>Model 4 shows the regression between stock return and</w:t>
      </w:r>
      <w:r w:rsidR="00251A2C">
        <w:rPr>
          <w:szCs w:val="22"/>
        </w:rPr>
        <w:t xml:space="preserve"> the</w:t>
      </w:r>
      <w:r w:rsidRPr="00905ACC">
        <w:rPr>
          <w:szCs w:val="22"/>
        </w:rPr>
        <w:t xml:space="preserve"> independent variable</w:t>
      </w:r>
      <w:r w:rsidR="00251A2C">
        <w:rPr>
          <w:szCs w:val="22"/>
        </w:rPr>
        <w:t>s</w:t>
      </w:r>
      <w:r w:rsidRPr="00905ACC">
        <w:rPr>
          <w:szCs w:val="22"/>
        </w:rPr>
        <w:t xml:space="preserve"> of RNOA, total accruals. </w:t>
      </w:r>
      <w:r w:rsidR="00275B64" w:rsidRPr="00905ACC">
        <w:rPr>
          <w:szCs w:val="22"/>
        </w:rPr>
        <w:t>It can be regarded</w:t>
      </w:r>
      <w:r w:rsidR="00C94912" w:rsidRPr="00905ACC">
        <w:rPr>
          <w:szCs w:val="22"/>
        </w:rPr>
        <w:t xml:space="preserve"> </w:t>
      </w:r>
      <w:r w:rsidR="00275B64" w:rsidRPr="00905ACC">
        <w:rPr>
          <w:szCs w:val="22"/>
        </w:rPr>
        <w:t xml:space="preserve">as </w:t>
      </w:r>
      <w:r w:rsidR="00C94912" w:rsidRPr="00905ACC">
        <w:rPr>
          <w:szCs w:val="22"/>
        </w:rPr>
        <w:t xml:space="preserve">a further examination of </w:t>
      </w:r>
      <w:r w:rsidR="00363D3C" w:rsidRPr="00905ACC">
        <w:rPr>
          <w:szCs w:val="22"/>
        </w:rPr>
        <w:t xml:space="preserve">the predictability of accounting distortion with a conjecture that if sales growth results </w:t>
      </w:r>
      <w:r w:rsidR="007A30AC">
        <w:rPr>
          <w:szCs w:val="22"/>
        </w:rPr>
        <w:t>are</w:t>
      </w:r>
      <w:r w:rsidR="007A30AC" w:rsidRPr="00905ACC">
        <w:rPr>
          <w:szCs w:val="22"/>
        </w:rPr>
        <w:t xml:space="preserve"> </w:t>
      </w:r>
      <w:r w:rsidR="00363D3C" w:rsidRPr="00905ACC">
        <w:rPr>
          <w:szCs w:val="22"/>
        </w:rPr>
        <w:t xml:space="preserve">inefficient but the coefficients on total accruals are significant, it would suggest that the deviation is driven by the component of accounting distortion. </w:t>
      </w:r>
      <w:r w:rsidR="00584DA0">
        <w:rPr>
          <w:szCs w:val="22"/>
        </w:rPr>
        <w:t>T</w:t>
      </w:r>
      <w:r w:rsidR="00584DA0" w:rsidRPr="00905ACC">
        <w:rPr>
          <w:szCs w:val="22"/>
        </w:rPr>
        <w:t xml:space="preserve">he coefficient </w:t>
      </w:r>
      <w:r w:rsidR="00584DA0">
        <w:rPr>
          <w:szCs w:val="22"/>
        </w:rPr>
        <w:t>of</w:t>
      </w:r>
      <w:r w:rsidR="00584DA0" w:rsidRPr="00905ACC">
        <w:rPr>
          <w:szCs w:val="22"/>
        </w:rPr>
        <w:t xml:space="preserve"> RNOA is consistent with all models above </w:t>
      </w:r>
      <w:r w:rsidR="00584DA0">
        <w:rPr>
          <w:szCs w:val="22"/>
        </w:rPr>
        <w:t>(</w:t>
      </w:r>
      <w:r w:rsidR="00584DA0" w:rsidRPr="007D75D2">
        <w:rPr>
          <w:szCs w:val="22"/>
        </w:rPr>
        <w:t>-3.810</w:t>
      </w:r>
      <w:r w:rsidR="00584DA0" w:rsidRPr="00905ACC">
        <w:rPr>
          <w:szCs w:val="22"/>
        </w:rPr>
        <w:t xml:space="preserve">, t-statistic= </w:t>
      </w:r>
      <w:r w:rsidR="00584DA0" w:rsidRPr="007D75D2">
        <w:rPr>
          <w:szCs w:val="22"/>
        </w:rPr>
        <w:t>-4.440</w:t>
      </w:r>
      <w:r w:rsidR="00584DA0" w:rsidRPr="00905ACC">
        <w:rPr>
          <w:szCs w:val="22"/>
        </w:rPr>
        <w:t>, p-value=</w:t>
      </w:r>
      <w:r w:rsidR="00584DA0" w:rsidRPr="007D75D2">
        <w:rPr>
          <w:szCs w:val="22"/>
        </w:rPr>
        <w:t>0.001</w:t>
      </w:r>
      <w:r w:rsidR="00584DA0" w:rsidRPr="00905ACC">
        <w:rPr>
          <w:szCs w:val="22"/>
        </w:rPr>
        <w:t>i.e., p&lt;0.01), which is again significant and negative.</w:t>
      </w:r>
      <w:r w:rsidR="00AB1F39">
        <w:rPr>
          <w:szCs w:val="22"/>
        </w:rPr>
        <w:t xml:space="preserve"> </w:t>
      </w:r>
      <w:r w:rsidR="00584DA0">
        <w:rPr>
          <w:szCs w:val="22"/>
        </w:rPr>
        <w:t>Also,</w:t>
      </w:r>
      <w:r w:rsidR="00363D3C" w:rsidRPr="00905ACC">
        <w:rPr>
          <w:szCs w:val="22"/>
        </w:rPr>
        <w:t xml:space="preserve"> </w:t>
      </w:r>
      <w:r w:rsidR="000516BA" w:rsidRPr="00905ACC">
        <w:rPr>
          <w:szCs w:val="22"/>
        </w:rPr>
        <w:t>regression outcome</w:t>
      </w:r>
      <w:r w:rsidR="00363D3C" w:rsidRPr="00905ACC">
        <w:rPr>
          <w:szCs w:val="22"/>
        </w:rPr>
        <w:t xml:space="preserve">s of total </w:t>
      </w:r>
      <w:r w:rsidR="00363D3C" w:rsidRPr="00905ACC">
        <w:rPr>
          <w:szCs w:val="22"/>
        </w:rPr>
        <w:lastRenderedPageBreak/>
        <w:t xml:space="preserve">accruals </w:t>
      </w:r>
      <w:r w:rsidR="007A30AC">
        <w:rPr>
          <w:szCs w:val="22"/>
        </w:rPr>
        <w:t>are</w:t>
      </w:r>
      <w:r w:rsidR="007A30AC" w:rsidRPr="00905ACC">
        <w:rPr>
          <w:szCs w:val="22"/>
        </w:rPr>
        <w:t xml:space="preserve"> </w:t>
      </w:r>
      <w:r w:rsidR="00D709C2">
        <w:rPr>
          <w:szCs w:val="22"/>
        </w:rPr>
        <w:t>significant</w:t>
      </w:r>
      <w:r w:rsidR="00363D3C" w:rsidRPr="00905ACC">
        <w:rPr>
          <w:szCs w:val="22"/>
        </w:rPr>
        <w:t xml:space="preserve"> </w:t>
      </w:r>
      <w:r w:rsidR="00584DA0">
        <w:rPr>
          <w:szCs w:val="22"/>
        </w:rPr>
        <w:t>(</w:t>
      </w:r>
      <w:r w:rsidR="00584DA0" w:rsidRPr="007D75D2">
        <w:rPr>
          <w:szCs w:val="22"/>
        </w:rPr>
        <w:t>-0.297</w:t>
      </w:r>
      <w:r w:rsidR="00363D3C" w:rsidRPr="00905ACC">
        <w:rPr>
          <w:szCs w:val="22"/>
        </w:rPr>
        <w:t>, t-statistic=</w:t>
      </w:r>
      <w:r w:rsidR="00584DA0" w:rsidRPr="007D75D2">
        <w:rPr>
          <w:szCs w:val="22"/>
        </w:rPr>
        <w:t>-5.460</w:t>
      </w:r>
      <w:r w:rsidR="00363D3C" w:rsidRPr="00905ACC">
        <w:rPr>
          <w:szCs w:val="22"/>
        </w:rPr>
        <w:t>, p-value=</w:t>
      </w:r>
      <w:r w:rsidR="00584DA0" w:rsidRPr="007D75D2">
        <w:rPr>
          <w:szCs w:val="22"/>
        </w:rPr>
        <w:t>0.002</w:t>
      </w:r>
      <w:r w:rsidR="00363D3C" w:rsidRPr="00905ACC">
        <w:rPr>
          <w:szCs w:val="22"/>
        </w:rPr>
        <w:t>i.e., p&gt;0.05</w:t>
      </w:r>
      <w:r w:rsidR="00584DA0">
        <w:rPr>
          <w:szCs w:val="22"/>
        </w:rPr>
        <w:t>)</w:t>
      </w:r>
      <w:r w:rsidR="00D01AF0" w:rsidRPr="00905ACC">
        <w:rPr>
          <w:szCs w:val="22"/>
        </w:rPr>
        <w:t xml:space="preserve">, which is also </w:t>
      </w:r>
      <w:r w:rsidR="0004576E">
        <w:rPr>
          <w:szCs w:val="22"/>
        </w:rPr>
        <w:t>consistent</w:t>
      </w:r>
      <w:r w:rsidR="00584DA0" w:rsidRPr="00905ACC">
        <w:rPr>
          <w:szCs w:val="22"/>
        </w:rPr>
        <w:t xml:space="preserve"> </w:t>
      </w:r>
      <w:r w:rsidR="0004576E">
        <w:rPr>
          <w:szCs w:val="22"/>
        </w:rPr>
        <w:t>with</w:t>
      </w:r>
      <w:r w:rsidR="0004576E" w:rsidRPr="00905ACC">
        <w:rPr>
          <w:szCs w:val="22"/>
        </w:rPr>
        <w:t xml:space="preserve"> </w:t>
      </w:r>
      <w:r w:rsidR="00D01AF0" w:rsidRPr="00905ACC">
        <w:rPr>
          <w:szCs w:val="22"/>
        </w:rPr>
        <w:t xml:space="preserve">the result of Papanastasopoulos (2015). </w:t>
      </w:r>
      <w:r w:rsidR="00A670FA" w:rsidRPr="00905ACC">
        <w:rPr>
          <w:szCs w:val="22"/>
        </w:rPr>
        <w:t xml:space="preserve">The Adj R-squared of this model is </w:t>
      </w:r>
      <w:r w:rsidR="00584DA0" w:rsidRPr="007D75D2">
        <w:rPr>
          <w:szCs w:val="22"/>
        </w:rPr>
        <w:t>0.244</w:t>
      </w:r>
      <w:r w:rsidR="00A670FA" w:rsidRPr="00905ACC">
        <w:rPr>
          <w:szCs w:val="22"/>
        </w:rPr>
        <w:t xml:space="preserve">, which </w:t>
      </w:r>
      <w:r w:rsidR="00CF4D2E" w:rsidRPr="00905ACC">
        <w:rPr>
          <w:szCs w:val="22"/>
        </w:rPr>
        <w:t xml:space="preserve">suggests that the model </w:t>
      </w:r>
      <w:r w:rsidR="00B37B2E">
        <w:rPr>
          <w:szCs w:val="22"/>
        </w:rPr>
        <w:t xml:space="preserve">can be regarded as efficient. </w:t>
      </w:r>
      <w:r w:rsidR="00BD1CDE">
        <w:rPr>
          <w:szCs w:val="22"/>
        </w:rPr>
        <w:t>Also, we run the</w:t>
      </w:r>
      <w:r w:rsidR="00BF545A" w:rsidRPr="00D46DB9">
        <w:rPr>
          <w:szCs w:val="22"/>
        </w:rPr>
        <w:t xml:space="preserve"> mult</w:t>
      </w:r>
      <w:r w:rsidR="00B37B2E">
        <w:rPr>
          <w:szCs w:val="22"/>
        </w:rPr>
        <w:t>icollinearity test, t</w:t>
      </w:r>
      <w:r w:rsidR="00D46DB9" w:rsidRPr="00D46DB9">
        <w:rPr>
          <w:szCs w:val="22"/>
        </w:rPr>
        <w:t xml:space="preserve">he result shows that </w:t>
      </w:r>
      <w:r w:rsidR="00BF545A" w:rsidRPr="00D46DB9">
        <w:rPr>
          <w:szCs w:val="22"/>
        </w:rPr>
        <w:t>multicollinearity is not a significant concern as most of the variables have a VIF ratio of less than 4 and a 1/VIF ratio of greater than 0.25</w:t>
      </w:r>
      <w:r w:rsidR="00BF545A" w:rsidRPr="00D46DB9">
        <w:rPr>
          <w:szCs w:val="22"/>
        </w:rPr>
        <w:footnoteReference w:id="5"/>
      </w:r>
    </w:p>
    <w:p w:rsidR="0070172E" w:rsidRPr="00905ACC" w:rsidRDefault="005C633A" w:rsidP="007D75D2">
      <w:pPr>
        <w:ind w:firstLine="418"/>
        <w:contextualSpacing/>
        <w:rPr>
          <w:szCs w:val="22"/>
        </w:rPr>
      </w:pPr>
      <w:r w:rsidRPr="00905ACC">
        <w:rPr>
          <w:szCs w:val="22"/>
        </w:rPr>
        <w:t xml:space="preserve">The above regression results suggest that within all independent variables that </w:t>
      </w:r>
      <w:r w:rsidR="007A30AC">
        <w:rPr>
          <w:szCs w:val="22"/>
        </w:rPr>
        <w:t xml:space="preserve">are </w:t>
      </w:r>
      <w:r w:rsidRPr="00905ACC">
        <w:rPr>
          <w:szCs w:val="22"/>
        </w:rPr>
        <w:t>used to examine the predictability of forecasting future return</w:t>
      </w:r>
      <w:r w:rsidR="007A30AC">
        <w:rPr>
          <w:szCs w:val="22"/>
        </w:rPr>
        <w:t>s</w:t>
      </w:r>
      <w:r w:rsidRPr="00905ACC">
        <w:rPr>
          <w:szCs w:val="22"/>
        </w:rPr>
        <w:t xml:space="preserve"> in </w:t>
      </w:r>
      <w:r w:rsidR="007A30AC">
        <w:rPr>
          <w:szCs w:val="22"/>
        </w:rPr>
        <w:t>this</w:t>
      </w:r>
      <w:r w:rsidR="007A30AC" w:rsidRPr="00905ACC">
        <w:rPr>
          <w:szCs w:val="22"/>
        </w:rPr>
        <w:t xml:space="preserve"> </w:t>
      </w:r>
      <w:r w:rsidRPr="00905ACC">
        <w:rPr>
          <w:szCs w:val="22"/>
        </w:rPr>
        <w:t xml:space="preserve">study, only variables of </w:t>
      </w:r>
      <w:r w:rsidR="00126E0C" w:rsidRPr="00905ACC">
        <w:rPr>
          <w:szCs w:val="22"/>
        </w:rPr>
        <w:t xml:space="preserve">current </w:t>
      </w:r>
      <w:r w:rsidRPr="00905ACC">
        <w:rPr>
          <w:szCs w:val="22"/>
        </w:rPr>
        <w:t>operating profitability and the lagged raw stock return can be regarded as material</w:t>
      </w:r>
      <w:r w:rsidR="00126E0C" w:rsidRPr="00905ACC">
        <w:rPr>
          <w:szCs w:val="22"/>
        </w:rPr>
        <w:t xml:space="preserve"> and significant while others like sales growth, accounting distortion and total accruals </w:t>
      </w:r>
      <w:r w:rsidR="00420B7A" w:rsidRPr="00905ACC">
        <w:rPr>
          <w:szCs w:val="22"/>
        </w:rPr>
        <w:t>cannot</w:t>
      </w:r>
      <w:r w:rsidR="00126E0C" w:rsidRPr="00905ACC">
        <w:rPr>
          <w:szCs w:val="22"/>
        </w:rPr>
        <w:t xml:space="preserve"> be concluded </w:t>
      </w:r>
      <w:r w:rsidR="007A30AC">
        <w:rPr>
          <w:szCs w:val="22"/>
        </w:rPr>
        <w:t>to</w:t>
      </w:r>
      <w:r w:rsidR="007A30AC" w:rsidRPr="00905ACC">
        <w:rPr>
          <w:szCs w:val="22"/>
        </w:rPr>
        <w:t xml:space="preserve"> </w:t>
      </w:r>
      <w:r w:rsidR="007A30AC">
        <w:rPr>
          <w:szCs w:val="22"/>
        </w:rPr>
        <w:t>be</w:t>
      </w:r>
      <w:r w:rsidR="007A30AC" w:rsidRPr="00905ACC">
        <w:rPr>
          <w:szCs w:val="22"/>
        </w:rPr>
        <w:t xml:space="preserve"> </w:t>
      </w:r>
      <w:r w:rsidR="00126E0C" w:rsidRPr="00905ACC">
        <w:rPr>
          <w:szCs w:val="22"/>
        </w:rPr>
        <w:t>efficient in predicting future returns.</w:t>
      </w:r>
      <w:r w:rsidRPr="00905ACC">
        <w:rPr>
          <w:szCs w:val="22"/>
        </w:rPr>
        <w:t xml:space="preserve"> </w:t>
      </w:r>
      <w:r w:rsidR="0018393C">
        <w:rPr>
          <w:szCs w:val="22"/>
        </w:rPr>
        <w:t>These</w:t>
      </w:r>
      <w:r w:rsidR="0018393C" w:rsidRPr="00905ACC">
        <w:rPr>
          <w:szCs w:val="22"/>
        </w:rPr>
        <w:t xml:space="preserve"> </w:t>
      </w:r>
      <w:r w:rsidR="001E79EE" w:rsidRPr="00905ACC">
        <w:rPr>
          <w:szCs w:val="22"/>
        </w:rPr>
        <w:t xml:space="preserve">findings suggest that decomposing accruals into investment growth and accounting distortion to examine the earnings quality </w:t>
      </w:r>
      <w:r w:rsidR="0018393C">
        <w:rPr>
          <w:szCs w:val="22"/>
        </w:rPr>
        <w:t>for</w:t>
      </w:r>
      <w:r w:rsidR="0018393C" w:rsidRPr="00905ACC">
        <w:rPr>
          <w:szCs w:val="22"/>
        </w:rPr>
        <w:t xml:space="preserve"> </w:t>
      </w:r>
      <w:r w:rsidR="001E79EE" w:rsidRPr="00905ACC">
        <w:rPr>
          <w:szCs w:val="22"/>
        </w:rPr>
        <w:t xml:space="preserve">predicting future returns may result in distortion and </w:t>
      </w:r>
      <w:r w:rsidR="00AC7063" w:rsidRPr="00905ACC">
        <w:rPr>
          <w:szCs w:val="22"/>
        </w:rPr>
        <w:t>may not be efficient</w:t>
      </w:r>
      <w:r w:rsidR="001E79EE" w:rsidRPr="00905ACC">
        <w:rPr>
          <w:szCs w:val="22"/>
        </w:rPr>
        <w:t>. However,</w:t>
      </w:r>
      <w:r w:rsidR="00137C0B" w:rsidRPr="00905ACC">
        <w:rPr>
          <w:szCs w:val="22"/>
        </w:rPr>
        <w:t xml:space="preserve"> </w:t>
      </w:r>
      <w:r w:rsidR="006A0C22" w:rsidRPr="00905ACC">
        <w:rPr>
          <w:szCs w:val="22"/>
        </w:rPr>
        <w:t>regression statistics show</w:t>
      </w:r>
      <w:r w:rsidR="00137C0B" w:rsidRPr="00905ACC">
        <w:rPr>
          <w:szCs w:val="22"/>
        </w:rPr>
        <w:t xml:space="preserve"> that, the other independent variable – lagged raw stock </w:t>
      </w:r>
      <w:r w:rsidR="006A0C22" w:rsidRPr="00905ACC">
        <w:rPr>
          <w:szCs w:val="22"/>
        </w:rPr>
        <w:t xml:space="preserve">return </w:t>
      </w:r>
      <w:r w:rsidR="007A30AC">
        <w:rPr>
          <w:szCs w:val="22"/>
        </w:rPr>
        <w:t xml:space="preserve">- </w:t>
      </w:r>
      <w:r w:rsidR="006A0C22" w:rsidRPr="00905ACC">
        <w:rPr>
          <w:szCs w:val="22"/>
        </w:rPr>
        <w:t xml:space="preserve">is significantly and statistically negative </w:t>
      </w:r>
      <w:r w:rsidR="00036D54" w:rsidRPr="00905ACC">
        <w:rPr>
          <w:szCs w:val="22"/>
        </w:rPr>
        <w:t xml:space="preserve">in correlation </w:t>
      </w:r>
      <w:r w:rsidR="007A30AC">
        <w:rPr>
          <w:szCs w:val="22"/>
        </w:rPr>
        <w:t>with</w:t>
      </w:r>
      <w:r w:rsidR="007A30AC" w:rsidRPr="00905ACC">
        <w:rPr>
          <w:szCs w:val="22"/>
        </w:rPr>
        <w:t xml:space="preserve"> </w:t>
      </w:r>
      <w:r w:rsidR="00036D54" w:rsidRPr="00905ACC">
        <w:rPr>
          <w:szCs w:val="22"/>
        </w:rPr>
        <w:t>future return</w:t>
      </w:r>
      <w:r w:rsidR="0070172E" w:rsidRPr="00905ACC">
        <w:rPr>
          <w:szCs w:val="22"/>
        </w:rPr>
        <w:t xml:space="preserve">, which proves the predictive power of individual stock </w:t>
      </w:r>
      <w:r w:rsidR="007A30AC">
        <w:rPr>
          <w:szCs w:val="22"/>
        </w:rPr>
        <w:t xml:space="preserve">in </w:t>
      </w:r>
      <w:r w:rsidR="0070172E" w:rsidRPr="00905ACC">
        <w:rPr>
          <w:szCs w:val="22"/>
        </w:rPr>
        <w:t>regards to its future return. In this case, it shows that</w:t>
      </w:r>
      <w:r w:rsidR="006A0C22" w:rsidRPr="00905ACC">
        <w:rPr>
          <w:szCs w:val="22"/>
        </w:rPr>
        <w:t xml:space="preserve"> </w:t>
      </w:r>
      <w:r w:rsidR="0070172E" w:rsidRPr="00905ACC">
        <w:rPr>
          <w:szCs w:val="22"/>
        </w:rPr>
        <w:t>the previous-year return still has great influence on expectation</w:t>
      </w:r>
      <w:r w:rsidR="007A30AC">
        <w:rPr>
          <w:szCs w:val="22"/>
        </w:rPr>
        <w:t>s</w:t>
      </w:r>
      <w:r w:rsidR="0070172E" w:rsidRPr="00905ACC">
        <w:rPr>
          <w:szCs w:val="22"/>
        </w:rPr>
        <w:t xml:space="preserve"> </w:t>
      </w:r>
      <w:r w:rsidR="007A30AC">
        <w:rPr>
          <w:szCs w:val="22"/>
        </w:rPr>
        <w:t>for</w:t>
      </w:r>
      <w:r w:rsidR="007A30AC" w:rsidRPr="00905ACC">
        <w:rPr>
          <w:szCs w:val="22"/>
        </w:rPr>
        <w:t xml:space="preserve"> </w:t>
      </w:r>
      <w:r w:rsidR="0070172E" w:rsidRPr="00905ACC">
        <w:rPr>
          <w:szCs w:val="22"/>
        </w:rPr>
        <w:t xml:space="preserve">the one-year-ahead return. </w:t>
      </w:r>
    </w:p>
    <w:p w:rsidR="001E79EE" w:rsidRPr="00905ACC" w:rsidRDefault="00996982">
      <w:pPr>
        <w:ind w:firstLineChars="200" w:firstLine="440"/>
        <w:contextualSpacing/>
        <w:rPr>
          <w:szCs w:val="22"/>
        </w:rPr>
      </w:pPr>
      <w:r w:rsidRPr="00905ACC">
        <w:rPr>
          <w:szCs w:val="22"/>
        </w:rPr>
        <w:t>An</w:t>
      </w:r>
      <w:r w:rsidR="0070172E" w:rsidRPr="00905ACC">
        <w:rPr>
          <w:szCs w:val="22"/>
        </w:rPr>
        <w:t xml:space="preserve"> important</w:t>
      </w:r>
      <w:r w:rsidR="005C6922" w:rsidRPr="00905ACC">
        <w:rPr>
          <w:szCs w:val="22"/>
        </w:rPr>
        <w:t xml:space="preserve"> finding</w:t>
      </w:r>
      <w:r w:rsidR="0070172E" w:rsidRPr="00905ACC">
        <w:rPr>
          <w:szCs w:val="22"/>
        </w:rPr>
        <w:t xml:space="preserve"> in </w:t>
      </w:r>
      <w:r w:rsidR="00FC0BCE">
        <w:rPr>
          <w:szCs w:val="22"/>
        </w:rPr>
        <w:t xml:space="preserve">the </w:t>
      </w:r>
      <w:r w:rsidR="0070172E" w:rsidRPr="00905ACC">
        <w:rPr>
          <w:szCs w:val="22"/>
        </w:rPr>
        <w:t xml:space="preserve">current study is that the current operating profitability is also a significant and negative predictor of the one-year-ahead stock return. </w:t>
      </w:r>
      <w:r w:rsidR="005C6922" w:rsidRPr="00905ACC">
        <w:rPr>
          <w:szCs w:val="22"/>
        </w:rPr>
        <w:t xml:space="preserve">RNOA represents </w:t>
      </w:r>
      <w:r w:rsidR="0029140C" w:rsidRPr="00905ACC">
        <w:rPr>
          <w:szCs w:val="22"/>
        </w:rPr>
        <w:t>the ratio of operating income deflated by</w:t>
      </w:r>
      <w:r w:rsidR="005C6922" w:rsidRPr="00905ACC">
        <w:rPr>
          <w:szCs w:val="22"/>
        </w:rPr>
        <w:t xml:space="preserve"> lagged operating assets</w:t>
      </w:r>
      <w:r w:rsidR="00FC0BCE">
        <w:rPr>
          <w:szCs w:val="22"/>
        </w:rPr>
        <w:t>.</w:t>
      </w:r>
      <w:r w:rsidR="0029140C" w:rsidRPr="00905ACC">
        <w:rPr>
          <w:szCs w:val="22"/>
        </w:rPr>
        <w:t xml:space="preserve"> </w:t>
      </w:r>
      <w:r w:rsidR="00FC0BCE">
        <w:rPr>
          <w:szCs w:val="22"/>
        </w:rPr>
        <w:t>I</w:t>
      </w:r>
      <w:r w:rsidR="0029140C" w:rsidRPr="00905ACC">
        <w:rPr>
          <w:szCs w:val="22"/>
        </w:rPr>
        <w:t>n this case</w:t>
      </w:r>
      <w:r w:rsidR="00FC0BCE">
        <w:rPr>
          <w:szCs w:val="22"/>
        </w:rPr>
        <w:t xml:space="preserve"> the</w:t>
      </w:r>
      <w:r w:rsidR="0029140C" w:rsidRPr="00905ACC">
        <w:rPr>
          <w:szCs w:val="22"/>
        </w:rPr>
        <w:t xml:space="preserve"> operating income can be regarded as the dominant factor that cause</w:t>
      </w:r>
      <w:r w:rsidR="00FC0BCE">
        <w:rPr>
          <w:szCs w:val="22"/>
        </w:rPr>
        <w:t>s</w:t>
      </w:r>
      <w:r w:rsidR="0029140C" w:rsidRPr="00905ACC">
        <w:rPr>
          <w:szCs w:val="22"/>
        </w:rPr>
        <w:t xml:space="preserve"> the </w:t>
      </w:r>
      <w:r w:rsidR="00DD0C2D" w:rsidRPr="00905ACC">
        <w:rPr>
          <w:szCs w:val="22"/>
        </w:rPr>
        <w:t>upward or downward trend of the independent variable of RNOA. In other words, operating income is th</w:t>
      </w:r>
      <w:r w:rsidR="008F0211" w:rsidRPr="00905ACC">
        <w:rPr>
          <w:szCs w:val="22"/>
        </w:rPr>
        <w:t>e factor controlling RNOA and cause</w:t>
      </w:r>
      <w:r w:rsidR="00FC0BCE">
        <w:rPr>
          <w:szCs w:val="22"/>
        </w:rPr>
        <w:t>s</w:t>
      </w:r>
      <w:r w:rsidR="00DD0C2D" w:rsidRPr="00905ACC">
        <w:rPr>
          <w:szCs w:val="22"/>
        </w:rPr>
        <w:t xml:space="preserve"> the change </w:t>
      </w:r>
      <w:r w:rsidR="0018393C">
        <w:rPr>
          <w:szCs w:val="22"/>
        </w:rPr>
        <w:t>in</w:t>
      </w:r>
      <w:r w:rsidR="0018393C" w:rsidRPr="00905ACC">
        <w:rPr>
          <w:szCs w:val="22"/>
        </w:rPr>
        <w:t xml:space="preserve"> </w:t>
      </w:r>
      <w:r w:rsidR="00DD0C2D" w:rsidRPr="00905ACC">
        <w:rPr>
          <w:szCs w:val="22"/>
        </w:rPr>
        <w:t xml:space="preserve">the dependent variable of one-year-ahead raw returns. </w:t>
      </w:r>
      <w:r w:rsidR="00274C40" w:rsidRPr="00905ACC">
        <w:rPr>
          <w:szCs w:val="22"/>
        </w:rPr>
        <w:t>The factor that dominates operating income is sales, whic</w:t>
      </w:r>
      <w:r w:rsidR="00867806" w:rsidRPr="00905ACC">
        <w:rPr>
          <w:szCs w:val="22"/>
        </w:rPr>
        <w:t>h suggests that the level of sales do</w:t>
      </w:r>
      <w:r w:rsidR="00FC0BCE">
        <w:rPr>
          <w:szCs w:val="22"/>
        </w:rPr>
        <w:t>es</w:t>
      </w:r>
      <w:r w:rsidR="00867806" w:rsidRPr="00905ACC">
        <w:rPr>
          <w:szCs w:val="22"/>
        </w:rPr>
        <w:t xml:space="preserve"> influence future returns.  </w:t>
      </w:r>
      <w:r w:rsidR="0070172E" w:rsidRPr="00905ACC">
        <w:rPr>
          <w:szCs w:val="22"/>
        </w:rPr>
        <w:t xml:space="preserve"> </w:t>
      </w:r>
      <w:r w:rsidR="006A0C22" w:rsidRPr="00905ACC">
        <w:rPr>
          <w:szCs w:val="22"/>
        </w:rPr>
        <w:t xml:space="preserve"> </w:t>
      </w:r>
    </w:p>
    <w:p w:rsidR="0030421D" w:rsidRPr="00905ACC" w:rsidRDefault="00137C0B">
      <w:pPr>
        <w:ind w:firstLineChars="200" w:firstLine="440"/>
        <w:contextualSpacing/>
        <w:rPr>
          <w:szCs w:val="22"/>
        </w:rPr>
      </w:pPr>
      <w:r w:rsidRPr="00905ACC">
        <w:rPr>
          <w:szCs w:val="22"/>
        </w:rPr>
        <w:t>Accounting e</w:t>
      </w:r>
      <w:r w:rsidR="007C2113" w:rsidRPr="00905ACC">
        <w:rPr>
          <w:szCs w:val="22"/>
        </w:rPr>
        <w:t xml:space="preserve">arnings </w:t>
      </w:r>
      <w:r w:rsidR="004E7A2B" w:rsidRPr="00905ACC">
        <w:rPr>
          <w:szCs w:val="22"/>
        </w:rPr>
        <w:t xml:space="preserve">in </w:t>
      </w:r>
      <w:r w:rsidR="00B16060">
        <w:rPr>
          <w:szCs w:val="22"/>
        </w:rPr>
        <w:t xml:space="preserve">a </w:t>
      </w:r>
      <w:r w:rsidR="004E7A2B" w:rsidRPr="00905ACC">
        <w:rPr>
          <w:szCs w:val="22"/>
        </w:rPr>
        <w:t xml:space="preserve">financial statement </w:t>
      </w:r>
      <w:r w:rsidR="007C2113" w:rsidRPr="00905ACC">
        <w:rPr>
          <w:szCs w:val="22"/>
        </w:rPr>
        <w:t>are</w:t>
      </w:r>
      <w:r w:rsidR="004E7A2B" w:rsidRPr="00905ACC">
        <w:rPr>
          <w:szCs w:val="22"/>
        </w:rPr>
        <w:t xml:space="preserve"> </w:t>
      </w:r>
      <w:r w:rsidR="007C2113" w:rsidRPr="00905ACC">
        <w:rPr>
          <w:szCs w:val="22"/>
        </w:rPr>
        <w:t>the total of cash flows and accruals</w:t>
      </w:r>
      <w:r w:rsidR="001E7A6B" w:rsidRPr="00905ACC">
        <w:rPr>
          <w:szCs w:val="22"/>
        </w:rPr>
        <w:t xml:space="preserve">. </w:t>
      </w:r>
      <w:r w:rsidR="00F923DB" w:rsidRPr="00905ACC">
        <w:rPr>
          <w:szCs w:val="22"/>
        </w:rPr>
        <w:t>Robinson</w:t>
      </w:r>
      <w:r w:rsidR="000A5AF2" w:rsidRPr="00905ACC">
        <w:rPr>
          <w:szCs w:val="22"/>
        </w:rPr>
        <w:t xml:space="preserve"> et al. (2015) point out that earnings will be more sustainable if cash flows dominate earnings while earnings reversio</w:t>
      </w:r>
      <w:r w:rsidR="007F3C58" w:rsidRPr="00905ACC">
        <w:rPr>
          <w:szCs w:val="22"/>
        </w:rPr>
        <w:t>n to the mean may be hastened if</w:t>
      </w:r>
      <w:r w:rsidR="000A5AF2" w:rsidRPr="00905ACC">
        <w:rPr>
          <w:szCs w:val="22"/>
        </w:rPr>
        <w:t xml:space="preserve"> accruals are the significant component of earnings. </w:t>
      </w:r>
      <w:r w:rsidR="002F3585" w:rsidRPr="00905ACC">
        <w:rPr>
          <w:szCs w:val="22"/>
        </w:rPr>
        <w:t>The operating income involves a number of relevant accrual accounts that may be manipulated by management, for instance, inventory and account</w:t>
      </w:r>
      <w:r w:rsidR="00B16060">
        <w:rPr>
          <w:szCs w:val="22"/>
        </w:rPr>
        <w:t>s</w:t>
      </w:r>
      <w:r w:rsidR="002F3585" w:rsidRPr="00905ACC">
        <w:rPr>
          <w:szCs w:val="22"/>
        </w:rPr>
        <w:t xml:space="preserve"> receivable, which are items related to the daily production activities of the company</w:t>
      </w:r>
      <w:r w:rsidR="00941818" w:rsidRPr="00905ACC">
        <w:rPr>
          <w:szCs w:val="22"/>
        </w:rPr>
        <w:t xml:space="preserve">. </w:t>
      </w:r>
      <w:r w:rsidR="0015466A" w:rsidRPr="00905ACC">
        <w:rPr>
          <w:szCs w:val="22"/>
        </w:rPr>
        <w:t xml:space="preserve">Even though the outcome of </w:t>
      </w:r>
      <w:r w:rsidR="00B16060">
        <w:rPr>
          <w:szCs w:val="22"/>
        </w:rPr>
        <w:t xml:space="preserve">the </w:t>
      </w:r>
      <w:r w:rsidR="0015466A" w:rsidRPr="00905ACC">
        <w:rPr>
          <w:szCs w:val="22"/>
        </w:rPr>
        <w:t>current study’s regressions show</w:t>
      </w:r>
      <w:r w:rsidR="009E6236" w:rsidRPr="00905ACC">
        <w:rPr>
          <w:szCs w:val="22"/>
        </w:rPr>
        <w:t>s</w:t>
      </w:r>
      <w:r w:rsidR="0015466A" w:rsidRPr="00905ACC">
        <w:rPr>
          <w:szCs w:val="22"/>
        </w:rPr>
        <w:t xml:space="preserve"> that the total accruals result in inefficiency in predicting future return, the regression result</w:t>
      </w:r>
      <w:r w:rsidR="009E6236" w:rsidRPr="00905ACC">
        <w:rPr>
          <w:szCs w:val="22"/>
        </w:rPr>
        <w:t xml:space="preserve"> </w:t>
      </w:r>
      <w:r w:rsidR="00B16060">
        <w:rPr>
          <w:szCs w:val="22"/>
        </w:rPr>
        <w:t>of</w:t>
      </w:r>
      <w:r w:rsidR="00B16060" w:rsidRPr="00905ACC">
        <w:rPr>
          <w:szCs w:val="22"/>
        </w:rPr>
        <w:t xml:space="preserve"> </w:t>
      </w:r>
      <w:r w:rsidR="0015466A" w:rsidRPr="00905ACC">
        <w:rPr>
          <w:szCs w:val="22"/>
        </w:rPr>
        <w:t>RNOA suggest</w:t>
      </w:r>
      <w:r w:rsidR="009E6236" w:rsidRPr="00905ACC">
        <w:rPr>
          <w:szCs w:val="22"/>
        </w:rPr>
        <w:t>s</w:t>
      </w:r>
      <w:r w:rsidR="0015466A" w:rsidRPr="00905ACC">
        <w:rPr>
          <w:szCs w:val="22"/>
        </w:rPr>
        <w:t xml:space="preserve"> that accounting earnings </w:t>
      </w:r>
      <w:r w:rsidR="006D165C" w:rsidRPr="00905ACC">
        <w:rPr>
          <w:szCs w:val="22"/>
        </w:rPr>
        <w:t xml:space="preserve">shown </w:t>
      </w:r>
      <w:r w:rsidR="0015466A" w:rsidRPr="00905ACC">
        <w:rPr>
          <w:szCs w:val="22"/>
        </w:rPr>
        <w:t>in the financial statement do have important information regard</w:t>
      </w:r>
      <w:r w:rsidR="00B16060">
        <w:rPr>
          <w:szCs w:val="22"/>
        </w:rPr>
        <w:t>ing</w:t>
      </w:r>
      <w:r w:rsidR="0015466A" w:rsidRPr="00905ACC">
        <w:rPr>
          <w:szCs w:val="22"/>
        </w:rPr>
        <w:t xml:space="preserve"> the </w:t>
      </w:r>
      <w:r w:rsidR="00290883" w:rsidRPr="00905ACC">
        <w:rPr>
          <w:szCs w:val="22"/>
        </w:rPr>
        <w:t>predic</w:t>
      </w:r>
      <w:r w:rsidR="0015466A" w:rsidRPr="00905ACC">
        <w:rPr>
          <w:szCs w:val="22"/>
        </w:rPr>
        <w:t>tion of future return</w:t>
      </w:r>
      <w:r w:rsidR="00B16060">
        <w:rPr>
          <w:szCs w:val="22"/>
        </w:rPr>
        <w:t>s</w:t>
      </w:r>
      <w:r w:rsidR="0015466A" w:rsidRPr="00905ACC">
        <w:rPr>
          <w:szCs w:val="22"/>
        </w:rPr>
        <w:t xml:space="preserve">. </w:t>
      </w:r>
    </w:p>
    <w:p w:rsidR="0051449F" w:rsidRDefault="0051449F" w:rsidP="00905ACC">
      <w:pPr>
        <w:rPr>
          <w:szCs w:val="22"/>
        </w:rPr>
      </w:pPr>
    </w:p>
    <w:p w:rsidR="0051449F" w:rsidRPr="00905ACC" w:rsidRDefault="0051449F" w:rsidP="00905ACC">
      <w:pPr>
        <w:rPr>
          <w:szCs w:val="22"/>
        </w:rPr>
      </w:pPr>
    </w:p>
    <w:p w:rsidR="0030421D" w:rsidRPr="007D75D2" w:rsidRDefault="005C633A">
      <w:pPr>
        <w:numPr>
          <w:ilvl w:val="0"/>
          <w:numId w:val="5"/>
        </w:numPr>
        <w:ind w:left="284" w:hanging="284"/>
        <w:contextualSpacing/>
        <w:rPr>
          <w:rFonts w:asciiTheme="majorBidi" w:hAnsiTheme="majorBidi" w:cstheme="majorBidi"/>
          <w:b/>
          <w:szCs w:val="22"/>
        </w:rPr>
      </w:pPr>
      <w:r w:rsidRPr="007D75D2">
        <w:rPr>
          <w:rFonts w:asciiTheme="majorBidi" w:hAnsiTheme="majorBidi" w:cstheme="majorBidi"/>
          <w:b/>
          <w:szCs w:val="22"/>
        </w:rPr>
        <w:t>Conclusions</w:t>
      </w:r>
    </w:p>
    <w:p w:rsidR="00F41704" w:rsidRPr="00905ACC" w:rsidRDefault="00671604">
      <w:pPr>
        <w:ind w:firstLine="0"/>
        <w:contextualSpacing/>
        <w:rPr>
          <w:szCs w:val="22"/>
        </w:rPr>
      </w:pPr>
      <w:r w:rsidRPr="00905ACC">
        <w:rPr>
          <w:szCs w:val="22"/>
        </w:rPr>
        <w:t xml:space="preserve">Accrual anomaly has </w:t>
      </w:r>
      <w:r w:rsidR="00B16060">
        <w:rPr>
          <w:szCs w:val="22"/>
        </w:rPr>
        <w:t>attracted</w:t>
      </w:r>
      <w:r w:rsidR="00B16060" w:rsidRPr="00905ACC">
        <w:rPr>
          <w:szCs w:val="22"/>
        </w:rPr>
        <w:t xml:space="preserve"> </w:t>
      </w:r>
      <w:r w:rsidRPr="00905ACC">
        <w:rPr>
          <w:szCs w:val="22"/>
        </w:rPr>
        <w:t>extensive attention since Sloan (1996) provided evidence that accruals are a negative pr</w:t>
      </w:r>
      <w:r w:rsidR="00F41704" w:rsidRPr="00905ACC">
        <w:rPr>
          <w:szCs w:val="22"/>
        </w:rPr>
        <w:t>edictor of future stock return</w:t>
      </w:r>
      <w:r w:rsidR="00B16060">
        <w:rPr>
          <w:szCs w:val="22"/>
        </w:rPr>
        <w:t>s</w:t>
      </w:r>
      <w:r w:rsidR="00F41704" w:rsidRPr="00905ACC">
        <w:rPr>
          <w:szCs w:val="22"/>
        </w:rPr>
        <w:t xml:space="preserve"> and he show</w:t>
      </w:r>
      <w:r w:rsidR="00B16060">
        <w:rPr>
          <w:szCs w:val="22"/>
        </w:rPr>
        <w:t>ed</w:t>
      </w:r>
      <w:r w:rsidR="00F41704" w:rsidRPr="00905ACC">
        <w:rPr>
          <w:szCs w:val="22"/>
        </w:rPr>
        <w:t xml:space="preserve"> that the over-pricing of accruals is due to executive manipulation. Rangan (1998) points out that one of the incentive</w:t>
      </w:r>
      <w:r w:rsidR="00B16060">
        <w:rPr>
          <w:szCs w:val="22"/>
        </w:rPr>
        <w:t>s</w:t>
      </w:r>
      <w:r w:rsidR="00F41704" w:rsidRPr="00905ACC">
        <w:rPr>
          <w:szCs w:val="22"/>
        </w:rPr>
        <w:t xml:space="preserve"> of management manipulation would be opportunistic </w:t>
      </w:r>
      <w:r w:rsidR="00276F2A">
        <w:rPr>
          <w:szCs w:val="22"/>
        </w:rPr>
        <w:t>declaration</w:t>
      </w:r>
      <w:r w:rsidR="00276F2A" w:rsidRPr="00905ACC">
        <w:rPr>
          <w:szCs w:val="22"/>
        </w:rPr>
        <w:t xml:space="preserve"> </w:t>
      </w:r>
      <w:r w:rsidR="00F41704" w:rsidRPr="00905ACC">
        <w:rPr>
          <w:szCs w:val="22"/>
        </w:rPr>
        <w:t>of corporate earnings before stock offerings. Further, Moehele (2002) shows that executives use strategies to restructure liabilities through reversal and Chan et al. (2006) also provide evidence that management overstate</w:t>
      </w:r>
      <w:r w:rsidR="00B16060">
        <w:rPr>
          <w:szCs w:val="22"/>
        </w:rPr>
        <w:t>s</w:t>
      </w:r>
      <w:r w:rsidR="00F41704" w:rsidRPr="00905ACC">
        <w:rPr>
          <w:szCs w:val="22"/>
        </w:rPr>
        <w:t xml:space="preserve"> inventory though increasing write-downs of inventory in the subsequent year. Specifically, Allen et al. (2013) present the two potential procedures in working capital accrual reversal, one positively serial</w:t>
      </w:r>
      <w:r w:rsidR="00B16060">
        <w:rPr>
          <w:szCs w:val="22"/>
        </w:rPr>
        <w:t>ly</w:t>
      </w:r>
      <w:r w:rsidR="00F41704" w:rsidRPr="00905ACC">
        <w:rPr>
          <w:szCs w:val="22"/>
        </w:rPr>
        <w:t xml:space="preserve">-correlated with returns and the other oppositely, and they point out that there should be more than two procedures. To investigate the component of total accruals, the existing literature has two typical decompositions which are working capital accruals and long-term accruals, discretionary accruals and non-discretionary accruals. The </w:t>
      </w:r>
      <w:r w:rsidR="00B16060">
        <w:rPr>
          <w:szCs w:val="22"/>
        </w:rPr>
        <w:t>opinion</w:t>
      </w:r>
      <w:r w:rsidR="00F41704" w:rsidRPr="00905ACC">
        <w:rPr>
          <w:szCs w:val="22"/>
        </w:rPr>
        <w:t xml:space="preserve"> of </w:t>
      </w:r>
      <w:r w:rsidR="00367C3B">
        <w:rPr>
          <w:szCs w:val="22"/>
        </w:rPr>
        <w:t>Izadi</w:t>
      </w:r>
      <w:r w:rsidR="00F41704" w:rsidRPr="00905ACC">
        <w:rPr>
          <w:szCs w:val="22"/>
        </w:rPr>
        <w:t xml:space="preserve"> et al. (2015) is that working capital accruals is the component of accruals that include</w:t>
      </w:r>
      <w:r w:rsidR="00B16060">
        <w:rPr>
          <w:szCs w:val="22"/>
        </w:rPr>
        <w:t>s</w:t>
      </w:r>
      <w:r w:rsidR="00F41704" w:rsidRPr="00905ACC">
        <w:rPr>
          <w:szCs w:val="22"/>
        </w:rPr>
        <w:t xml:space="preserve"> earnings management information as the long-term accruals are not likely to contain information due to their visibility. However, Papanastasopoulos (2015) points out the view that the long-term component of accruals could also contain information about accounting distortion and investment growth is likely to reflect in the long-term accruals. </w:t>
      </w:r>
    </w:p>
    <w:p w:rsidR="00A675D8" w:rsidRPr="00905ACC" w:rsidRDefault="00B16060">
      <w:pPr>
        <w:ind w:firstLineChars="200" w:firstLine="440"/>
        <w:contextualSpacing/>
        <w:rPr>
          <w:szCs w:val="22"/>
        </w:rPr>
      </w:pPr>
      <w:r>
        <w:rPr>
          <w:szCs w:val="22"/>
        </w:rPr>
        <w:t>This</w:t>
      </w:r>
      <w:r w:rsidRPr="00905ACC">
        <w:rPr>
          <w:szCs w:val="22"/>
        </w:rPr>
        <w:t xml:space="preserve"> </w:t>
      </w:r>
      <w:r w:rsidR="008B1077" w:rsidRPr="00905ACC">
        <w:rPr>
          <w:szCs w:val="22"/>
        </w:rPr>
        <w:t xml:space="preserve">study contributes to the investigation of the quality of accruals in terms of predicting future returns by examining cross-sectional regressions over the period </w:t>
      </w:r>
      <w:r w:rsidR="00886711" w:rsidRPr="00905ACC">
        <w:rPr>
          <w:szCs w:val="22"/>
        </w:rPr>
        <w:t>20</w:t>
      </w:r>
      <w:r w:rsidR="00886711">
        <w:rPr>
          <w:szCs w:val="22"/>
        </w:rPr>
        <w:t>08</w:t>
      </w:r>
      <w:r w:rsidR="008B1077" w:rsidRPr="00905ACC">
        <w:rPr>
          <w:szCs w:val="22"/>
        </w:rPr>
        <w:t>-</w:t>
      </w:r>
      <w:r w:rsidR="00886711" w:rsidRPr="00905ACC">
        <w:rPr>
          <w:szCs w:val="22"/>
        </w:rPr>
        <w:t>20</w:t>
      </w:r>
      <w:r w:rsidR="00886711">
        <w:rPr>
          <w:szCs w:val="22"/>
        </w:rPr>
        <w:t>17</w:t>
      </w:r>
      <w:r w:rsidR="00886711" w:rsidRPr="00905ACC">
        <w:rPr>
          <w:szCs w:val="22"/>
        </w:rPr>
        <w:t xml:space="preserve"> </w:t>
      </w:r>
      <w:r w:rsidR="008B1077" w:rsidRPr="00905ACC">
        <w:rPr>
          <w:szCs w:val="22"/>
        </w:rPr>
        <w:t xml:space="preserve">using U.K. financial data. The empirical work </w:t>
      </w:r>
      <w:r>
        <w:rPr>
          <w:szCs w:val="22"/>
        </w:rPr>
        <w:t>produced unexpected results:</w:t>
      </w:r>
      <w:r w:rsidR="008B1077" w:rsidRPr="00905ACC">
        <w:rPr>
          <w:szCs w:val="22"/>
        </w:rPr>
        <w:t xml:space="preserve"> the regression results of total accruals, accruals attributable to accounting distortion and accruals due to sales growth are inefficient, with p-value &gt; 0.05</w:t>
      </w:r>
      <w:r w:rsidR="00071B64">
        <w:rPr>
          <w:szCs w:val="22"/>
        </w:rPr>
        <w:t>.</w:t>
      </w:r>
      <w:r w:rsidR="00653278" w:rsidRPr="00905ACC">
        <w:rPr>
          <w:szCs w:val="22"/>
        </w:rPr>
        <w:t xml:space="preserve"> The potential reason </w:t>
      </w:r>
      <w:r w:rsidR="0018393C">
        <w:rPr>
          <w:szCs w:val="22"/>
        </w:rPr>
        <w:t>for these</w:t>
      </w:r>
      <w:r w:rsidR="00653278" w:rsidRPr="00905ACC">
        <w:rPr>
          <w:szCs w:val="22"/>
        </w:rPr>
        <w:t xml:space="preserve"> </w:t>
      </w:r>
      <w:r w:rsidR="0018393C">
        <w:rPr>
          <w:szCs w:val="22"/>
        </w:rPr>
        <w:t>results</w:t>
      </w:r>
      <w:r w:rsidR="0018393C" w:rsidRPr="00905ACC">
        <w:rPr>
          <w:szCs w:val="22"/>
        </w:rPr>
        <w:t xml:space="preserve"> </w:t>
      </w:r>
      <w:r w:rsidR="00653278" w:rsidRPr="00905ACC">
        <w:rPr>
          <w:szCs w:val="22"/>
        </w:rPr>
        <w:t xml:space="preserve">could be the different measurement of one-year-ahead returns or the diverse magnitude and time period of observations. In any case, </w:t>
      </w:r>
      <w:r>
        <w:rPr>
          <w:szCs w:val="22"/>
        </w:rPr>
        <w:t xml:space="preserve">the </w:t>
      </w:r>
      <w:r w:rsidR="00653278" w:rsidRPr="00905ACC">
        <w:rPr>
          <w:szCs w:val="22"/>
        </w:rPr>
        <w:t>current study sugg</w:t>
      </w:r>
      <w:r w:rsidR="00117D37" w:rsidRPr="00905ACC">
        <w:rPr>
          <w:szCs w:val="22"/>
        </w:rPr>
        <w:t xml:space="preserve">ests that total accruals </w:t>
      </w:r>
      <w:r w:rsidR="00760B34" w:rsidRPr="00905ACC">
        <w:rPr>
          <w:szCs w:val="22"/>
        </w:rPr>
        <w:t>cannot</w:t>
      </w:r>
      <w:r w:rsidR="00117D37" w:rsidRPr="00905ACC">
        <w:rPr>
          <w:szCs w:val="22"/>
        </w:rPr>
        <w:t xml:space="preserve"> be concluded </w:t>
      </w:r>
      <w:r>
        <w:rPr>
          <w:szCs w:val="22"/>
        </w:rPr>
        <w:t>to</w:t>
      </w:r>
      <w:r w:rsidRPr="00905ACC">
        <w:rPr>
          <w:szCs w:val="22"/>
        </w:rPr>
        <w:t xml:space="preserve"> </w:t>
      </w:r>
      <w:r>
        <w:rPr>
          <w:szCs w:val="22"/>
        </w:rPr>
        <w:t>be</w:t>
      </w:r>
      <w:r w:rsidRPr="00905ACC">
        <w:rPr>
          <w:szCs w:val="22"/>
        </w:rPr>
        <w:t xml:space="preserve"> </w:t>
      </w:r>
      <w:r w:rsidR="00117D37" w:rsidRPr="00905ACC">
        <w:rPr>
          <w:szCs w:val="22"/>
        </w:rPr>
        <w:t>efficient in predicting future returns. In addition, the empirical work shows that decomposing accruals into investment growth and accounting distortion to examine the earnings quality of predicting future returns may result in dist</w:t>
      </w:r>
      <w:r w:rsidR="00DF32B8" w:rsidRPr="00905ACC">
        <w:rPr>
          <w:szCs w:val="22"/>
        </w:rPr>
        <w:t xml:space="preserve">ortion and may not be efficient. </w:t>
      </w:r>
      <w:r>
        <w:rPr>
          <w:szCs w:val="22"/>
        </w:rPr>
        <w:t>Additionally</w:t>
      </w:r>
      <w:r w:rsidR="00A675D8" w:rsidRPr="00905ACC">
        <w:rPr>
          <w:szCs w:val="22"/>
        </w:rPr>
        <w:t xml:space="preserve">, </w:t>
      </w:r>
      <w:r>
        <w:rPr>
          <w:szCs w:val="22"/>
        </w:rPr>
        <w:t>this</w:t>
      </w:r>
      <w:r w:rsidRPr="00905ACC">
        <w:rPr>
          <w:szCs w:val="22"/>
        </w:rPr>
        <w:t xml:space="preserve"> </w:t>
      </w:r>
      <w:r w:rsidR="00A675D8" w:rsidRPr="00905ACC">
        <w:rPr>
          <w:szCs w:val="22"/>
        </w:rPr>
        <w:t>study includes the lagged raw return</w:t>
      </w:r>
      <w:r w:rsidR="004C0261">
        <w:rPr>
          <w:szCs w:val="22"/>
        </w:rPr>
        <w:t>,</w:t>
      </w:r>
      <w:r w:rsidR="00A675D8" w:rsidRPr="00905ACC">
        <w:rPr>
          <w:szCs w:val="22"/>
        </w:rPr>
        <w:t xml:space="preserve"> examines its predictability </w:t>
      </w:r>
      <w:r w:rsidR="004C0261">
        <w:rPr>
          <w:szCs w:val="22"/>
        </w:rPr>
        <w:t>for</w:t>
      </w:r>
      <w:r w:rsidR="004C0261" w:rsidRPr="00905ACC">
        <w:rPr>
          <w:szCs w:val="22"/>
        </w:rPr>
        <w:t xml:space="preserve"> </w:t>
      </w:r>
      <w:r w:rsidR="00A675D8" w:rsidRPr="00905ACC">
        <w:rPr>
          <w:szCs w:val="22"/>
        </w:rPr>
        <w:t>forecasting future return and finds that the lagged raw return is a statistically and significantly negative predictor of future return</w:t>
      </w:r>
      <w:r w:rsidR="00B26089">
        <w:rPr>
          <w:szCs w:val="22"/>
        </w:rPr>
        <w:t xml:space="preserve">. </w:t>
      </w:r>
      <w:r w:rsidR="00DF32B8" w:rsidRPr="00905ACC">
        <w:rPr>
          <w:szCs w:val="22"/>
        </w:rPr>
        <w:t>On the other hand,</w:t>
      </w:r>
      <w:r w:rsidR="00653278" w:rsidRPr="00905ACC">
        <w:rPr>
          <w:szCs w:val="22"/>
        </w:rPr>
        <w:t xml:space="preserve"> the regression result of current operating profitability </w:t>
      </w:r>
      <w:r w:rsidR="00DF32B8" w:rsidRPr="00905ACC">
        <w:rPr>
          <w:szCs w:val="22"/>
        </w:rPr>
        <w:t>is significantly negative.</w:t>
      </w:r>
      <w:r w:rsidR="00A675D8" w:rsidRPr="00905ACC">
        <w:rPr>
          <w:szCs w:val="22"/>
        </w:rPr>
        <w:t xml:space="preserve"> </w:t>
      </w:r>
      <w:r w:rsidR="006D165C" w:rsidRPr="00905ACC">
        <w:rPr>
          <w:szCs w:val="22"/>
        </w:rPr>
        <w:t xml:space="preserve">The regression result on RNOA suggests that the level of sales do influence future returns and accounting earnings shown in the financial statement do have important information </w:t>
      </w:r>
      <w:r w:rsidR="004C0261">
        <w:rPr>
          <w:szCs w:val="22"/>
        </w:rPr>
        <w:t xml:space="preserve">in </w:t>
      </w:r>
      <w:r w:rsidR="006D165C" w:rsidRPr="00905ACC">
        <w:rPr>
          <w:szCs w:val="22"/>
        </w:rPr>
        <w:t xml:space="preserve">regard to the prediction of future return. </w:t>
      </w:r>
      <w:r w:rsidR="001653D5">
        <w:rPr>
          <w:szCs w:val="22"/>
        </w:rPr>
        <w:t>In addition</w:t>
      </w:r>
      <w:r w:rsidR="00B26089">
        <w:rPr>
          <w:szCs w:val="22"/>
        </w:rPr>
        <w:t xml:space="preserve">, </w:t>
      </w:r>
      <w:r w:rsidR="001653D5">
        <w:rPr>
          <w:szCs w:val="22"/>
        </w:rPr>
        <w:t xml:space="preserve">regarding the FRS No.3, </w:t>
      </w:r>
      <w:r w:rsidR="00B26089" w:rsidRPr="00D86E0D">
        <w:rPr>
          <w:szCs w:val="22"/>
        </w:rPr>
        <w:t>our findings</w:t>
      </w:r>
      <w:r w:rsidR="00B26089">
        <w:rPr>
          <w:szCs w:val="22"/>
        </w:rPr>
        <w:t xml:space="preserve"> are </w:t>
      </w:r>
      <w:r w:rsidR="004C0261">
        <w:rPr>
          <w:szCs w:val="22"/>
        </w:rPr>
        <w:t>consistent</w:t>
      </w:r>
      <w:r w:rsidR="00B26089">
        <w:rPr>
          <w:szCs w:val="22"/>
        </w:rPr>
        <w:t xml:space="preserve"> </w:t>
      </w:r>
      <w:r w:rsidR="00B26089" w:rsidRPr="00D86E0D">
        <w:rPr>
          <w:szCs w:val="22"/>
        </w:rPr>
        <w:t xml:space="preserve">with increased accounting disclosure </w:t>
      </w:r>
      <w:r w:rsidR="00B26089">
        <w:rPr>
          <w:szCs w:val="22"/>
        </w:rPr>
        <w:t xml:space="preserve">to help </w:t>
      </w:r>
      <w:r w:rsidR="00B26089" w:rsidRPr="00D86E0D">
        <w:rPr>
          <w:szCs w:val="22"/>
        </w:rPr>
        <w:t>investor</w:t>
      </w:r>
      <w:r w:rsidR="001653D5">
        <w:rPr>
          <w:szCs w:val="22"/>
        </w:rPr>
        <w:t>s</w:t>
      </w:r>
      <w:r w:rsidR="00B26089" w:rsidRPr="00D86E0D">
        <w:rPr>
          <w:szCs w:val="22"/>
        </w:rPr>
        <w:t xml:space="preserve"> </w:t>
      </w:r>
      <w:r w:rsidR="00B26089">
        <w:rPr>
          <w:szCs w:val="22"/>
        </w:rPr>
        <w:t xml:space="preserve">to </w:t>
      </w:r>
      <w:r w:rsidR="00B26089" w:rsidRPr="00D86E0D">
        <w:rPr>
          <w:szCs w:val="22"/>
        </w:rPr>
        <w:t xml:space="preserve">protect </w:t>
      </w:r>
      <w:r w:rsidR="00B26089">
        <w:rPr>
          <w:szCs w:val="22"/>
        </w:rPr>
        <w:t xml:space="preserve">from </w:t>
      </w:r>
      <w:r w:rsidR="00B26089" w:rsidRPr="00D86E0D">
        <w:rPr>
          <w:szCs w:val="22"/>
        </w:rPr>
        <w:t>in</w:t>
      </w:r>
      <w:r w:rsidR="00B26089">
        <w:rPr>
          <w:szCs w:val="22"/>
        </w:rPr>
        <w:t>efficiencies and encourag</w:t>
      </w:r>
      <w:r w:rsidR="004C0261">
        <w:rPr>
          <w:szCs w:val="22"/>
        </w:rPr>
        <w:t>e</w:t>
      </w:r>
      <w:r w:rsidR="00B26089">
        <w:rPr>
          <w:szCs w:val="22"/>
        </w:rPr>
        <w:t xml:space="preserve"> </w:t>
      </w:r>
      <w:r w:rsidR="001653D5">
        <w:rPr>
          <w:szCs w:val="22"/>
        </w:rPr>
        <w:t>them</w:t>
      </w:r>
      <w:r w:rsidR="00B26089">
        <w:rPr>
          <w:szCs w:val="22"/>
        </w:rPr>
        <w:t xml:space="preserve"> to be aware of </w:t>
      </w:r>
      <w:r w:rsidR="00B84539">
        <w:rPr>
          <w:szCs w:val="22"/>
        </w:rPr>
        <w:t xml:space="preserve">accurate </w:t>
      </w:r>
      <w:r w:rsidR="00B26089" w:rsidRPr="00D86E0D">
        <w:rPr>
          <w:szCs w:val="22"/>
        </w:rPr>
        <w:t>share prices in the market.</w:t>
      </w:r>
    </w:p>
    <w:p w:rsidR="0055605A" w:rsidRPr="0055605A" w:rsidRDefault="001C2777">
      <w:pPr>
        <w:ind w:left="442" w:hangingChars="200" w:hanging="442"/>
        <w:contextualSpacing/>
        <w:outlineLvl w:val="0"/>
        <w:rPr>
          <w:b/>
          <w:szCs w:val="22"/>
        </w:rPr>
      </w:pPr>
      <w:r>
        <w:rPr>
          <w:b/>
          <w:szCs w:val="22"/>
        </w:rPr>
        <w:br w:type="page"/>
      </w:r>
      <w:r w:rsidR="0055605A" w:rsidRPr="0055605A">
        <w:rPr>
          <w:rFonts w:hint="eastAsia"/>
          <w:b/>
          <w:szCs w:val="22"/>
        </w:rPr>
        <w:lastRenderedPageBreak/>
        <w:t>References:</w:t>
      </w:r>
    </w:p>
    <w:p w:rsidR="00E825FC" w:rsidRDefault="0055605A" w:rsidP="00F4684B">
      <w:pPr>
        <w:spacing w:line="240" w:lineRule="auto"/>
        <w:ind w:left="440" w:hangingChars="200" w:hanging="440"/>
        <w:rPr>
          <w:szCs w:val="22"/>
        </w:rPr>
      </w:pPr>
      <w:r w:rsidRPr="0055605A">
        <w:rPr>
          <w:rFonts w:hint="eastAsia"/>
          <w:szCs w:val="22"/>
        </w:rPr>
        <w:t>Allen,</w:t>
      </w:r>
      <w:r w:rsidR="004C0261">
        <w:rPr>
          <w:szCs w:val="22"/>
        </w:rPr>
        <w:t xml:space="preserve"> </w:t>
      </w:r>
      <w:r w:rsidRPr="0055605A">
        <w:rPr>
          <w:rFonts w:hint="eastAsia"/>
          <w:szCs w:val="22"/>
        </w:rPr>
        <w:t>E.J., Larson,</w:t>
      </w:r>
      <w:r w:rsidR="004C0261">
        <w:rPr>
          <w:szCs w:val="22"/>
        </w:rPr>
        <w:t xml:space="preserve"> </w:t>
      </w:r>
      <w:r w:rsidRPr="0055605A">
        <w:rPr>
          <w:rFonts w:hint="eastAsia"/>
          <w:szCs w:val="22"/>
        </w:rPr>
        <w:t>C.R. and Sloan,</w:t>
      </w:r>
      <w:r w:rsidR="004C0261">
        <w:rPr>
          <w:szCs w:val="22"/>
        </w:rPr>
        <w:t xml:space="preserve"> </w:t>
      </w:r>
      <w:r w:rsidRPr="0055605A">
        <w:rPr>
          <w:rFonts w:hint="eastAsia"/>
          <w:szCs w:val="22"/>
        </w:rPr>
        <w:t>R.G. (2013)</w:t>
      </w:r>
      <w:r w:rsidR="00F4684B">
        <w:rPr>
          <w:szCs w:val="22"/>
        </w:rPr>
        <w:t>, “</w:t>
      </w:r>
      <w:r w:rsidR="00F4684B" w:rsidRPr="0055605A">
        <w:rPr>
          <w:szCs w:val="22"/>
        </w:rPr>
        <w:t>Accrual</w:t>
      </w:r>
      <w:r w:rsidRPr="0055605A">
        <w:rPr>
          <w:szCs w:val="22"/>
        </w:rPr>
        <w:t xml:space="preserve"> reversals, earnings and stock returns</w:t>
      </w:r>
      <w:r w:rsidR="00F4684B">
        <w:rPr>
          <w:szCs w:val="22"/>
        </w:rPr>
        <w:t>”,</w:t>
      </w:r>
      <w:r w:rsidRPr="0055605A">
        <w:rPr>
          <w:rFonts w:hint="eastAsia"/>
          <w:szCs w:val="22"/>
        </w:rPr>
        <w:t xml:space="preserve"> </w:t>
      </w:r>
      <w:r w:rsidRPr="0055605A">
        <w:rPr>
          <w:rFonts w:hint="eastAsia"/>
          <w:i/>
          <w:szCs w:val="22"/>
        </w:rPr>
        <w:t>Journal of Accounting and Economics</w:t>
      </w:r>
      <w:r w:rsidRPr="0055605A">
        <w:rPr>
          <w:rFonts w:hint="eastAsia"/>
          <w:szCs w:val="22"/>
        </w:rPr>
        <w:t xml:space="preserve">, </w:t>
      </w:r>
      <w:r w:rsidR="00F4684B">
        <w:rPr>
          <w:szCs w:val="22"/>
        </w:rPr>
        <w:t xml:space="preserve">Vol. </w:t>
      </w:r>
      <w:r w:rsidRPr="0055605A">
        <w:rPr>
          <w:rFonts w:hint="eastAsia"/>
          <w:szCs w:val="22"/>
        </w:rPr>
        <w:t>56</w:t>
      </w:r>
      <w:r w:rsidR="00F4684B">
        <w:rPr>
          <w:szCs w:val="22"/>
        </w:rPr>
        <w:t xml:space="preserve"> No.</w:t>
      </w:r>
      <w:r w:rsidRPr="0055605A">
        <w:rPr>
          <w:rFonts w:hint="eastAsia"/>
          <w:szCs w:val="22"/>
        </w:rPr>
        <w:t>1,</w:t>
      </w:r>
      <w:r>
        <w:rPr>
          <w:szCs w:val="22"/>
        </w:rPr>
        <w:t xml:space="preserve"> </w:t>
      </w:r>
      <w:r w:rsidR="00F4684B">
        <w:rPr>
          <w:szCs w:val="22"/>
        </w:rPr>
        <w:t xml:space="preserve">pp. </w:t>
      </w:r>
      <w:r w:rsidRPr="0055605A">
        <w:rPr>
          <w:rFonts w:hint="eastAsia"/>
          <w:szCs w:val="22"/>
        </w:rPr>
        <w:t>113-129.</w:t>
      </w:r>
    </w:p>
    <w:p w:rsidR="00B7485D" w:rsidRDefault="00E825FC">
      <w:pPr>
        <w:spacing w:line="240" w:lineRule="auto"/>
        <w:ind w:left="440" w:hangingChars="200" w:hanging="440"/>
        <w:rPr>
          <w:szCs w:val="22"/>
        </w:rPr>
      </w:pPr>
      <w:r w:rsidRPr="00E825FC">
        <w:rPr>
          <w:szCs w:val="22"/>
        </w:rPr>
        <w:t xml:space="preserve">Ball, R., Gerakos, J., Linnainmaa, J. T., </w:t>
      </w:r>
      <w:r w:rsidR="00276F2A">
        <w:rPr>
          <w:szCs w:val="22"/>
        </w:rPr>
        <w:t>and</w:t>
      </w:r>
      <w:r w:rsidR="00276F2A" w:rsidRPr="00E825FC">
        <w:rPr>
          <w:szCs w:val="22"/>
        </w:rPr>
        <w:t xml:space="preserve"> </w:t>
      </w:r>
      <w:r w:rsidRPr="00E825FC">
        <w:rPr>
          <w:szCs w:val="22"/>
        </w:rPr>
        <w:t>Nikolaev, V. (2016</w:t>
      </w:r>
      <w:r w:rsidR="00F4684B">
        <w:rPr>
          <w:szCs w:val="22"/>
        </w:rPr>
        <w:t>), “</w:t>
      </w:r>
      <w:r w:rsidR="00F4684B" w:rsidRPr="00E825FC">
        <w:rPr>
          <w:szCs w:val="22"/>
        </w:rPr>
        <w:t>Accruals</w:t>
      </w:r>
      <w:r w:rsidRPr="00E825FC">
        <w:rPr>
          <w:szCs w:val="22"/>
        </w:rPr>
        <w:t>, cash flows, and operating profitability in the</w:t>
      </w:r>
      <w:r w:rsidR="00F4684B">
        <w:rPr>
          <w:szCs w:val="22"/>
        </w:rPr>
        <w:t xml:space="preserve"> cross section of stock returns”,</w:t>
      </w:r>
      <w:r w:rsidRPr="00E825FC">
        <w:rPr>
          <w:szCs w:val="22"/>
        </w:rPr>
        <w:t> </w:t>
      </w:r>
      <w:r w:rsidRPr="00F4684B">
        <w:rPr>
          <w:i/>
          <w:iCs/>
          <w:szCs w:val="22"/>
        </w:rPr>
        <w:t>Journal of Financial Economics</w:t>
      </w:r>
      <w:r w:rsidRPr="00E825FC">
        <w:rPr>
          <w:szCs w:val="22"/>
        </w:rPr>
        <w:t>, </w:t>
      </w:r>
      <w:r w:rsidR="00F4684B">
        <w:rPr>
          <w:szCs w:val="22"/>
        </w:rPr>
        <w:t xml:space="preserve">Vol. </w:t>
      </w:r>
      <w:r w:rsidRPr="00E825FC">
        <w:rPr>
          <w:szCs w:val="22"/>
        </w:rPr>
        <w:t>121</w:t>
      </w:r>
      <w:r w:rsidR="00F4684B">
        <w:rPr>
          <w:szCs w:val="22"/>
        </w:rPr>
        <w:t xml:space="preserve"> No. 1</w:t>
      </w:r>
      <w:r w:rsidRPr="00E825FC">
        <w:rPr>
          <w:szCs w:val="22"/>
        </w:rPr>
        <w:t xml:space="preserve">, </w:t>
      </w:r>
      <w:r w:rsidR="00F4684B">
        <w:rPr>
          <w:szCs w:val="22"/>
        </w:rPr>
        <w:t xml:space="preserve">pp. </w:t>
      </w:r>
      <w:r w:rsidRPr="00E825FC">
        <w:rPr>
          <w:szCs w:val="22"/>
        </w:rPr>
        <w:t>28-45.</w:t>
      </w:r>
    </w:p>
    <w:p w:rsidR="008D3F66" w:rsidRPr="0055605A" w:rsidRDefault="008D3F66" w:rsidP="007D75D2">
      <w:pPr>
        <w:spacing w:line="240" w:lineRule="auto"/>
        <w:ind w:left="440" w:hangingChars="200" w:hanging="440"/>
        <w:rPr>
          <w:szCs w:val="22"/>
        </w:rPr>
      </w:pPr>
      <w:r w:rsidRPr="007D75D2">
        <w:rPr>
          <w:szCs w:val="22"/>
        </w:rPr>
        <w:t>Chan, A</w:t>
      </w:r>
      <w:r w:rsidRPr="008D3F66">
        <w:rPr>
          <w:szCs w:val="22"/>
        </w:rPr>
        <w:t xml:space="preserve">. L., Lee, E., </w:t>
      </w:r>
      <w:r w:rsidR="00276F2A">
        <w:rPr>
          <w:szCs w:val="22"/>
        </w:rPr>
        <w:t>and</w:t>
      </w:r>
      <w:r w:rsidRPr="008D3F66">
        <w:rPr>
          <w:szCs w:val="22"/>
        </w:rPr>
        <w:t xml:space="preserve"> Lin, S. (2009)</w:t>
      </w:r>
      <w:r>
        <w:rPr>
          <w:szCs w:val="22"/>
        </w:rPr>
        <w:t xml:space="preserve">, </w:t>
      </w:r>
      <w:r w:rsidR="00D42CE8">
        <w:rPr>
          <w:szCs w:val="22"/>
        </w:rPr>
        <w:t>“</w:t>
      </w:r>
      <w:r w:rsidR="00D42CE8" w:rsidRPr="00D42CE8">
        <w:rPr>
          <w:szCs w:val="22"/>
        </w:rPr>
        <w:t>The</w:t>
      </w:r>
      <w:r w:rsidRPr="007D75D2">
        <w:rPr>
          <w:szCs w:val="22"/>
        </w:rPr>
        <w:t xml:space="preserve"> impact of accounting information quality on the mispricing of accruals: The case of FRS3 in the UK. Journal of accounting and public policy</w:t>
      </w:r>
      <w:r>
        <w:rPr>
          <w:szCs w:val="22"/>
        </w:rPr>
        <w:t>”</w:t>
      </w:r>
      <w:r w:rsidRPr="007D75D2">
        <w:rPr>
          <w:szCs w:val="22"/>
        </w:rPr>
        <w:t>, </w:t>
      </w:r>
      <w:r>
        <w:rPr>
          <w:szCs w:val="22"/>
        </w:rPr>
        <w:t>Vol.</w:t>
      </w:r>
      <w:r w:rsidRPr="007D75D2">
        <w:rPr>
          <w:szCs w:val="22"/>
        </w:rPr>
        <w:t>28</w:t>
      </w:r>
      <w:r>
        <w:rPr>
          <w:szCs w:val="22"/>
        </w:rPr>
        <w:t xml:space="preserve"> No. </w:t>
      </w:r>
      <w:r w:rsidRPr="00D42CE8">
        <w:rPr>
          <w:szCs w:val="22"/>
        </w:rPr>
        <w:t>3</w:t>
      </w:r>
      <w:r w:rsidRPr="007D75D2">
        <w:rPr>
          <w:szCs w:val="22"/>
        </w:rPr>
        <w:t>, 189-206.</w:t>
      </w:r>
    </w:p>
    <w:p w:rsidR="00340409" w:rsidRPr="00B7485D" w:rsidRDefault="0055605A" w:rsidP="00F4684B">
      <w:pPr>
        <w:spacing w:line="240" w:lineRule="auto"/>
        <w:ind w:left="440" w:hangingChars="200" w:hanging="440"/>
        <w:rPr>
          <w:szCs w:val="22"/>
        </w:rPr>
      </w:pPr>
      <w:r w:rsidRPr="0055605A">
        <w:rPr>
          <w:szCs w:val="22"/>
        </w:rPr>
        <w:t>Chan, K., Chan, L.K.C., Jegadeesh, N.</w:t>
      </w:r>
      <w:r w:rsidRPr="0055605A">
        <w:rPr>
          <w:rFonts w:hint="eastAsia"/>
          <w:szCs w:val="22"/>
        </w:rPr>
        <w:t xml:space="preserve"> and</w:t>
      </w:r>
      <w:r w:rsidR="00F4684B">
        <w:rPr>
          <w:szCs w:val="22"/>
        </w:rPr>
        <w:t xml:space="preserve"> Lakonishok, J. (2006), “</w:t>
      </w:r>
      <w:r w:rsidR="00F4684B" w:rsidRPr="0055605A">
        <w:rPr>
          <w:szCs w:val="22"/>
        </w:rPr>
        <w:t>Earnings</w:t>
      </w:r>
      <w:r w:rsidR="00F4684B">
        <w:rPr>
          <w:szCs w:val="22"/>
        </w:rPr>
        <w:t xml:space="preserve"> quality and stock returns”, </w:t>
      </w:r>
      <w:r w:rsidRPr="0055605A">
        <w:rPr>
          <w:i/>
          <w:szCs w:val="22"/>
        </w:rPr>
        <w:t>Journal of Business</w:t>
      </w:r>
      <w:r w:rsidRPr="0055605A">
        <w:rPr>
          <w:szCs w:val="22"/>
        </w:rPr>
        <w:t xml:space="preserve">, </w:t>
      </w:r>
      <w:r w:rsidR="00F4684B">
        <w:rPr>
          <w:szCs w:val="22"/>
        </w:rPr>
        <w:t xml:space="preserve">Vol. </w:t>
      </w:r>
      <w:r w:rsidRPr="0055605A">
        <w:rPr>
          <w:szCs w:val="22"/>
        </w:rPr>
        <w:t>79</w:t>
      </w:r>
      <w:r w:rsidR="00F4684B">
        <w:rPr>
          <w:szCs w:val="22"/>
        </w:rPr>
        <w:t xml:space="preserve"> No. 3</w:t>
      </w:r>
      <w:r w:rsidRPr="0055605A">
        <w:rPr>
          <w:szCs w:val="22"/>
        </w:rPr>
        <w:t xml:space="preserve">, </w:t>
      </w:r>
      <w:r w:rsidR="00F4684B">
        <w:rPr>
          <w:szCs w:val="22"/>
        </w:rPr>
        <w:t xml:space="preserve">pp. </w:t>
      </w:r>
      <w:r w:rsidRPr="0055605A">
        <w:rPr>
          <w:szCs w:val="22"/>
        </w:rPr>
        <w:t>1041-1082</w:t>
      </w:r>
      <w:r w:rsidR="004C0261">
        <w:rPr>
          <w:szCs w:val="22"/>
        </w:rPr>
        <w:t>.</w:t>
      </w:r>
    </w:p>
    <w:p w:rsidR="00B7485D" w:rsidRPr="0055605A" w:rsidRDefault="006816B9" w:rsidP="00F4684B">
      <w:pPr>
        <w:spacing w:line="240" w:lineRule="auto"/>
        <w:ind w:left="440" w:hangingChars="200" w:hanging="440"/>
        <w:rPr>
          <w:szCs w:val="22"/>
        </w:rPr>
      </w:pPr>
      <w:r w:rsidRPr="0055605A">
        <w:rPr>
          <w:rFonts w:hint="eastAsia"/>
          <w:szCs w:val="22"/>
        </w:rPr>
        <w:t>Darjezi,</w:t>
      </w:r>
      <w:r>
        <w:rPr>
          <w:szCs w:val="22"/>
        </w:rPr>
        <w:t xml:space="preserve"> </w:t>
      </w:r>
      <w:r w:rsidRPr="0055605A">
        <w:rPr>
          <w:rFonts w:hint="eastAsia"/>
          <w:szCs w:val="22"/>
        </w:rPr>
        <w:t>J.I.Z., Khansalar,</w:t>
      </w:r>
      <w:r>
        <w:rPr>
          <w:szCs w:val="22"/>
        </w:rPr>
        <w:t xml:space="preserve"> </w:t>
      </w:r>
      <w:r w:rsidRPr="0055605A">
        <w:rPr>
          <w:rFonts w:hint="eastAsia"/>
          <w:szCs w:val="22"/>
        </w:rPr>
        <w:t>E. and Holt,</w:t>
      </w:r>
      <w:r>
        <w:rPr>
          <w:szCs w:val="22"/>
        </w:rPr>
        <w:t xml:space="preserve"> </w:t>
      </w:r>
      <w:r w:rsidRPr="0055605A">
        <w:rPr>
          <w:rFonts w:hint="eastAsia"/>
          <w:szCs w:val="22"/>
        </w:rPr>
        <w:t>A. (201</w:t>
      </w:r>
      <w:r>
        <w:rPr>
          <w:szCs w:val="22"/>
        </w:rPr>
        <w:t>5</w:t>
      </w:r>
      <w:r w:rsidRPr="0055605A">
        <w:rPr>
          <w:rFonts w:hint="eastAsia"/>
          <w:szCs w:val="22"/>
        </w:rPr>
        <w:t>)</w:t>
      </w:r>
      <w:r w:rsidR="00F4684B">
        <w:rPr>
          <w:szCs w:val="22"/>
        </w:rPr>
        <w:t>, “</w:t>
      </w:r>
      <w:r w:rsidR="00F4684B" w:rsidRPr="0055605A">
        <w:rPr>
          <w:szCs w:val="22"/>
        </w:rPr>
        <w:t>The</w:t>
      </w:r>
      <w:r w:rsidRPr="0055605A">
        <w:rPr>
          <w:szCs w:val="22"/>
        </w:rPr>
        <w:t xml:space="preserve"> Role of Working Capital Accruals on Earnings Quality and Stock Return</w:t>
      </w:r>
      <w:r w:rsidR="00F4684B">
        <w:rPr>
          <w:szCs w:val="22"/>
        </w:rPr>
        <w:t>”,</w:t>
      </w:r>
      <w:r w:rsidRPr="0055605A">
        <w:rPr>
          <w:rFonts w:hint="eastAsia"/>
          <w:szCs w:val="22"/>
        </w:rPr>
        <w:t xml:space="preserve"> </w:t>
      </w:r>
      <w:r w:rsidRPr="0055605A">
        <w:rPr>
          <w:i/>
          <w:szCs w:val="22"/>
        </w:rPr>
        <w:t>International Journal of Economics and Finance</w:t>
      </w:r>
      <w:r>
        <w:rPr>
          <w:szCs w:val="22"/>
        </w:rPr>
        <w:t xml:space="preserve">, </w:t>
      </w:r>
      <w:r w:rsidR="00F4684B">
        <w:rPr>
          <w:szCs w:val="22"/>
        </w:rPr>
        <w:t xml:space="preserve">Vol. </w:t>
      </w:r>
      <w:r>
        <w:rPr>
          <w:szCs w:val="22"/>
        </w:rPr>
        <w:t>7</w:t>
      </w:r>
      <w:r w:rsidR="00F4684B">
        <w:rPr>
          <w:szCs w:val="22"/>
        </w:rPr>
        <w:t xml:space="preserve"> No. </w:t>
      </w:r>
      <w:r w:rsidR="00F4684B">
        <w:rPr>
          <w:rFonts w:hint="eastAsia"/>
          <w:szCs w:val="22"/>
        </w:rPr>
        <w:t>9</w:t>
      </w:r>
      <w:r>
        <w:rPr>
          <w:rFonts w:hint="eastAsia"/>
          <w:szCs w:val="22"/>
        </w:rPr>
        <w:t>,</w:t>
      </w:r>
      <w:r>
        <w:rPr>
          <w:szCs w:val="22"/>
        </w:rPr>
        <w:t xml:space="preserve"> </w:t>
      </w:r>
      <w:r w:rsidR="00F4684B">
        <w:rPr>
          <w:szCs w:val="22"/>
        </w:rPr>
        <w:t xml:space="preserve">pp. </w:t>
      </w:r>
      <w:r w:rsidRPr="0055605A">
        <w:rPr>
          <w:rFonts w:hint="eastAsia"/>
          <w:szCs w:val="22"/>
        </w:rPr>
        <w:t>1-14</w:t>
      </w:r>
      <w:r>
        <w:rPr>
          <w:szCs w:val="22"/>
        </w:rPr>
        <w:t>.</w:t>
      </w:r>
    </w:p>
    <w:p w:rsidR="00B7485D" w:rsidRPr="0055605A" w:rsidRDefault="006816B9" w:rsidP="00F4684B">
      <w:pPr>
        <w:spacing w:line="240" w:lineRule="auto"/>
        <w:ind w:left="440" w:hangingChars="200" w:hanging="440"/>
        <w:rPr>
          <w:szCs w:val="22"/>
        </w:rPr>
      </w:pPr>
      <w:r w:rsidRPr="0055605A">
        <w:rPr>
          <w:szCs w:val="22"/>
        </w:rPr>
        <w:t>Dechow, P.M</w:t>
      </w:r>
      <w:r>
        <w:rPr>
          <w:szCs w:val="22"/>
        </w:rPr>
        <w:t>.</w:t>
      </w:r>
      <w:r w:rsidRPr="0055605A">
        <w:rPr>
          <w:rFonts w:hint="eastAsia"/>
          <w:szCs w:val="22"/>
        </w:rPr>
        <w:t xml:space="preserve"> and </w:t>
      </w:r>
      <w:r w:rsidRPr="0055605A">
        <w:rPr>
          <w:szCs w:val="22"/>
        </w:rPr>
        <w:t>Dichev</w:t>
      </w:r>
      <w:r>
        <w:rPr>
          <w:szCs w:val="22"/>
        </w:rPr>
        <w:t>,</w:t>
      </w:r>
      <w:r w:rsidRPr="004C0261">
        <w:rPr>
          <w:szCs w:val="22"/>
        </w:rPr>
        <w:t xml:space="preserve"> </w:t>
      </w:r>
      <w:r w:rsidRPr="0055605A">
        <w:rPr>
          <w:szCs w:val="22"/>
        </w:rPr>
        <w:t>I.D. (2002)</w:t>
      </w:r>
      <w:r w:rsidR="00F4684B">
        <w:rPr>
          <w:szCs w:val="22"/>
        </w:rPr>
        <w:t>, “</w:t>
      </w:r>
      <w:r w:rsidRPr="0055605A">
        <w:rPr>
          <w:szCs w:val="22"/>
        </w:rPr>
        <w:t>The Quality of Accruals and Earnings: The Role of Accrual</w:t>
      </w:r>
      <w:r w:rsidRPr="0055605A">
        <w:rPr>
          <w:rFonts w:hint="eastAsia"/>
          <w:szCs w:val="22"/>
        </w:rPr>
        <w:t xml:space="preserve"> </w:t>
      </w:r>
      <w:r w:rsidRPr="0055605A">
        <w:rPr>
          <w:szCs w:val="22"/>
        </w:rPr>
        <w:t>Estimation Error</w:t>
      </w:r>
      <w:r>
        <w:rPr>
          <w:szCs w:val="22"/>
        </w:rPr>
        <w:t>s</w:t>
      </w:r>
      <w:r w:rsidR="00F4684B">
        <w:rPr>
          <w:szCs w:val="22"/>
        </w:rPr>
        <w:t xml:space="preserve">”, </w:t>
      </w:r>
      <w:r w:rsidRPr="0055605A">
        <w:rPr>
          <w:i/>
          <w:szCs w:val="22"/>
        </w:rPr>
        <w:t>The Accounting Review</w:t>
      </w:r>
      <w:r w:rsidR="00F4684B">
        <w:rPr>
          <w:szCs w:val="22"/>
        </w:rPr>
        <w:t>, Vol.</w:t>
      </w:r>
      <w:r w:rsidRPr="0055605A">
        <w:rPr>
          <w:szCs w:val="22"/>
        </w:rPr>
        <w:t>77</w:t>
      </w:r>
      <w:r w:rsidR="00F4684B">
        <w:rPr>
          <w:szCs w:val="22"/>
        </w:rPr>
        <w:t xml:space="preserve"> No. </w:t>
      </w:r>
      <w:r w:rsidR="00F4684B">
        <w:rPr>
          <w:rFonts w:hint="eastAsia"/>
          <w:szCs w:val="22"/>
        </w:rPr>
        <w:t>1</w:t>
      </w:r>
      <w:r w:rsidRPr="0055605A">
        <w:rPr>
          <w:szCs w:val="22"/>
        </w:rPr>
        <w:t xml:space="preserve">, </w:t>
      </w:r>
      <w:r w:rsidR="00F4684B">
        <w:rPr>
          <w:szCs w:val="22"/>
        </w:rPr>
        <w:t xml:space="preserve">pp. </w:t>
      </w:r>
      <w:r w:rsidRPr="0055605A">
        <w:rPr>
          <w:szCs w:val="22"/>
        </w:rPr>
        <w:t>35–59.</w:t>
      </w:r>
    </w:p>
    <w:p w:rsidR="00B7485D" w:rsidRPr="00B7485D" w:rsidRDefault="0055605A" w:rsidP="00D504FD">
      <w:pPr>
        <w:spacing w:line="240" w:lineRule="auto"/>
        <w:ind w:left="440" w:hangingChars="200" w:hanging="440"/>
        <w:rPr>
          <w:szCs w:val="22"/>
        </w:rPr>
      </w:pPr>
      <w:r w:rsidRPr="0055605A">
        <w:rPr>
          <w:rFonts w:hint="eastAsia"/>
          <w:szCs w:val="22"/>
        </w:rPr>
        <w:t>Dechow,</w:t>
      </w:r>
      <w:r w:rsidR="004C0261">
        <w:rPr>
          <w:szCs w:val="22"/>
        </w:rPr>
        <w:t xml:space="preserve"> </w:t>
      </w:r>
      <w:r w:rsidRPr="0055605A">
        <w:rPr>
          <w:rFonts w:hint="eastAsia"/>
          <w:szCs w:val="22"/>
        </w:rPr>
        <w:t>P.M. and Ge,</w:t>
      </w:r>
      <w:r w:rsidR="004C0261">
        <w:rPr>
          <w:szCs w:val="22"/>
        </w:rPr>
        <w:t xml:space="preserve"> </w:t>
      </w:r>
      <w:r w:rsidRPr="0055605A">
        <w:rPr>
          <w:rFonts w:hint="eastAsia"/>
          <w:szCs w:val="22"/>
        </w:rPr>
        <w:t>W. (2006)</w:t>
      </w:r>
      <w:r w:rsidR="00F4684B">
        <w:rPr>
          <w:szCs w:val="22"/>
        </w:rPr>
        <w:t>, “</w:t>
      </w:r>
      <w:r w:rsidR="00F4684B" w:rsidRPr="0055605A">
        <w:rPr>
          <w:szCs w:val="22"/>
        </w:rPr>
        <w:t>The</w:t>
      </w:r>
      <w:r w:rsidRPr="0055605A">
        <w:rPr>
          <w:szCs w:val="22"/>
        </w:rPr>
        <w:t xml:space="preserve"> persistence of earnings and cash flows and the role of special items: Implication for the accrual anomaly</w:t>
      </w:r>
      <w:r w:rsidR="00F4684B">
        <w:rPr>
          <w:szCs w:val="22"/>
        </w:rPr>
        <w:t>”,</w:t>
      </w:r>
      <w:r w:rsidRPr="0055605A">
        <w:rPr>
          <w:szCs w:val="22"/>
        </w:rPr>
        <w:t xml:space="preserve"> </w:t>
      </w:r>
      <w:r w:rsidRPr="0055605A">
        <w:rPr>
          <w:i/>
          <w:szCs w:val="22"/>
        </w:rPr>
        <w:t>Review of Accounting Studies</w:t>
      </w:r>
      <w:r w:rsidRPr="0055605A">
        <w:rPr>
          <w:rFonts w:hint="eastAsia"/>
          <w:szCs w:val="22"/>
        </w:rPr>
        <w:t xml:space="preserve">, </w:t>
      </w:r>
      <w:r w:rsidR="00F4684B">
        <w:rPr>
          <w:szCs w:val="22"/>
        </w:rPr>
        <w:t xml:space="preserve">Vol. </w:t>
      </w:r>
      <w:r w:rsidRPr="0055605A">
        <w:rPr>
          <w:szCs w:val="22"/>
        </w:rPr>
        <w:t>11</w:t>
      </w:r>
      <w:r w:rsidR="00F4684B">
        <w:rPr>
          <w:szCs w:val="22"/>
        </w:rPr>
        <w:t xml:space="preserve"> No. </w:t>
      </w:r>
      <w:r w:rsidR="00F4684B">
        <w:rPr>
          <w:rFonts w:hint="eastAsia"/>
          <w:szCs w:val="22"/>
        </w:rPr>
        <w:t>2-3</w:t>
      </w:r>
      <w:r w:rsidRPr="0055605A">
        <w:rPr>
          <w:szCs w:val="22"/>
        </w:rPr>
        <w:t>,</w:t>
      </w:r>
      <w:r>
        <w:rPr>
          <w:rFonts w:hint="eastAsia"/>
          <w:szCs w:val="22"/>
        </w:rPr>
        <w:t xml:space="preserve"> </w:t>
      </w:r>
      <w:r w:rsidR="00F4684B">
        <w:rPr>
          <w:szCs w:val="22"/>
        </w:rPr>
        <w:t xml:space="preserve">pp. </w:t>
      </w:r>
      <w:r w:rsidRPr="0055605A">
        <w:rPr>
          <w:szCs w:val="22"/>
        </w:rPr>
        <w:t>253–296.</w:t>
      </w:r>
    </w:p>
    <w:p w:rsidR="00520041" w:rsidRPr="00EB4742" w:rsidRDefault="00520041">
      <w:pPr>
        <w:spacing w:line="240" w:lineRule="auto"/>
        <w:ind w:left="440" w:hangingChars="200" w:hanging="440"/>
      </w:pPr>
      <w:r>
        <w:t>Dechow, P. M., Ge, W., Lar</w:t>
      </w:r>
      <w:r w:rsidR="00EB4742">
        <w:t xml:space="preserve">son, C.R., </w:t>
      </w:r>
      <w:r w:rsidR="00276F2A">
        <w:t xml:space="preserve">and </w:t>
      </w:r>
      <w:r w:rsidR="00EB4742">
        <w:t>Sloan, R.G. (2008), “Predicting</w:t>
      </w:r>
      <w:r>
        <w:t xml:space="preserve"> ma</w:t>
      </w:r>
      <w:r w:rsidR="00EB4742">
        <w:t xml:space="preserve">terial accounting manipulations”, </w:t>
      </w:r>
      <w:r w:rsidRPr="00EB4742">
        <w:rPr>
          <w:i/>
          <w:iCs/>
        </w:rPr>
        <w:t>Working Paper</w:t>
      </w:r>
      <w:r>
        <w:t>, University of California, Berkeley.</w:t>
      </w:r>
    </w:p>
    <w:p w:rsidR="00520041" w:rsidRDefault="00520041" w:rsidP="00EB4742">
      <w:pPr>
        <w:spacing w:line="240" w:lineRule="auto"/>
        <w:ind w:left="440" w:hangingChars="200" w:hanging="440"/>
      </w:pPr>
      <w:r>
        <w:t xml:space="preserve">Fairfield P., </w:t>
      </w:r>
      <w:r w:rsidR="00EB4742">
        <w:t>S.Whisenant and T. Yohn. (2003), “Accrued</w:t>
      </w:r>
      <w:r>
        <w:t xml:space="preserve"> earnings and growth: implications for future prof</w:t>
      </w:r>
      <w:r w:rsidR="00EB4742">
        <w:t>itability and market mispricing”,</w:t>
      </w:r>
      <w:r>
        <w:t xml:space="preserve"> </w:t>
      </w:r>
      <w:r w:rsidRPr="00EB4742">
        <w:rPr>
          <w:i/>
          <w:iCs/>
        </w:rPr>
        <w:t>The Accounting Review</w:t>
      </w:r>
      <w:r>
        <w:t xml:space="preserve">, </w:t>
      </w:r>
      <w:r w:rsidR="00EB4742">
        <w:t xml:space="preserve">Vol. </w:t>
      </w:r>
      <w:r>
        <w:t>78</w:t>
      </w:r>
      <w:r w:rsidR="00EB4742">
        <w:t xml:space="preserve"> No. </w:t>
      </w:r>
      <w:r>
        <w:t>1</w:t>
      </w:r>
      <w:r w:rsidR="00EB4742">
        <w:t xml:space="preserve">, pp. </w:t>
      </w:r>
      <w:r>
        <w:t>353- 371.</w:t>
      </w:r>
    </w:p>
    <w:p w:rsidR="00870C1E" w:rsidRPr="00EB4742" w:rsidRDefault="00870C1E" w:rsidP="00EB4742">
      <w:pPr>
        <w:spacing w:line="240" w:lineRule="auto"/>
        <w:ind w:left="440" w:hangingChars="200" w:hanging="440"/>
      </w:pPr>
      <w:r w:rsidRPr="007D75D2">
        <w:t>Gray, P., Liao, I. S., &amp; Strydom, M. (2018). The profitability of trading NOA and accruals: One effect or two?. International Review of Financial Analysis, 58, 211-224.</w:t>
      </w:r>
    </w:p>
    <w:p w:rsidR="00B7485D" w:rsidRPr="0055605A" w:rsidRDefault="006816B9" w:rsidP="00E425C8">
      <w:pPr>
        <w:spacing w:line="240" w:lineRule="auto"/>
        <w:ind w:left="440" w:hangingChars="200" w:hanging="440"/>
        <w:rPr>
          <w:szCs w:val="22"/>
        </w:rPr>
      </w:pPr>
      <w:r w:rsidRPr="0055605A">
        <w:rPr>
          <w:szCs w:val="22"/>
        </w:rPr>
        <w:t>Healy, P.M</w:t>
      </w:r>
      <w:r w:rsidRPr="0055605A">
        <w:rPr>
          <w:rFonts w:hint="eastAsia"/>
          <w:szCs w:val="22"/>
        </w:rPr>
        <w:t xml:space="preserve"> </w:t>
      </w:r>
      <w:r w:rsidRPr="0055605A">
        <w:rPr>
          <w:szCs w:val="22"/>
        </w:rPr>
        <w:t>and</w:t>
      </w:r>
      <w:r w:rsidRPr="0055605A">
        <w:rPr>
          <w:rFonts w:hint="eastAsia"/>
          <w:szCs w:val="22"/>
        </w:rPr>
        <w:t xml:space="preserve"> </w:t>
      </w:r>
      <w:r w:rsidRPr="0055605A">
        <w:rPr>
          <w:szCs w:val="22"/>
        </w:rPr>
        <w:t>Wahlen</w:t>
      </w:r>
      <w:r w:rsidRPr="0055605A">
        <w:rPr>
          <w:rFonts w:hint="eastAsia"/>
          <w:szCs w:val="22"/>
        </w:rPr>
        <w:t>,</w:t>
      </w:r>
      <w:r>
        <w:rPr>
          <w:szCs w:val="22"/>
        </w:rPr>
        <w:t xml:space="preserve"> </w:t>
      </w:r>
      <w:r w:rsidRPr="0055605A">
        <w:rPr>
          <w:rFonts w:hint="eastAsia"/>
          <w:szCs w:val="22"/>
        </w:rPr>
        <w:t>J.M.</w:t>
      </w:r>
      <w:r w:rsidRPr="0055605A">
        <w:rPr>
          <w:szCs w:val="22"/>
        </w:rPr>
        <w:t xml:space="preserve"> (199</w:t>
      </w:r>
      <w:r w:rsidRPr="0055605A">
        <w:rPr>
          <w:rFonts w:hint="eastAsia"/>
          <w:szCs w:val="22"/>
        </w:rPr>
        <w:t>9</w:t>
      </w:r>
      <w:r w:rsidR="00E425C8">
        <w:rPr>
          <w:szCs w:val="22"/>
        </w:rPr>
        <w:t>), “A</w:t>
      </w:r>
      <w:r w:rsidRPr="0055605A">
        <w:rPr>
          <w:szCs w:val="22"/>
        </w:rPr>
        <w:t xml:space="preserve"> Review of the Earnings Management Literature and its</w:t>
      </w:r>
      <w:r w:rsidRPr="0055605A">
        <w:rPr>
          <w:rFonts w:hint="eastAsia"/>
          <w:szCs w:val="22"/>
        </w:rPr>
        <w:t xml:space="preserve"> </w:t>
      </w:r>
      <w:r w:rsidRPr="0055605A">
        <w:rPr>
          <w:szCs w:val="22"/>
        </w:rPr>
        <w:t>Implications for Standard Sett</w:t>
      </w:r>
      <w:r w:rsidR="00E425C8">
        <w:rPr>
          <w:szCs w:val="22"/>
        </w:rPr>
        <w:t>ing”,</w:t>
      </w:r>
      <w:r w:rsidRPr="0055605A">
        <w:rPr>
          <w:szCs w:val="22"/>
        </w:rPr>
        <w:t xml:space="preserve"> </w:t>
      </w:r>
      <w:r w:rsidRPr="0055605A">
        <w:rPr>
          <w:i/>
          <w:szCs w:val="22"/>
        </w:rPr>
        <w:t>Accounting Horizons</w:t>
      </w:r>
      <w:r w:rsidRPr="0055605A">
        <w:rPr>
          <w:szCs w:val="22"/>
        </w:rPr>
        <w:t>,</w:t>
      </w:r>
      <w:r w:rsidRPr="0055605A">
        <w:rPr>
          <w:rFonts w:hint="eastAsia"/>
          <w:szCs w:val="22"/>
        </w:rPr>
        <w:t xml:space="preserve"> </w:t>
      </w:r>
      <w:r w:rsidR="00E425C8">
        <w:rPr>
          <w:szCs w:val="22"/>
        </w:rPr>
        <w:t xml:space="preserve">Vol. </w:t>
      </w:r>
      <w:r w:rsidRPr="0055605A">
        <w:rPr>
          <w:szCs w:val="22"/>
        </w:rPr>
        <w:t>13</w:t>
      </w:r>
      <w:r w:rsidR="00E425C8">
        <w:rPr>
          <w:szCs w:val="22"/>
        </w:rPr>
        <w:t xml:space="preserve">No. </w:t>
      </w:r>
      <w:r w:rsidRPr="0055605A">
        <w:rPr>
          <w:rFonts w:hint="eastAsia"/>
          <w:szCs w:val="22"/>
        </w:rPr>
        <w:t>4</w:t>
      </w:r>
      <w:r w:rsidR="00E425C8">
        <w:rPr>
          <w:szCs w:val="22"/>
        </w:rPr>
        <w:t xml:space="preserve">, pp. </w:t>
      </w:r>
      <w:r w:rsidRPr="0055605A">
        <w:rPr>
          <w:szCs w:val="22"/>
        </w:rPr>
        <w:t>365–</w:t>
      </w:r>
      <w:r w:rsidRPr="0055605A">
        <w:rPr>
          <w:rFonts w:hint="eastAsia"/>
          <w:szCs w:val="22"/>
        </w:rPr>
        <w:t>3</w:t>
      </w:r>
      <w:r w:rsidRPr="0055605A">
        <w:rPr>
          <w:szCs w:val="22"/>
        </w:rPr>
        <w:t>83.</w:t>
      </w:r>
    </w:p>
    <w:p w:rsidR="006816B9" w:rsidRDefault="006816B9" w:rsidP="00603783">
      <w:pPr>
        <w:spacing w:line="240" w:lineRule="auto"/>
        <w:ind w:left="440" w:hangingChars="200" w:hanging="440"/>
        <w:rPr>
          <w:szCs w:val="22"/>
        </w:rPr>
      </w:pPr>
      <w:r w:rsidRPr="0055605A">
        <w:rPr>
          <w:rFonts w:hint="eastAsia"/>
          <w:szCs w:val="22"/>
        </w:rPr>
        <w:t>Hirshleifer,</w:t>
      </w:r>
      <w:r>
        <w:rPr>
          <w:szCs w:val="22"/>
        </w:rPr>
        <w:t xml:space="preserve"> </w:t>
      </w:r>
      <w:r w:rsidRPr="0055605A">
        <w:rPr>
          <w:rFonts w:hint="eastAsia"/>
          <w:szCs w:val="22"/>
        </w:rPr>
        <w:t>D.</w:t>
      </w:r>
      <w:r>
        <w:rPr>
          <w:szCs w:val="22"/>
        </w:rPr>
        <w:t>,</w:t>
      </w:r>
      <w:r w:rsidRPr="0055605A">
        <w:rPr>
          <w:rFonts w:hint="eastAsia"/>
          <w:szCs w:val="22"/>
        </w:rPr>
        <w:t xml:space="preserve"> Hou,</w:t>
      </w:r>
      <w:r>
        <w:rPr>
          <w:szCs w:val="22"/>
        </w:rPr>
        <w:t xml:space="preserve"> </w:t>
      </w:r>
      <w:r w:rsidRPr="0055605A">
        <w:rPr>
          <w:rFonts w:hint="eastAsia"/>
          <w:szCs w:val="22"/>
        </w:rPr>
        <w:t>K. and Teoh,</w:t>
      </w:r>
      <w:r>
        <w:rPr>
          <w:szCs w:val="22"/>
        </w:rPr>
        <w:t xml:space="preserve"> </w:t>
      </w:r>
      <w:r w:rsidRPr="0055605A">
        <w:rPr>
          <w:rFonts w:hint="eastAsia"/>
          <w:szCs w:val="22"/>
        </w:rPr>
        <w:t>S.H. (2009)</w:t>
      </w:r>
      <w:r w:rsidR="00E425C8">
        <w:rPr>
          <w:szCs w:val="22"/>
        </w:rPr>
        <w:t>, “</w:t>
      </w:r>
      <w:r w:rsidRPr="0055605A">
        <w:rPr>
          <w:rFonts w:hint="eastAsia"/>
          <w:szCs w:val="22"/>
        </w:rPr>
        <w:t>Accruals, cash flows, and aggregate stock returns</w:t>
      </w:r>
      <w:r w:rsidR="00E425C8">
        <w:rPr>
          <w:szCs w:val="22"/>
        </w:rPr>
        <w:t>”,</w:t>
      </w:r>
      <w:r w:rsidRPr="0055605A">
        <w:rPr>
          <w:rFonts w:hint="eastAsia"/>
          <w:i/>
          <w:szCs w:val="22"/>
        </w:rPr>
        <w:t xml:space="preserve"> Journal of Financial Economics</w:t>
      </w:r>
      <w:r w:rsidRPr="0055605A">
        <w:rPr>
          <w:rFonts w:hint="eastAsia"/>
          <w:szCs w:val="22"/>
        </w:rPr>
        <w:t>,</w:t>
      </w:r>
      <w:r>
        <w:rPr>
          <w:szCs w:val="22"/>
        </w:rPr>
        <w:t xml:space="preserve"> </w:t>
      </w:r>
      <w:r w:rsidR="00E425C8">
        <w:rPr>
          <w:szCs w:val="22"/>
        </w:rPr>
        <w:t xml:space="preserve">Vol. </w:t>
      </w:r>
      <w:r w:rsidRPr="0055605A">
        <w:rPr>
          <w:rFonts w:hint="eastAsia"/>
          <w:szCs w:val="22"/>
        </w:rPr>
        <w:t>91</w:t>
      </w:r>
      <w:r w:rsidR="00E425C8">
        <w:rPr>
          <w:szCs w:val="22"/>
        </w:rPr>
        <w:t xml:space="preserve"> No </w:t>
      </w:r>
      <w:r w:rsidR="00E425C8">
        <w:rPr>
          <w:rFonts w:hint="eastAsia"/>
          <w:szCs w:val="22"/>
        </w:rPr>
        <w:t>3</w:t>
      </w:r>
      <w:r w:rsidRPr="0055605A">
        <w:rPr>
          <w:rFonts w:hint="eastAsia"/>
          <w:szCs w:val="22"/>
        </w:rPr>
        <w:t xml:space="preserve">, </w:t>
      </w:r>
      <w:r w:rsidR="00E425C8">
        <w:rPr>
          <w:szCs w:val="22"/>
        </w:rPr>
        <w:t xml:space="preserve">pp. </w:t>
      </w:r>
      <w:r>
        <w:rPr>
          <w:rFonts w:hint="eastAsia"/>
          <w:szCs w:val="22"/>
        </w:rPr>
        <w:t>389-406.</w:t>
      </w:r>
    </w:p>
    <w:p w:rsidR="00525F92" w:rsidRPr="00276F2A" w:rsidRDefault="00525F92">
      <w:pPr>
        <w:spacing w:line="240" w:lineRule="auto"/>
        <w:ind w:left="440" w:hangingChars="200" w:hanging="440"/>
        <w:rPr>
          <w:szCs w:val="22"/>
        </w:rPr>
      </w:pPr>
      <w:r w:rsidRPr="007D75D2">
        <w:rPr>
          <w:szCs w:val="22"/>
        </w:rPr>
        <w:t xml:space="preserve">Hope, O. K., Thomas, W. B., </w:t>
      </w:r>
      <w:r w:rsidR="00276F2A" w:rsidRPr="007D75D2">
        <w:rPr>
          <w:szCs w:val="22"/>
        </w:rPr>
        <w:t>and</w:t>
      </w:r>
      <w:r w:rsidRPr="007D75D2">
        <w:rPr>
          <w:szCs w:val="22"/>
        </w:rPr>
        <w:t xml:space="preserve"> Vyas, D. (2017), “Stakeholder demand for accounting quality and economic usefulness of accounting in US private firms”, </w:t>
      </w:r>
      <w:r w:rsidRPr="007D75D2">
        <w:rPr>
          <w:i/>
          <w:iCs/>
          <w:szCs w:val="22"/>
        </w:rPr>
        <w:t>Journal of Accounting and Public Policy</w:t>
      </w:r>
      <w:r w:rsidRPr="007D75D2">
        <w:rPr>
          <w:szCs w:val="22"/>
        </w:rPr>
        <w:t>, Vol. 36 No 1, 1-13.</w:t>
      </w:r>
    </w:p>
    <w:p w:rsidR="00603783" w:rsidRDefault="0055605A" w:rsidP="00603783">
      <w:pPr>
        <w:spacing w:line="240" w:lineRule="auto"/>
        <w:ind w:left="440" w:hangingChars="200" w:hanging="440"/>
        <w:rPr>
          <w:szCs w:val="22"/>
        </w:rPr>
      </w:pPr>
      <w:r w:rsidRPr="0055605A">
        <w:rPr>
          <w:szCs w:val="22"/>
        </w:rPr>
        <w:t>Hung,</w:t>
      </w:r>
      <w:r>
        <w:rPr>
          <w:szCs w:val="22"/>
        </w:rPr>
        <w:t xml:space="preserve"> </w:t>
      </w:r>
      <w:r w:rsidRPr="0055605A">
        <w:rPr>
          <w:szCs w:val="22"/>
        </w:rPr>
        <w:t xml:space="preserve">M. </w:t>
      </w:r>
      <w:r w:rsidRPr="0055605A">
        <w:rPr>
          <w:rFonts w:hint="eastAsia"/>
          <w:szCs w:val="22"/>
        </w:rPr>
        <w:t>(</w:t>
      </w:r>
      <w:r w:rsidRPr="0055605A">
        <w:rPr>
          <w:szCs w:val="22"/>
        </w:rPr>
        <w:t>200</w:t>
      </w:r>
      <w:r w:rsidRPr="0055605A">
        <w:rPr>
          <w:rFonts w:hint="eastAsia"/>
          <w:szCs w:val="22"/>
        </w:rPr>
        <w:t>0)</w:t>
      </w:r>
      <w:r w:rsidR="00603783">
        <w:rPr>
          <w:szCs w:val="22"/>
        </w:rPr>
        <w:t>, “</w:t>
      </w:r>
      <w:r w:rsidR="00603783" w:rsidRPr="0055605A">
        <w:rPr>
          <w:szCs w:val="22"/>
        </w:rPr>
        <w:t>Accounting</w:t>
      </w:r>
      <w:r w:rsidRPr="0055605A">
        <w:rPr>
          <w:szCs w:val="22"/>
        </w:rPr>
        <w:t xml:space="preserve"> standards and value relevance of financial statem</w:t>
      </w:r>
      <w:r w:rsidR="00603783">
        <w:rPr>
          <w:szCs w:val="22"/>
        </w:rPr>
        <w:t>ents: An international analysis”,</w:t>
      </w:r>
      <w:r w:rsidRPr="0055605A">
        <w:rPr>
          <w:szCs w:val="22"/>
        </w:rPr>
        <w:t xml:space="preserve"> </w:t>
      </w:r>
      <w:r w:rsidRPr="0055605A">
        <w:rPr>
          <w:i/>
          <w:szCs w:val="22"/>
        </w:rPr>
        <w:t>Journal of Accounting and Economics</w:t>
      </w:r>
      <w:r w:rsidRPr="0055605A">
        <w:rPr>
          <w:szCs w:val="22"/>
        </w:rPr>
        <w:t xml:space="preserve">, </w:t>
      </w:r>
      <w:r w:rsidR="00603783">
        <w:rPr>
          <w:szCs w:val="22"/>
        </w:rPr>
        <w:t xml:space="preserve">Vol. </w:t>
      </w:r>
      <w:r w:rsidRPr="0055605A">
        <w:rPr>
          <w:szCs w:val="22"/>
        </w:rPr>
        <w:t>30</w:t>
      </w:r>
      <w:r w:rsidR="00603783">
        <w:rPr>
          <w:szCs w:val="22"/>
        </w:rPr>
        <w:t xml:space="preserve"> No. </w:t>
      </w:r>
      <w:r w:rsidR="00603783">
        <w:rPr>
          <w:rFonts w:hint="eastAsia"/>
          <w:szCs w:val="22"/>
        </w:rPr>
        <w:t>3</w:t>
      </w:r>
      <w:r w:rsidRPr="0055605A">
        <w:rPr>
          <w:szCs w:val="22"/>
        </w:rPr>
        <w:t xml:space="preserve">, </w:t>
      </w:r>
      <w:r w:rsidR="00603783">
        <w:rPr>
          <w:szCs w:val="22"/>
        </w:rPr>
        <w:t xml:space="preserve">pp. </w:t>
      </w:r>
      <w:r w:rsidRPr="0055605A">
        <w:rPr>
          <w:szCs w:val="22"/>
        </w:rPr>
        <w:t>401–420.</w:t>
      </w:r>
    </w:p>
    <w:p w:rsidR="0055605A" w:rsidRPr="0055605A" w:rsidRDefault="0055605A" w:rsidP="00603783">
      <w:pPr>
        <w:spacing w:line="240" w:lineRule="auto"/>
        <w:ind w:left="440" w:hangingChars="200" w:hanging="440"/>
        <w:rPr>
          <w:szCs w:val="22"/>
        </w:rPr>
      </w:pPr>
      <w:r w:rsidRPr="0055605A">
        <w:rPr>
          <w:rFonts w:hint="eastAsia"/>
          <w:szCs w:val="22"/>
        </w:rPr>
        <w:t>Jones, J. (1991)</w:t>
      </w:r>
      <w:r w:rsidR="00603783">
        <w:rPr>
          <w:szCs w:val="22"/>
        </w:rPr>
        <w:t>, “</w:t>
      </w:r>
      <w:r w:rsidRPr="0055605A">
        <w:rPr>
          <w:rFonts w:hint="eastAsia"/>
          <w:szCs w:val="22"/>
        </w:rPr>
        <w:t>Earnings management during import relief investigations</w:t>
      </w:r>
      <w:r w:rsidR="00603783">
        <w:rPr>
          <w:szCs w:val="22"/>
        </w:rPr>
        <w:t>”,</w:t>
      </w:r>
      <w:r w:rsidRPr="0055605A">
        <w:rPr>
          <w:rFonts w:hint="eastAsia"/>
          <w:szCs w:val="22"/>
        </w:rPr>
        <w:t xml:space="preserve"> </w:t>
      </w:r>
      <w:r w:rsidRPr="0055605A">
        <w:rPr>
          <w:rFonts w:hint="eastAsia"/>
          <w:i/>
          <w:szCs w:val="22"/>
        </w:rPr>
        <w:t>Journal of Accounting Research</w:t>
      </w:r>
      <w:r w:rsidR="00603783">
        <w:rPr>
          <w:szCs w:val="22"/>
        </w:rPr>
        <w:t>”,</w:t>
      </w:r>
      <w:r w:rsidRPr="0055605A">
        <w:rPr>
          <w:rFonts w:hint="eastAsia"/>
          <w:szCs w:val="22"/>
        </w:rPr>
        <w:t xml:space="preserve"> </w:t>
      </w:r>
      <w:r w:rsidR="00603783">
        <w:rPr>
          <w:szCs w:val="22"/>
        </w:rPr>
        <w:t xml:space="preserve">Vol. </w:t>
      </w:r>
      <w:r w:rsidR="009E237E">
        <w:rPr>
          <w:rFonts w:hint="eastAsia"/>
          <w:szCs w:val="22"/>
        </w:rPr>
        <w:t xml:space="preserve">29 </w:t>
      </w:r>
      <w:r w:rsidR="00603783">
        <w:rPr>
          <w:szCs w:val="22"/>
        </w:rPr>
        <w:t xml:space="preserve">No. </w:t>
      </w:r>
      <w:r w:rsidR="00603783">
        <w:rPr>
          <w:rFonts w:hint="eastAsia"/>
          <w:szCs w:val="22"/>
        </w:rPr>
        <w:t>2</w:t>
      </w:r>
      <w:r w:rsidR="009E237E">
        <w:rPr>
          <w:rFonts w:hint="eastAsia"/>
          <w:szCs w:val="22"/>
        </w:rPr>
        <w:t xml:space="preserve">, </w:t>
      </w:r>
      <w:r w:rsidR="00603783">
        <w:rPr>
          <w:szCs w:val="22"/>
        </w:rPr>
        <w:t xml:space="preserve">pp. </w:t>
      </w:r>
      <w:r w:rsidRPr="0055605A">
        <w:rPr>
          <w:rFonts w:hint="eastAsia"/>
          <w:szCs w:val="22"/>
        </w:rPr>
        <w:t>193-228.</w:t>
      </w:r>
    </w:p>
    <w:p w:rsidR="0055605A" w:rsidRPr="0055605A" w:rsidRDefault="0055605A" w:rsidP="00767CAD">
      <w:pPr>
        <w:spacing w:line="240" w:lineRule="auto"/>
        <w:ind w:left="440" w:hangingChars="200" w:hanging="440"/>
        <w:rPr>
          <w:szCs w:val="22"/>
        </w:rPr>
      </w:pPr>
      <w:r w:rsidRPr="0055605A">
        <w:rPr>
          <w:szCs w:val="22"/>
        </w:rPr>
        <w:t>Kothari, S. P., Leone</w:t>
      </w:r>
      <w:r w:rsidRPr="0055605A">
        <w:rPr>
          <w:rFonts w:hint="eastAsia"/>
          <w:szCs w:val="22"/>
        </w:rPr>
        <w:t>,</w:t>
      </w:r>
      <w:r w:rsidR="000E4ED0">
        <w:rPr>
          <w:szCs w:val="22"/>
        </w:rPr>
        <w:t xml:space="preserve"> </w:t>
      </w:r>
      <w:r w:rsidRPr="0055605A">
        <w:rPr>
          <w:rFonts w:hint="eastAsia"/>
          <w:szCs w:val="22"/>
        </w:rPr>
        <w:t>A.J.</w:t>
      </w:r>
      <w:r w:rsidRPr="0055605A">
        <w:rPr>
          <w:szCs w:val="22"/>
        </w:rPr>
        <w:t xml:space="preserve"> and Wasley</w:t>
      </w:r>
      <w:r w:rsidRPr="0055605A">
        <w:rPr>
          <w:rFonts w:hint="eastAsia"/>
          <w:szCs w:val="22"/>
        </w:rPr>
        <w:t>,</w:t>
      </w:r>
      <w:r w:rsidR="000E4ED0">
        <w:rPr>
          <w:szCs w:val="22"/>
        </w:rPr>
        <w:t xml:space="preserve"> </w:t>
      </w:r>
      <w:r w:rsidRPr="0055605A">
        <w:rPr>
          <w:rFonts w:hint="eastAsia"/>
          <w:szCs w:val="22"/>
        </w:rPr>
        <w:t>C.E.</w:t>
      </w:r>
      <w:r w:rsidRPr="0055605A">
        <w:rPr>
          <w:szCs w:val="22"/>
        </w:rPr>
        <w:t xml:space="preserve"> (2005)</w:t>
      </w:r>
      <w:r w:rsidR="00603783">
        <w:rPr>
          <w:szCs w:val="22"/>
        </w:rPr>
        <w:t>, “Performance</w:t>
      </w:r>
      <w:r w:rsidRPr="0055605A">
        <w:rPr>
          <w:szCs w:val="22"/>
        </w:rPr>
        <w:t xml:space="preserve"> Matched Discretionary Accrual</w:t>
      </w:r>
      <w:r w:rsidRPr="0055605A">
        <w:rPr>
          <w:rFonts w:hint="eastAsia"/>
          <w:szCs w:val="22"/>
        </w:rPr>
        <w:t xml:space="preserve"> </w:t>
      </w:r>
      <w:r w:rsidR="00603783">
        <w:rPr>
          <w:szCs w:val="22"/>
        </w:rPr>
        <w:t>Measures”,</w:t>
      </w:r>
      <w:r w:rsidRPr="0055605A">
        <w:rPr>
          <w:szCs w:val="22"/>
        </w:rPr>
        <w:t xml:space="preserve"> </w:t>
      </w:r>
      <w:r w:rsidRPr="0055605A">
        <w:rPr>
          <w:i/>
          <w:szCs w:val="22"/>
        </w:rPr>
        <w:t>Journal of Accounting &amp; Economics</w:t>
      </w:r>
      <w:r w:rsidRPr="0055605A">
        <w:rPr>
          <w:szCs w:val="22"/>
        </w:rPr>
        <w:t>,</w:t>
      </w:r>
      <w:r w:rsidRPr="0055605A">
        <w:rPr>
          <w:rFonts w:hint="eastAsia"/>
          <w:szCs w:val="22"/>
        </w:rPr>
        <w:t xml:space="preserve"> </w:t>
      </w:r>
      <w:r w:rsidR="00603783">
        <w:rPr>
          <w:szCs w:val="22"/>
        </w:rPr>
        <w:t xml:space="preserve">Vol. </w:t>
      </w:r>
      <w:r w:rsidRPr="0055605A">
        <w:rPr>
          <w:szCs w:val="22"/>
        </w:rPr>
        <w:t>39</w:t>
      </w:r>
      <w:r w:rsidR="00603783">
        <w:rPr>
          <w:szCs w:val="22"/>
        </w:rPr>
        <w:t xml:space="preserve"> No. </w:t>
      </w:r>
      <w:r w:rsidR="00603783">
        <w:rPr>
          <w:rFonts w:hint="eastAsia"/>
          <w:szCs w:val="22"/>
        </w:rPr>
        <w:t>1</w:t>
      </w:r>
      <w:r w:rsidRPr="0055605A">
        <w:rPr>
          <w:szCs w:val="22"/>
        </w:rPr>
        <w:t xml:space="preserve">, </w:t>
      </w:r>
      <w:r w:rsidR="00603783">
        <w:rPr>
          <w:szCs w:val="22"/>
        </w:rPr>
        <w:t xml:space="preserve">pp. </w:t>
      </w:r>
      <w:r w:rsidRPr="0055605A">
        <w:rPr>
          <w:szCs w:val="22"/>
        </w:rPr>
        <w:t>163–97</w:t>
      </w:r>
      <w:r w:rsidRPr="0055605A">
        <w:rPr>
          <w:rFonts w:hint="eastAsia"/>
          <w:szCs w:val="22"/>
        </w:rPr>
        <w:t>.</w:t>
      </w:r>
    </w:p>
    <w:p w:rsidR="0055605A" w:rsidRPr="0055605A" w:rsidRDefault="0055605A" w:rsidP="00767CAD">
      <w:pPr>
        <w:spacing w:line="240" w:lineRule="auto"/>
        <w:ind w:left="440" w:hangingChars="200" w:hanging="440"/>
        <w:rPr>
          <w:szCs w:val="22"/>
        </w:rPr>
      </w:pPr>
      <w:r w:rsidRPr="0055605A">
        <w:rPr>
          <w:rFonts w:hint="eastAsia"/>
          <w:szCs w:val="22"/>
        </w:rPr>
        <w:t>Mishkin,</w:t>
      </w:r>
      <w:r w:rsidR="00F80863">
        <w:rPr>
          <w:szCs w:val="22"/>
        </w:rPr>
        <w:t xml:space="preserve"> </w:t>
      </w:r>
      <w:r w:rsidRPr="0055605A">
        <w:rPr>
          <w:rFonts w:hint="eastAsia"/>
          <w:szCs w:val="22"/>
        </w:rPr>
        <w:t>F. (1983)</w:t>
      </w:r>
      <w:r w:rsidR="00767CAD">
        <w:rPr>
          <w:szCs w:val="22"/>
        </w:rPr>
        <w:t>, “</w:t>
      </w:r>
      <w:r w:rsidR="00767CAD" w:rsidRPr="00767CAD">
        <w:rPr>
          <w:szCs w:val="22"/>
        </w:rPr>
        <w:t>A</w:t>
      </w:r>
      <w:r w:rsidRPr="00767CAD">
        <w:rPr>
          <w:rFonts w:hint="eastAsia"/>
          <w:szCs w:val="22"/>
        </w:rPr>
        <w:t xml:space="preserve"> Rational Expectations Approach to </w:t>
      </w:r>
      <w:r w:rsidR="003329C9" w:rsidRPr="00767CAD">
        <w:rPr>
          <w:szCs w:val="22"/>
        </w:rPr>
        <w:t>Macro econometrics</w:t>
      </w:r>
      <w:r w:rsidRPr="00767CAD">
        <w:rPr>
          <w:rFonts w:hint="eastAsia"/>
          <w:szCs w:val="22"/>
        </w:rPr>
        <w:t>: Testing Policy Effectiveness and Efficient-Markets Models</w:t>
      </w:r>
      <w:r w:rsidR="00767CAD">
        <w:rPr>
          <w:szCs w:val="22"/>
        </w:rPr>
        <w:t>”,</w:t>
      </w:r>
      <w:r w:rsidRPr="00767CAD">
        <w:rPr>
          <w:rFonts w:hint="eastAsia"/>
          <w:szCs w:val="22"/>
        </w:rPr>
        <w:t xml:space="preserve"> Chicago</w:t>
      </w:r>
      <w:r w:rsidRPr="0055605A">
        <w:rPr>
          <w:rFonts w:hint="eastAsia"/>
          <w:szCs w:val="22"/>
        </w:rPr>
        <w:t xml:space="preserve">, IL: University of Chicago Press. </w:t>
      </w:r>
    </w:p>
    <w:p w:rsidR="000F6518" w:rsidRPr="0055605A" w:rsidRDefault="00767CAD" w:rsidP="00767CAD">
      <w:pPr>
        <w:spacing w:line="240" w:lineRule="auto"/>
        <w:ind w:left="440" w:hangingChars="200" w:hanging="440"/>
        <w:rPr>
          <w:szCs w:val="22"/>
        </w:rPr>
      </w:pPr>
      <w:r>
        <w:rPr>
          <w:szCs w:val="22"/>
        </w:rPr>
        <w:t>Moehele</w:t>
      </w:r>
      <w:r w:rsidR="0055605A" w:rsidRPr="0055605A">
        <w:rPr>
          <w:rFonts w:hint="eastAsia"/>
          <w:szCs w:val="22"/>
        </w:rPr>
        <w:t>,</w:t>
      </w:r>
      <w:r w:rsidR="00F80863">
        <w:rPr>
          <w:szCs w:val="22"/>
        </w:rPr>
        <w:t xml:space="preserve"> </w:t>
      </w:r>
      <w:r w:rsidR="0055605A" w:rsidRPr="0055605A">
        <w:rPr>
          <w:rFonts w:hint="eastAsia"/>
          <w:szCs w:val="22"/>
        </w:rPr>
        <w:t>S.R. (2002)</w:t>
      </w:r>
      <w:r>
        <w:rPr>
          <w:szCs w:val="22"/>
        </w:rPr>
        <w:t>, “</w:t>
      </w:r>
      <w:r w:rsidR="0055605A" w:rsidRPr="0055605A">
        <w:rPr>
          <w:rFonts w:hint="eastAsia"/>
          <w:szCs w:val="22"/>
        </w:rPr>
        <w:t>Do Firms Use Restructuring Charge Rev</w:t>
      </w:r>
      <w:r w:rsidR="000F6518">
        <w:rPr>
          <w:rFonts w:hint="eastAsia"/>
          <w:szCs w:val="22"/>
        </w:rPr>
        <w:t>ersals to Meet Earnings Targets</w:t>
      </w:r>
      <w:r>
        <w:rPr>
          <w:szCs w:val="22"/>
        </w:rPr>
        <w:t xml:space="preserve">, </w:t>
      </w:r>
      <w:r w:rsidR="00975365">
        <w:rPr>
          <w:szCs w:val="22"/>
        </w:rPr>
        <w:t>“</w:t>
      </w:r>
      <w:r w:rsidR="00975365" w:rsidRPr="0055605A">
        <w:rPr>
          <w:szCs w:val="22"/>
        </w:rPr>
        <w:t>The</w:t>
      </w:r>
      <w:r w:rsidR="0055605A" w:rsidRPr="0055605A">
        <w:rPr>
          <w:rFonts w:hint="eastAsia"/>
          <w:i/>
          <w:szCs w:val="22"/>
        </w:rPr>
        <w:t xml:space="preserve"> Accounting </w:t>
      </w:r>
      <w:r w:rsidR="000F6518" w:rsidRPr="0055605A">
        <w:rPr>
          <w:i/>
          <w:szCs w:val="22"/>
        </w:rPr>
        <w:t>Review</w:t>
      </w:r>
      <w:r w:rsidR="000F6518" w:rsidRPr="0055605A">
        <w:rPr>
          <w:szCs w:val="22"/>
        </w:rPr>
        <w:t>,</w:t>
      </w:r>
      <w:r w:rsidR="000F6518">
        <w:rPr>
          <w:szCs w:val="22"/>
        </w:rPr>
        <w:t xml:space="preserve"> </w:t>
      </w:r>
      <w:r>
        <w:rPr>
          <w:szCs w:val="22"/>
        </w:rPr>
        <w:t xml:space="preserve">Vol. </w:t>
      </w:r>
      <w:r>
        <w:rPr>
          <w:rFonts w:hint="eastAsia"/>
          <w:szCs w:val="22"/>
        </w:rPr>
        <w:t>77</w:t>
      </w:r>
      <w:r>
        <w:rPr>
          <w:szCs w:val="22"/>
        </w:rPr>
        <w:t xml:space="preserve"> No. </w:t>
      </w:r>
      <w:r>
        <w:rPr>
          <w:rFonts w:hint="eastAsia"/>
          <w:szCs w:val="22"/>
        </w:rPr>
        <w:t>2</w:t>
      </w:r>
      <w:r w:rsidR="0055605A" w:rsidRPr="0055605A">
        <w:rPr>
          <w:rFonts w:hint="eastAsia"/>
          <w:szCs w:val="22"/>
        </w:rPr>
        <w:t xml:space="preserve">, </w:t>
      </w:r>
      <w:r>
        <w:rPr>
          <w:szCs w:val="22"/>
        </w:rPr>
        <w:t xml:space="preserve">pp. </w:t>
      </w:r>
      <w:r w:rsidR="0055605A" w:rsidRPr="0055605A">
        <w:rPr>
          <w:rFonts w:hint="eastAsia"/>
          <w:szCs w:val="22"/>
        </w:rPr>
        <w:t>397-413.</w:t>
      </w:r>
    </w:p>
    <w:p w:rsidR="00CC66CC" w:rsidRPr="0055605A" w:rsidRDefault="0055605A" w:rsidP="003329C9">
      <w:pPr>
        <w:spacing w:line="240" w:lineRule="auto"/>
        <w:ind w:left="440" w:hangingChars="200" w:hanging="440"/>
        <w:rPr>
          <w:szCs w:val="22"/>
        </w:rPr>
      </w:pPr>
      <w:r w:rsidRPr="0055605A">
        <w:rPr>
          <w:szCs w:val="22"/>
        </w:rPr>
        <w:t>Papanastasopoulos,</w:t>
      </w:r>
      <w:r w:rsidRPr="0055605A">
        <w:rPr>
          <w:rFonts w:hint="eastAsia"/>
          <w:szCs w:val="22"/>
        </w:rPr>
        <w:t xml:space="preserve"> </w:t>
      </w:r>
      <w:r w:rsidRPr="0055605A">
        <w:rPr>
          <w:szCs w:val="22"/>
        </w:rPr>
        <w:t>G.A. </w:t>
      </w:r>
      <w:r w:rsidRPr="0055605A">
        <w:rPr>
          <w:rFonts w:hint="eastAsia"/>
          <w:szCs w:val="22"/>
        </w:rPr>
        <w:t>(2015)</w:t>
      </w:r>
      <w:r w:rsidR="003329C9">
        <w:rPr>
          <w:szCs w:val="22"/>
        </w:rPr>
        <w:t>, “</w:t>
      </w:r>
      <w:r w:rsidR="003329C9" w:rsidRPr="0055605A">
        <w:rPr>
          <w:szCs w:val="22"/>
        </w:rPr>
        <w:t>Accruals</w:t>
      </w:r>
      <w:r w:rsidRPr="0055605A">
        <w:rPr>
          <w:szCs w:val="22"/>
        </w:rPr>
        <w:t>, growth, accounting distortions and</w:t>
      </w:r>
      <w:r w:rsidRPr="0055605A">
        <w:rPr>
          <w:rFonts w:hint="eastAsia"/>
          <w:szCs w:val="22"/>
        </w:rPr>
        <w:t xml:space="preserve"> </w:t>
      </w:r>
      <w:r w:rsidRPr="0055605A">
        <w:rPr>
          <w:szCs w:val="22"/>
        </w:rPr>
        <w:t>stock returns: The case of FRS3 in the UK</w:t>
      </w:r>
      <w:r w:rsidR="003329C9">
        <w:rPr>
          <w:szCs w:val="22"/>
        </w:rPr>
        <w:t xml:space="preserve">”, </w:t>
      </w:r>
      <w:r w:rsidRPr="0055605A">
        <w:rPr>
          <w:i/>
          <w:szCs w:val="22"/>
        </w:rPr>
        <w:t>North American Journal of Economics and Finance</w:t>
      </w:r>
      <w:r w:rsidRPr="0055605A">
        <w:rPr>
          <w:rFonts w:hint="eastAsia"/>
          <w:szCs w:val="22"/>
        </w:rPr>
        <w:t xml:space="preserve">, </w:t>
      </w:r>
      <w:r w:rsidR="003329C9">
        <w:rPr>
          <w:szCs w:val="22"/>
        </w:rPr>
        <w:t xml:space="preserve">Vol. </w:t>
      </w:r>
      <w:r w:rsidR="00E711B7">
        <w:rPr>
          <w:szCs w:val="22"/>
        </w:rPr>
        <w:t>33</w:t>
      </w:r>
      <w:r w:rsidRPr="0055605A">
        <w:rPr>
          <w:rFonts w:hint="eastAsia"/>
          <w:szCs w:val="22"/>
        </w:rPr>
        <w:t>,</w:t>
      </w:r>
      <w:r w:rsidR="003329C9">
        <w:rPr>
          <w:szCs w:val="22"/>
        </w:rPr>
        <w:t xml:space="preserve"> pp.</w:t>
      </w:r>
      <w:r w:rsidRPr="0055605A">
        <w:rPr>
          <w:szCs w:val="22"/>
        </w:rPr>
        <w:t xml:space="preserve"> 39–54</w:t>
      </w:r>
      <w:r w:rsidRPr="0055605A">
        <w:rPr>
          <w:rFonts w:hint="eastAsia"/>
          <w:szCs w:val="22"/>
        </w:rPr>
        <w:t>.</w:t>
      </w:r>
    </w:p>
    <w:p w:rsidR="0055605A" w:rsidRPr="0055605A" w:rsidRDefault="00CC66CC" w:rsidP="00A62895">
      <w:pPr>
        <w:spacing w:line="240" w:lineRule="auto"/>
        <w:ind w:left="440" w:hangingChars="200" w:hanging="440"/>
        <w:rPr>
          <w:szCs w:val="22"/>
        </w:rPr>
      </w:pPr>
      <w:r w:rsidRPr="0055605A">
        <w:rPr>
          <w:szCs w:val="22"/>
        </w:rPr>
        <w:lastRenderedPageBreak/>
        <w:t>Pincus, M., Rajgopal, S.</w:t>
      </w:r>
      <w:r>
        <w:rPr>
          <w:szCs w:val="22"/>
        </w:rPr>
        <w:t xml:space="preserve"> </w:t>
      </w:r>
      <w:r w:rsidRPr="0055605A">
        <w:rPr>
          <w:rFonts w:hint="eastAsia"/>
          <w:szCs w:val="22"/>
        </w:rPr>
        <w:t>and</w:t>
      </w:r>
      <w:r w:rsidRPr="0055605A">
        <w:rPr>
          <w:szCs w:val="22"/>
        </w:rPr>
        <w:t xml:space="preserve"> Venkatachalam, M.</w:t>
      </w:r>
      <w:r w:rsidRPr="0055605A">
        <w:rPr>
          <w:rFonts w:hint="eastAsia"/>
          <w:szCs w:val="22"/>
        </w:rPr>
        <w:t xml:space="preserve"> (</w:t>
      </w:r>
      <w:r w:rsidRPr="0055605A">
        <w:rPr>
          <w:szCs w:val="22"/>
        </w:rPr>
        <w:t>2007</w:t>
      </w:r>
      <w:r w:rsidRPr="0055605A">
        <w:rPr>
          <w:rFonts w:hint="eastAsia"/>
          <w:szCs w:val="22"/>
        </w:rPr>
        <w:t>)</w:t>
      </w:r>
      <w:r w:rsidR="00975365">
        <w:rPr>
          <w:szCs w:val="22"/>
        </w:rPr>
        <w:t>, “</w:t>
      </w:r>
      <w:r w:rsidRPr="0055605A">
        <w:rPr>
          <w:szCs w:val="22"/>
        </w:rPr>
        <w:t>The accrual anomaly:</w:t>
      </w:r>
      <w:r>
        <w:rPr>
          <w:szCs w:val="22"/>
        </w:rPr>
        <w:t xml:space="preserve"> </w:t>
      </w:r>
      <w:r w:rsidRPr="0055605A">
        <w:rPr>
          <w:rFonts w:hint="eastAsia"/>
          <w:szCs w:val="22"/>
        </w:rPr>
        <w:t>i</w:t>
      </w:r>
      <w:r w:rsidRPr="0055605A">
        <w:rPr>
          <w:szCs w:val="22"/>
        </w:rPr>
        <w:t xml:space="preserve">nternational </w:t>
      </w:r>
      <w:r w:rsidRPr="0055605A">
        <w:rPr>
          <w:rFonts w:hint="eastAsia"/>
          <w:szCs w:val="22"/>
        </w:rPr>
        <w:t>e</w:t>
      </w:r>
      <w:r w:rsidRPr="0055605A">
        <w:rPr>
          <w:szCs w:val="22"/>
        </w:rPr>
        <w:t>vidence</w:t>
      </w:r>
      <w:r w:rsidR="00975365">
        <w:rPr>
          <w:szCs w:val="22"/>
        </w:rPr>
        <w:t xml:space="preserve">”, </w:t>
      </w:r>
      <w:r w:rsidRPr="0055605A">
        <w:rPr>
          <w:i/>
          <w:szCs w:val="22"/>
        </w:rPr>
        <w:t>The Accounting Review</w:t>
      </w:r>
      <w:r w:rsidR="00975365">
        <w:rPr>
          <w:szCs w:val="22"/>
        </w:rPr>
        <w:t>,</w:t>
      </w:r>
      <w:r w:rsidRPr="0055605A">
        <w:rPr>
          <w:szCs w:val="22"/>
        </w:rPr>
        <w:t xml:space="preserve"> </w:t>
      </w:r>
      <w:r w:rsidR="00975365">
        <w:rPr>
          <w:szCs w:val="22"/>
        </w:rPr>
        <w:t xml:space="preserve">Vol. </w:t>
      </w:r>
      <w:r w:rsidRPr="0055605A">
        <w:rPr>
          <w:szCs w:val="22"/>
        </w:rPr>
        <w:t>82</w:t>
      </w:r>
      <w:r w:rsidR="00975365">
        <w:rPr>
          <w:szCs w:val="22"/>
        </w:rPr>
        <w:t xml:space="preserve"> No. </w:t>
      </w:r>
      <w:r w:rsidR="00975365">
        <w:rPr>
          <w:rFonts w:hint="eastAsia"/>
          <w:szCs w:val="22"/>
        </w:rPr>
        <w:t>1</w:t>
      </w:r>
      <w:r w:rsidRPr="0055605A">
        <w:rPr>
          <w:szCs w:val="22"/>
        </w:rPr>
        <w:t xml:space="preserve">, </w:t>
      </w:r>
      <w:r w:rsidR="00975365">
        <w:rPr>
          <w:szCs w:val="22"/>
        </w:rPr>
        <w:t xml:space="preserve">pp. </w:t>
      </w:r>
      <w:r w:rsidRPr="0055605A">
        <w:rPr>
          <w:szCs w:val="22"/>
        </w:rPr>
        <w:t>169–203.</w:t>
      </w:r>
    </w:p>
    <w:p w:rsidR="0055605A" w:rsidRPr="0055605A" w:rsidRDefault="0055605A">
      <w:pPr>
        <w:spacing w:line="240" w:lineRule="auto"/>
        <w:ind w:left="440" w:hangingChars="200" w:hanging="440"/>
        <w:rPr>
          <w:szCs w:val="22"/>
        </w:rPr>
      </w:pPr>
      <w:r w:rsidRPr="0055605A">
        <w:rPr>
          <w:rFonts w:hint="eastAsia"/>
          <w:szCs w:val="22"/>
        </w:rPr>
        <w:t>Rangan,S. (1998)</w:t>
      </w:r>
      <w:r w:rsidR="00A62895">
        <w:rPr>
          <w:szCs w:val="22"/>
        </w:rPr>
        <w:t>, “</w:t>
      </w:r>
      <w:r w:rsidRPr="0055605A">
        <w:rPr>
          <w:rFonts w:hint="eastAsia"/>
          <w:szCs w:val="22"/>
        </w:rPr>
        <w:t xml:space="preserve"> Earnings management and the performan</w:t>
      </w:r>
      <w:r w:rsidR="00A62895">
        <w:rPr>
          <w:rFonts w:hint="eastAsia"/>
          <w:szCs w:val="22"/>
        </w:rPr>
        <w:t>ce of seasoned equity offerings</w:t>
      </w:r>
      <w:r w:rsidR="00A62895">
        <w:rPr>
          <w:szCs w:val="22"/>
        </w:rPr>
        <w:t>”,</w:t>
      </w:r>
      <w:r w:rsidRPr="0055605A">
        <w:rPr>
          <w:rFonts w:hint="eastAsia"/>
          <w:szCs w:val="22"/>
        </w:rPr>
        <w:t xml:space="preserve"> </w:t>
      </w:r>
      <w:r w:rsidRPr="0055605A">
        <w:rPr>
          <w:rFonts w:hint="eastAsia"/>
          <w:i/>
          <w:szCs w:val="22"/>
        </w:rPr>
        <w:t>Journal of Financial Economics</w:t>
      </w:r>
      <w:r w:rsidRPr="0055605A">
        <w:rPr>
          <w:rFonts w:hint="eastAsia"/>
          <w:szCs w:val="22"/>
        </w:rPr>
        <w:t xml:space="preserve">, </w:t>
      </w:r>
      <w:r w:rsidR="00A62895">
        <w:rPr>
          <w:szCs w:val="22"/>
        </w:rPr>
        <w:t xml:space="preserve">Vol. </w:t>
      </w:r>
      <w:r w:rsidR="00A62895">
        <w:rPr>
          <w:rFonts w:hint="eastAsia"/>
          <w:szCs w:val="22"/>
        </w:rPr>
        <w:t>50</w:t>
      </w:r>
      <w:r w:rsidR="00A62895">
        <w:rPr>
          <w:szCs w:val="22"/>
        </w:rPr>
        <w:t xml:space="preserve"> No. </w:t>
      </w:r>
      <w:r w:rsidR="00A62895">
        <w:rPr>
          <w:rFonts w:hint="eastAsia"/>
          <w:szCs w:val="22"/>
        </w:rPr>
        <w:t>1</w:t>
      </w:r>
      <w:r w:rsidRPr="0055605A">
        <w:rPr>
          <w:rFonts w:hint="eastAsia"/>
          <w:szCs w:val="22"/>
        </w:rPr>
        <w:t xml:space="preserve">, </w:t>
      </w:r>
      <w:r w:rsidR="00A62895">
        <w:rPr>
          <w:szCs w:val="22"/>
        </w:rPr>
        <w:t xml:space="preserve">pp. </w:t>
      </w:r>
      <w:r w:rsidRPr="0055605A">
        <w:rPr>
          <w:rFonts w:hint="eastAsia"/>
          <w:szCs w:val="22"/>
        </w:rPr>
        <w:t>101-122.</w:t>
      </w:r>
    </w:p>
    <w:p w:rsidR="00CC66CC" w:rsidRDefault="0055605A" w:rsidP="00A62895">
      <w:pPr>
        <w:spacing w:line="240" w:lineRule="auto"/>
        <w:ind w:left="440" w:hangingChars="200" w:hanging="440"/>
        <w:rPr>
          <w:szCs w:val="22"/>
        </w:rPr>
      </w:pPr>
      <w:r w:rsidRPr="0055605A">
        <w:rPr>
          <w:szCs w:val="22"/>
        </w:rPr>
        <w:t>Richardson, S., Sloan, R., Soliman, M.</w:t>
      </w:r>
      <w:r w:rsidRPr="0055605A">
        <w:rPr>
          <w:rFonts w:hint="eastAsia"/>
          <w:szCs w:val="22"/>
        </w:rPr>
        <w:t xml:space="preserve"> and</w:t>
      </w:r>
      <w:r w:rsidR="00A62895">
        <w:rPr>
          <w:szCs w:val="22"/>
        </w:rPr>
        <w:t xml:space="preserve"> Tuna, I. (2006), “</w:t>
      </w:r>
      <w:r w:rsidR="00A62895" w:rsidRPr="0055605A">
        <w:rPr>
          <w:szCs w:val="22"/>
        </w:rPr>
        <w:t>The</w:t>
      </w:r>
      <w:r w:rsidRPr="0055605A">
        <w:rPr>
          <w:szCs w:val="22"/>
        </w:rPr>
        <w:t xml:space="preserve"> implications of firm growth and accounting distortions for accruals</w:t>
      </w:r>
      <w:r w:rsidRPr="0055605A">
        <w:rPr>
          <w:rFonts w:hint="eastAsia"/>
          <w:szCs w:val="22"/>
        </w:rPr>
        <w:t xml:space="preserve"> </w:t>
      </w:r>
      <w:r w:rsidRPr="0055605A">
        <w:rPr>
          <w:szCs w:val="22"/>
        </w:rPr>
        <w:t xml:space="preserve">and </w:t>
      </w:r>
      <w:r w:rsidR="00A62895">
        <w:rPr>
          <w:szCs w:val="22"/>
        </w:rPr>
        <w:t xml:space="preserve">profitability”, </w:t>
      </w:r>
      <w:r w:rsidRPr="0055605A">
        <w:rPr>
          <w:i/>
          <w:szCs w:val="22"/>
        </w:rPr>
        <w:t>The Accounting Review</w:t>
      </w:r>
      <w:r w:rsidRPr="0055605A">
        <w:rPr>
          <w:szCs w:val="22"/>
        </w:rPr>
        <w:t xml:space="preserve">, </w:t>
      </w:r>
      <w:r w:rsidR="00A62895">
        <w:rPr>
          <w:szCs w:val="22"/>
        </w:rPr>
        <w:t xml:space="preserve">Vol. </w:t>
      </w:r>
      <w:r w:rsidRPr="0055605A">
        <w:rPr>
          <w:szCs w:val="22"/>
        </w:rPr>
        <w:t xml:space="preserve">81, </w:t>
      </w:r>
      <w:r w:rsidR="00A62895">
        <w:rPr>
          <w:szCs w:val="22"/>
        </w:rPr>
        <w:t xml:space="preserve">pp. </w:t>
      </w:r>
      <w:r w:rsidRPr="0055605A">
        <w:rPr>
          <w:szCs w:val="22"/>
        </w:rPr>
        <w:t>713–743.</w:t>
      </w:r>
    </w:p>
    <w:p w:rsidR="004C0261" w:rsidRPr="006415F0" w:rsidRDefault="00CC66CC" w:rsidP="006415F0">
      <w:pPr>
        <w:spacing w:line="240" w:lineRule="auto"/>
        <w:ind w:left="440" w:hangingChars="200" w:hanging="440"/>
        <w:rPr>
          <w:szCs w:val="22"/>
          <w:vertAlign w:val="subscript"/>
        </w:rPr>
      </w:pPr>
      <w:r w:rsidRPr="0055605A">
        <w:rPr>
          <w:rFonts w:hint="eastAsia"/>
          <w:szCs w:val="22"/>
        </w:rPr>
        <w:t>Robinson, T.R., Henry, E., Pirie, W.L. and Broihahn, M.A. (2015)</w:t>
      </w:r>
      <w:r w:rsidR="00985B22">
        <w:rPr>
          <w:szCs w:val="22"/>
        </w:rPr>
        <w:t xml:space="preserve">, </w:t>
      </w:r>
      <w:r w:rsidR="006415F0">
        <w:rPr>
          <w:szCs w:val="22"/>
        </w:rPr>
        <w:t>“</w:t>
      </w:r>
      <w:r w:rsidR="006415F0" w:rsidRPr="0055605A">
        <w:rPr>
          <w:szCs w:val="22"/>
        </w:rPr>
        <w:t>International</w:t>
      </w:r>
      <w:r w:rsidRPr="0055605A">
        <w:rPr>
          <w:rFonts w:hint="eastAsia"/>
          <w:i/>
          <w:szCs w:val="22"/>
        </w:rPr>
        <w:t xml:space="preserve"> </w:t>
      </w:r>
      <w:r w:rsidRPr="006415F0">
        <w:rPr>
          <w:rFonts w:hint="eastAsia"/>
          <w:iCs/>
          <w:szCs w:val="22"/>
        </w:rPr>
        <w:t>Financial Statement Analysis</w:t>
      </w:r>
      <w:r w:rsidR="00985B22">
        <w:rPr>
          <w:i/>
          <w:szCs w:val="22"/>
        </w:rPr>
        <w:t>”</w:t>
      </w:r>
      <w:r w:rsidR="00D446D6">
        <w:rPr>
          <w:szCs w:val="22"/>
        </w:rPr>
        <w:t>,</w:t>
      </w:r>
      <w:r w:rsidRPr="0055605A">
        <w:rPr>
          <w:rFonts w:hint="eastAsia"/>
          <w:szCs w:val="22"/>
        </w:rPr>
        <w:t xml:space="preserve"> New Jersey: CFA Institute. </w:t>
      </w:r>
    </w:p>
    <w:p w:rsidR="00CC66CC" w:rsidRPr="0055605A" w:rsidRDefault="0055605A" w:rsidP="006415F0">
      <w:pPr>
        <w:spacing w:line="240" w:lineRule="auto"/>
        <w:ind w:left="440" w:hangingChars="200" w:hanging="440"/>
        <w:rPr>
          <w:szCs w:val="22"/>
        </w:rPr>
      </w:pPr>
      <w:r w:rsidRPr="0055605A">
        <w:rPr>
          <w:szCs w:val="22"/>
        </w:rPr>
        <w:t>Sloan, R.</w:t>
      </w:r>
      <w:r w:rsidRPr="0055605A">
        <w:rPr>
          <w:rFonts w:hint="eastAsia"/>
          <w:szCs w:val="22"/>
        </w:rPr>
        <w:t xml:space="preserve"> (</w:t>
      </w:r>
      <w:r w:rsidRPr="0055605A">
        <w:rPr>
          <w:szCs w:val="22"/>
        </w:rPr>
        <w:t>1996</w:t>
      </w:r>
      <w:r w:rsidRPr="0055605A">
        <w:rPr>
          <w:rFonts w:hint="eastAsia"/>
          <w:szCs w:val="22"/>
        </w:rPr>
        <w:t>)</w:t>
      </w:r>
      <w:r w:rsidR="006415F0">
        <w:rPr>
          <w:szCs w:val="22"/>
        </w:rPr>
        <w:t xml:space="preserve">, </w:t>
      </w:r>
      <w:r w:rsidR="0014758C">
        <w:rPr>
          <w:szCs w:val="22"/>
        </w:rPr>
        <w:t>“</w:t>
      </w:r>
      <w:r w:rsidR="0014758C" w:rsidRPr="0055605A">
        <w:rPr>
          <w:szCs w:val="22"/>
        </w:rPr>
        <w:t>Do</w:t>
      </w:r>
      <w:r w:rsidRPr="0055605A">
        <w:rPr>
          <w:szCs w:val="22"/>
        </w:rPr>
        <w:t xml:space="preserve"> stock prices fully reflect information in accruals and</w:t>
      </w:r>
      <w:r w:rsidRPr="0055605A">
        <w:rPr>
          <w:rFonts w:hint="eastAsia"/>
          <w:szCs w:val="22"/>
        </w:rPr>
        <w:t xml:space="preserve"> </w:t>
      </w:r>
      <w:r w:rsidRPr="0055605A">
        <w:rPr>
          <w:szCs w:val="22"/>
        </w:rPr>
        <w:t>cash flows about future earnings?</w:t>
      </w:r>
      <w:r w:rsidR="006415F0">
        <w:rPr>
          <w:szCs w:val="22"/>
        </w:rPr>
        <w:t>”,</w:t>
      </w:r>
      <w:r w:rsidRPr="0055605A">
        <w:rPr>
          <w:szCs w:val="22"/>
        </w:rPr>
        <w:t xml:space="preserve"> </w:t>
      </w:r>
      <w:r w:rsidRPr="0055605A">
        <w:rPr>
          <w:i/>
          <w:szCs w:val="22"/>
        </w:rPr>
        <w:t>The Accounting Review</w:t>
      </w:r>
      <w:r w:rsidRPr="0055605A">
        <w:rPr>
          <w:rFonts w:hint="eastAsia"/>
          <w:szCs w:val="22"/>
        </w:rPr>
        <w:t xml:space="preserve">, </w:t>
      </w:r>
      <w:r w:rsidR="006415F0">
        <w:rPr>
          <w:szCs w:val="22"/>
        </w:rPr>
        <w:t xml:space="preserve">Vol. </w:t>
      </w:r>
      <w:r w:rsidRPr="0055605A">
        <w:rPr>
          <w:szCs w:val="22"/>
        </w:rPr>
        <w:t>71</w:t>
      </w:r>
      <w:r w:rsidR="006415F0">
        <w:rPr>
          <w:szCs w:val="22"/>
        </w:rPr>
        <w:t xml:space="preserve"> No. </w:t>
      </w:r>
      <w:r w:rsidR="006415F0">
        <w:rPr>
          <w:rFonts w:hint="eastAsia"/>
          <w:szCs w:val="22"/>
        </w:rPr>
        <w:t>3</w:t>
      </w:r>
      <w:r w:rsidRPr="0055605A">
        <w:rPr>
          <w:szCs w:val="22"/>
        </w:rPr>
        <w:t>,</w:t>
      </w:r>
      <w:r w:rsidR="00077F6B">
        <w:rPr>
          <w:rFonts w:hint="eastAsia"/>
          <w:szCs w:val="22"/>
        </w:rPr>
        <w:t xml:space="preserve"> </w:t>
      </w:r>
      <w:r w:rsidR="006415F0">
        <w:rPr>
          <w:szCs w:val="22"/>
        </w:rPr>
        <w:t xml:space="preserve">pp. </w:t>
      </w:r>
      <w:r w:rsidRPr="0055605A">
        <w:rPr>
          <w:szCs w:val="22"/>
        </w:rPr>
        <w:t>289–315.</w:t>
      </w:r>
      <w:r w:rsidRPr="0055605A">
        <w:rPr>
          <w:rFonts w:hint="eastAsia"/>
          <w:szCs w:val="22"/>
        </w:rPr>
        <w:t xml:space="preserve"> </w:t>
      </w:r>
    </w:p>
    <w:p w:rsidR="0055605A" w:rsidRPr="0055605A" w:rsidRDefault="00CC66CC" w:rsidP="0014758C">
      <w:pPr>
        <w:spacing w:line="240" w:lineRule="auto"/>
        <w:ind w:left="440" w:hangingChars="200" w:hanging="440"/>
        <w:rPr>
          <w:szCs w:val="22"/>
        </w:rPr>
      </w:pPr>
      <w:r w:rsidRPr="0055605A">
        <w:rPr>
          <w:rFonts w:hint="eastAsia"/>
          <w:szCs w:val="22"/>
        </w:rPr>
        <w:t>Subramanyam, K.R. (1996)</w:t>
      </w:r>
      <w:r w:rsidR="0014758C">
        <w:rPr>
          <w:szCs w:val="22"/>
        </w:rPr>
        <w:t>, “</w:t>
      </w:r>
      <w:r w:rsidR="0014758C" w:rsidRPr="0055605A">
        <w:rPr>
          <w:szCs w:val="22"/>
        </w:rPr>
        <w:t>The</w:t>
      </w:r>
      <w:r w:rsidRPr="0055605A">
        <w:rPr>
          <w:rFonts w:hint="eastAsia"/>
          <w:szCs w:val="22"/>
        </w:rPr>
        <w:t xml:space="preserve"> pr</w:t>
      </w:r>
      <w:r w:rsidR="0014758C">
        <w:rPr>
          <w:rFonts w:hint="eastAsia"/>
          <w:szCs w:val="22"/>
        </w:rPr>
        <w:t>icing of discretionary accruals</w:t>
      </w:r>
      <w:r w:rsidR="0014758C">
        <w:rPr>
          <w:szCs w:val="22"/>
        </w:rPr>
        <w:t>”,</w:t>
      </w:r>
      <w:r w:rsidRPr="0055605A">
        <w:rPr>
          <w:rFonts w:hint="eastAsia"/>
          <w:szCs w:val="22"/>
        </w:rPr>
        <w:t xml:space="preserve"> </w:t>
      </w:r>
      <w:r w:rsidRPr="0055605A">
        <w:rPr>
          <w:rFonts w:hint="eastAsia"/>
          <w:i/>
          <w:szCs w:val="22"/>
        </w:rPr>
        <w:t>Journal of Accounting and Economics</w:t>
      </w:r>
      <w:r>
        <w:rPr>
          <w:rFonts w:hint="eastAsia"/>
          <w:szCs w:val="22"/>
        </w:rPr>
        <w:t xml:space="preserve">, </w:t>
      </w:r>
      <w:r w:rsidR="0014758C">
        <w:rPr>
          <w:szCs w:val="22"/>
        </w:rPr>
        <w:t xml:space="preserve">Vol. </w:t>
      </w:r>
      <w:r w:rsidR="0014758C">
        <w:rPr>
          <w:rFonts w:hint="eastAsia"/>
          <w:szCs w:val="22"/>
        </w:rPr>
        <w:t xml:space="preserve">22 </w:t>
      </w:r>
      <w:r w:rsidR="0014758C">
        <w:rPr>
          <w:szCs w:val="22"/>
        </w:rPr>
        <w:t xml:space="preserve">No. </w:t>
      </w:r>
      <w:r w:rsidR="0014758C">
        <w:rPr>
          <w:rFonts w:hint="eastAsia"/>
          <w:szCs w:val="22"/>
        </w:rPr>
        <w:t>3</w:t>
      </w:r>
      <w:r>
        <w:rPr>
          <w:rFonts w:hint="eastAsia"/>
          <w:szCs w:val="22"/>
        </w:rPr>
        <w:t xml:space="preserve">, </w:t>
      </w:r>
      <w:r w:rsidR="0014758C">
        <w:rPr>
          <w:szCs w:val="22"/>
        </w:rPr>
        <w:t xml:space="preserve">pp. </w:t>
      </w:r>
      <w:r w:rsidRPr="0055605A">
        <w:rPr>
          <w:rFonts w:hint="eastAsia"/>
          <w:szCs w:val="22"/>
        </w:rPr>
        <w:t>249-281.</w:t>
      </w:r>
    </w:p>
    <w:p w:rsidR="0055605A" w:rsidRPr="0055605A" w:rsidRDefault="0055605A" w:rsidP="00D446D6">
      <w:pPr>
        <w:spacing w:line="240" w:lineRule="auto"/>
        <w:ind w:left="440" w:hangingChars="200" w:hanging="440"/>
        <w:rPr>
          <w:szCs w:val="22"/>
        </w:rPr>
      </w:pPr>
      <w:r w:rsidRPr="0055605A">
        <w:rPr>
          <w:rFonts w:hint="eastAsia"/>
          <w:szCs w:val="22"/>
        </w:rPr>
        <w:t>Thomas,</w:t>
      </w:r>
      <w:r w:rsidR="004C0261">
        <w:rPr>
          <w:szCs w:val="22"/>
        </w:rPr>
        <w:t xml:space="preserve"> </w:t>
      </w:r>
      <w:r w:rsidRPr="0055605A">
        <w:rPr>
          <w:rFonts w:hint="eastAsia"/>
          <w:szCs w:val="22"/>
        </w:rPr>
        <w:t>J.K. and Zhang,</w:t>
      </w:r>
      <w:r w:rsidR="000E4ED0">
        <w:rPr>
          <w:szCs w:val="22"/>
        </w:rPr>
        <w:t xml:space="preserve"> </w:t>
      </w:r>
      <w:r w:rsidRPr="0055605A">
        <w:rPr>
          <w:rFonts w:hint="eastAsia"/>
          <w:szCs w:val="22"/>
        </w:rPr>
        <w:t>H.</w:t>
      </w:r>
      <w:r w:rsidR="00E17375">
        <w:rPr>
          <w:szCs w:val="22"/>
        </w:rPr>
        <w:t xml:space="preserve"> </w:t>
      </w:r>
      <w:r w:rsidRPr="0055605A">
        <w:rPr>
          <w:rFonts w:hint="eastAsia"/>
          <w:szCs w:val="22"/>
        </w:rPr>
        <w:t>(2002)</w:t>
      </w:r>
      <w:r w:rsidR="0014758C">
        <w:rPr>
          <w:szCs w:val="22"/>
        </w:rPr>
        <w:t>, “</w:t>
      </w:r>
      <w:r w:rsidR="0014758C" w:rsidRPr="0055605A">
        <w:rPr>
          <w:szCs w:val="22"/>
        </w:rPr>
        <w:t>Inventory</w:t>
      </w:r>
      <w:r w:rsidR="00E17375">
        <w:rPr>
          <w:rFonts w:hint="eastAsia"/>
          <w:szCs w:val="22"/>
        </w:rPr>
        <w:t xml:space="preserve"> Charges and Future Returns</w:t>
      </w:r>
      <w:r w:rsidR="0014758C">
        <w:rPr>
          <w:szCs w:val="22"/>
        </w:rPr>
        <w:t>”,</w:t>
      </w:r>
      <w:r w:rsidR="00E17375">
        <w:rPr>
          <w:szCs w:val="22"/>
        </w:rPr>
        <w:t xml:space="preserve"> </w:t>
      </w:r>
      <w:r w:rsidRPr="0055605A">
        <w:rPr>
          <w:rFonts w:hint="eastAsia"/>
          <w:i/>
          <w:szCs w:val="22"/>
        </w:rPr>
        <w:t>Review of Accounting Studies</w:t>
      </w:r>
      <w:r w:rsidRPr="0055605A">
        <w:rPr>
          <w:rFonts w:hint="eastAsia"/>
          <w:szCs w:val="22"/>
        </w:rPr>
        <w:t>,</w:t>
      </w:r>
      <w:r w:rsidR="00E17375">
        <w:rPr>
          <w:szCs w:val="22"/>
        </w:rPr>
        <w:t xml:space="preserve"> </w:t>
      </w:r>
      <w:r w:rsidR="0014758C">
        <w:rPr>
          <w:szCs w:val="22"/>
        </w:rPr>
        <w:t xml:space="preserve">Vol. </w:t>
      </w:r>
      <w:r w:rsidR="0014758C">
        <w:rPr>
          <w:rFonts w:hint="eastAsia"/>
          <w:szCs w:val="22"/>
        </w:rPr>
        <w:t>7</w:t>
      </w:r>
      <w:r w:rsidR="0014758C">
        <w:rPr>
          <w:szCs w:val="22"/>
        </w:rPr>
        <w:t xml:space="preserve"> No. </w:t>
      </w:r>
      <w:r w:rsidR="0014758C">
        <w:rPr>
          <w:rFonts w:hint="eastAsia"/>
          <w:szCs w:val="22"/>
        </w:rPr>
        <w:t>2</w:t>
      </w:r>
      <w:r w:rsidRPr="0055605A">
        <w:rPr>
          <w:rFonts w:hint="eastAsia"/>
          <w:szCs w:val="22"/>
        </w:rPr>
        <w:t>,</w:t>
      </w:r>
      <w:r w:rsidR="00E17375">
        <w:rPr>
          <w:szCs w:val="22"/>
        </w:rPr>
        <w:t xml:space="preserve"> </w:t>
      </w:r>
      <w:r w:rsidR="0014758C">
        <w:rPr>
          <w:szCs w:val="22"/>
        </w:rPr>
        <w:t xml:space="preserve">pp. </w:t>
      </w:r>
      <w:r w:rsidRPr="0055605A">
        <w:rPr>
          <w:rFonts w:hint="eastAsia"/>
          <w:szCs w:val="22"/>
        </w:rPr>
        <w:t>163-187.</w:t>
      </w:r>
    </w:p>
    <w:p w:rsidR="0055605A" w:rsidRPr="0055605A" w:rsidRDefault="0055605A" w:rsidP="00D446D6">
      <w:pPr>
        <w:spacing w:line="240" w:lineRule="auto"/>
        <w:ind w:left="440" w:hangingChars="200" w:hanging="440"/>
        <w:rPr>
          <w:szCs w:val="22"/>
        </w:rPr>
      </w:pPr>
      <w:r w:rsidRPr="0055605A">
        <w:rPr>
          <w:szCs w:val="22"/>
        </w:rPr>
        <w:t>T</w:t>
      </w:r>
      <w:r w:rsidR="001F66D1">
        <w:rPr>
          <w:rFonts w:hint="eastAsia"/>
          <w:szCs w:val="22"/>
        </w:rPr>
        <w:t>homas</w:t>
      </w:r>
      <w:r w:rsidR="001F66D1">
        <w:rPr>
          <w:szCs w:val="22"/>
        </w:rPr>
        <w:t xml:space="preserve">, </w:t>
      </w:r>
      <w:r w:rsidRPr="0055605A">
        <w:rPr>
          <w:rFonts w:hint="eastAsia"/>
          <w:szCs w:val="22"/>
        </w:rPr>
        <w:t>W.</w:t>
      </w:r>
      <w:r w:rsidR="001F66D1">
        <w:rPr>
          <w:szCs w:val="22"/>
        </w:rPr>
        <w:t>,</w:t>
      </w:r>
      <w:r w:rsidRPr="0055605A">
        <w:rPr>
          <w:rFonts w:hint="eastAsia"/>
          <w:szCs w:val="22"/>
        </w:rPr>
        <w:t xml:space="preserve"> Agnes</w:t>
      </w:r>
      <w:r w:rsidR="001F66D1">
        <w:rPr>
          <w:szCs w:val="22"/>
        </w:rPr>
        <w:t xml:space="preserve"> </w:t>
      </w:r>
      <w:r w:rsidRPr="0055605A">
        <w:rPr>
          <w:rFonts w:hint="eastAsia"/>
          <w:szCs w:val="22"/>
        </w:rPr>
        <w:t>Cheng,</w:t>
      </w:r>
      <w:r w:rsidR="000E4ED0">
        <w:rPr>
          <w:szCs w:val="22"/>
        </w:rPr>
        <w:t xml:space="preserve"> </w:t>
      </w:r>
      <w:r w:rsidRPr="0055605A">
        <w:rPr>
          <w:szCs w:val="22"/>
        </w:rPr>
        <w:t>C.S.</w:t>
      </w:r>
      <w:r w:rsidRPr="0055605A">
        <w:rPr>
          <w:rFonts w:hint="eastAsia"/>
          <w:szCs w:val="22"/>
        </w:rPr>
        <w:t xml:space="preserve"> </w:t>
      </w:r>
      <w:r w:rsidRPr="0055605A">
        <w:rPr>
          <w:szCs w:val="22"/>
        </w:rPr>
        <w:t xml:space="preserve">and </w:t>
      </w:r>
      <w:r w:rsidRPr="0055605A">
        <w:rPr>
          <w:rFonts w:hint="eastAsia"/>
          <w:szCs w:val="22"/>
        </w:rPr>
        <w:t>Zishang</w:t>
      </w:r>
      <w:r w:rsidRPr="0055605A">
        <w:rPr>
          <w:szCs w:val="22"/>
        </w:rPr>
        <w:t xml:space="preserve"> Liu</w:t>
      </w:r>
      <w:r w:rsidRPr="0055605A">
        <w:rPr>
          <w:rFonts w:hint="eastAsia"/>
          <w:szCs w:val="22"/>
        </w:rPr>
        <w:t>,</w:t>
      </w:r>
      <w:r w:rsidR="000E4ED0">
        <w:rPr>
          <w:szCs w:val="22"/>
        </w:rPr>
        <w:t xml:space="preserve"> </w:t>
      </w:r>
      <w:r w:rsidRPr="0055605A">
        <w:rPr>
          <w:rFonts w:hint="eastAsia"/>
          <w:szCs w:val="22"/>
        </w:rPr>
        <w:t>C.</w:t>
      </w:r>
      <w:r w:rsidRPr="0055605A">
        <w:rPr>
          <w:szCs w:val="22"/>
        </w:rPr>
        <w:t> </w:t>
      </w:r>
      <w:r w:rsidRPr="0055605A">
        <w:rPr>
          <w:rFonts w:hint="eastAsia"/>
          <w:szCs w:val="22"/>
        </w:rPr>
        <w:t>(2012)</w:t>
      </w:r>
      <w:r w:rsidR="00D446D6">
        <w:rPr>
          <w:szCs w:val="22"/>
        </w:rPr>
        <w:t>, “</w:t>
      </w:r>
      <w:r w:rsidRPr="0055605A">
        <w:rPr>
          <w:rFonts w:hint="eastAsia"/>
          <w:szCs w:val="22"/>
        </w:rPr>
        <w:t>Abnormal Accrual Estimates and Evidence of Mispricing</w:t>
      </w:r>
      <w:r w:rsidR="00D446D6">
        <w:rPr>
          <w:szCs w:val="22"/>
        </w:rPr>
        <w:t>”,</w:t>
      </w:r>
      <w:r w:rsidRPr="0055605A">
        <w:rPr>
          <w:rFonts w:hint="eastAsia"/>
          <w:szCs w:val="22"/>
        </w:rPr>
        <w:t xml:space="preserve"> </w:t>
      </w:r>
      <w:r w:rsidRPr="0055605A">
        <w:rPr>
          <w:rFonts w:hint="eastAsia"/>
          <w:i/>
          <w:szCs w:val="22"/>
        </w:rPr>
        <w:t>Journal of Business Finance&amp; Accounting</w:t>
      </w:r>
      <w:r w:rsidRPr="0055605A">
        <w:rPr>
          <w:rFonts w:hint="eastAsia"/>
          <w:szCs w:val="22"/>
        </w:rPr>
        <w:t>,</w:t>
      </w:r>
      <w:r w:rsidR="001F66D1">
        <w:rPr>
          <w:szCs w:val="22"/>
        </w:rPr>
        <w:t xml:space="preserve"> </w:t>
      </w:r>
      <w:r w:rsidR="00D446D6">
        <w:rPr>
          <w:szCs w:val="22"/>
        </w:rPr>
        <w:t xml:space="preserve">Vol. </w:t>
      </w:r>
      <w:r w:rsidR="001F66D1">
        <w:rPr>
          <w:rFonts w:hint="eastAsia"/>
          <w:szCs w:val="22"/>
        </w:rPr>
        <w:t>39</w:t>
      </w:r>
      <w:r w:rsidR="00D446D6">
        <w:rPr>
          <w:szCs w:val="22"/>
        </w:rPr>
        <w:t xml:space="preserve"> No. </w:t>
      </w:r>
      <w:r w:rsidR="00D446D6">
        <w:rPr>
          <w:rFonts w:hint="eastAsia"/>
          <w:szCs w:val="22"/>
        </w:rPr>
        <w:t>1-2</w:t>
      </w:r>
      <w:r w:rsidR="001F66D1">
        <w:rPr>
          <w:rFonts w:hint="eastAsia"/>
          <w:szCs w:val="22"/>
        </w:rPr>
        <w:t>,</w:t>
      </w:r>
      <w:r w:rsidR="001F66D1">
        <w:rPr>
          <w:szCs w:val="22"/>
        </w:rPr>
        <w:t xml:space="preserve"> </w:t>
      </w:r>
      <w:r w:rsidR="00D446D6">
        <w:rPr>
          <w:szCs w:val="22"/>
        </w:rPr>
        <w:t xml:space="preserve">pp. </w:t>
      </w:r>
      <w:r w:rsidRPr="0055605A">
        <w:rPr>
          <w:rFonts w:hint="eastAsia"/>
          <w:szCs w:val="22"/>
        </w:rPr>
        <w:t>1-34</w:t>
      </w:r>
      <w:r w:rsidR="00D446D6">
        <w:rPr>
          <w:szCs w:val="22"/>
        </w:rPr>
        <w:t>.</w:t>
      </w:r>
    </w:p>
    <w:p w:rsidR="0055605A" w:rsidRPr="00D446D6" w:rsidRDefault="001F66D1" w:rsidP="00D446D6">
      <w:pPr>
        <w:spacing w:line="240" w:lineRule="auto"/>
        <w:ind w:left="426" w:hanging="426"/>
      </w:pPr>
      <w:r>
        <w:rPr>
          <w:rFonts w:hint="eastAsia"/>
        </w:rPr>
        <w:t>Xie,</w:t>
      </w:r>
      <w:r w:rsidR="004C0261">
        <w:t xml:space="preserve"> </w:t>
      </w:r>
      <w:r>
        <w:rPr>
          <w:rFonts w:hint="eastAsia"/>
        </w:rPr>
        <w:t>H.</w:t>
      </w:r>
      <w:r>
        <w:t xml:space="preserve"> </w:t>
      </w:r>
      <w:r w:rsidR="0055605A" w:rsidRPr="0055605A">
        <w:rPr>
          <w:rFonts w:hint="eastAsia"/>
        </w:rPr>
        <w:t>(2001)</w:t>
      </w:r>
      <w:r w:rsidR="00D446D6">
        <w:t>”,</w:t>
      </w:r>
      <w:r w:rsidR="0055605A" w:rsidRPr="0055605A">
        <w:rPr>
          <w:rFonts w:hint="eastAsia"/>
        </w:rPr>
        <w:t xml:space="preserve"> </w:t>
      </w:r>
      <w:r w:rsidR="00A4206C">
        <w:t>T</w:t>
      </w:r>
      <w:r w:rsidR="00D446D6" w:rsidRPr="0055605A">
        <w:t>he</w:t>
      </w:r>
      <w:r w:rsidR="0055605A" w:rsidRPr="0055605A">
        <w:rPr>
          <w:rFonts w:hint="eastAsia"/>
        </w:rPr>
        <w:t xml:space="preserve"> </w:t>
      </w:r>
      <w:r>
        <w:rPr>
          <w:rFonts w:hint="eastAsia"/>
        </w:rPr>
        <w:t>mispricing of abnormal accruals</w:t>
      </w:r>
      <w:r w:rsidR="00D446D6">
        <w:t>”,</w:t>
      </w:r>
      <w:r w:rsidR="0055605A" w:rsidRPr="0055605A">
        <w:rPr>
          <w:rFonts w:hint="eastAsia"/>
        </w:rPr>
        <w:t xml:space="preserve"> </w:t>
      </w:r>
      <w:r w:rsidR="0055605A" w:rsidRPr="0055605A">
        <w:rPr>
          <w:rFonts w:hint="eastAsia"/>
          <w:i/>
        </w:rPr>
        <w:t>The Accounting Review</w:t>
      </w:r>
      <w:r w:rsidR="0055605A" w:rsidRPr="0055605A">
        <w:rPr>
          <w:rFonts w:hint="eastAsia"/>
        </w:rPr>
        <w:t>,</w:t>
      </w:r>
      <w:r>
        <w:t xml:space="preserve"> </w:t>
      </w:r>
      <w:r w:rsidR="00D446D6">
        <w:t xml:space="preserve">Vol. </w:t>
      </w:r>
      <w:r>
        <w:rPr>
          <w:rFonts w:hint="eastAsia"/>
        </w:rPr>
        <w:t>7</w:t>
      </w:r>
      <w:r w:rsidR="0055605A" w:rsidRPr="0055605A">
        <w:rPr>
          <w:rFonts w:hint="eastAsia"/>
        </w:rPr>
        <w:t>6</w:t>
      </w:r>
      <w:r w:rsidR="00D446D6">
        <w:t xml:space="preserve"> No. </w:t>
      </w:r>
      <w:r w:rsidR="00D446D6">
        <w:rPr>
          <w:rFonts w:hint="eastAsia"/>
        </w:rPr>
        <w:t>3</w:t>
      </w:r>
      <w:r w:rsidR="0055605A" w:rsidRPr="0055605A">
        <w:rPr>
          <w:rFonts w:hint="eastAsia"/>
        </w:rPr>
        <w:t>,</w:t>
      </w:r>
      <w:r>
        <w:rPr>
          <w:rFonts w:hint="eastAsia"/>
        </w:rPr>
        <w:t xml:space="preserve"> </w:t>
      </w:r>
      <w:r w:rsidR="00D446D6">
        <w:t xml:space="preserve">pp. </w:t>
      </w:r>
      <w:r w:rsidR="0055605A" w:rsidRPr="0055605A">
        <w:rPr>
          <w:rFonts w:hint="eastAsia"/>
        </w:rPr>
        <w:t>357-373.</w:t>
      </w:r>
    </w:p>
    <w:p w:rsidR="0055605A" w:rsidRPr="0055605A" w:rsidRDefault="0055605A" w:rsidP="00B7485D">
      <w:pPr>
        <w:spacing w:line="240" w:lineRule="auto"/>
        <w:ind w:left="440" w:hangingChars="200" w:hanging="440"/>
        <w:rPr>
          <w:szCs w:val="22"/>
        </w:rPr>
      </w:pPr>
      <w:r w:rsidRPr="0055605A">
        <w:rPr>
          <w:szCs w:val="22"/>
        </w:rPr>
        <w:t>Zhang, X. Frank</w:t>
      </w:r>
      <w:r w:rsidRPr="0055605A">
        <w:rPr>
          <w:rFonts w:hint="eastAsia"/>
          <w:szCs w:val="22"/>
        </w:rPr>
        <w:t>. (</w:t>
      </w:r>
      <w:r w:rsidRPr="0055605A">
        <w:rPr>
          <w:szCs w:val="22"/>
        </w:rPr>
        <w:t>2007</w:t>
      </w:r>
      <w:r w:rsidRPr="0055605A">
        <w:rPr>
          <w:rFonts w:hint="eastAsia"/>
          <w:szCs w:val="22"/>
        </w:rPr>
        <w:t>)</w:t>
      </w:r>
      <w:r w:rsidR="00D446D6">
        <w:rPr>
          <w:szCs w:val="22"/>
        </w:rPr>
        <w:t>, “</w:t>
      </w:r>
      <w:r w:rsidR="00D446D6" w:rsidRPr="0055605A">
        <w:rPr>
          <w:szCs w:val="22"/>
        </w:rPr>
        <w:t>Accruals</w:t>
      </w:r>
      <w:r w:rsidRPr="0055605A">
        <w:rPr>
          <w:szCs w:val="22"/>
        </w:rPr>
        <w:t>, inve</w:t>
      </w:r>
      <w:r w:rsidR="00D446D6">
        <w:rPr>
          <w:szCs w:val="22"/>
        </w:rPr>
        <w:t>stment, and the accrual anomaly”,</w:t>
      </w:r>
      <w:r w:rsidRPr="0055605A">
        <w:rPr>
          <w:szCs w:val="22"/>
        </w:rPr>
        <w:t xml:space="preserve"> </w:t>
      </w:r>
      <w:r w:rsidRPr="0055605A">
        <w:rPr>
          <w:i/>
          <w:szCs w:val="22"/>
        </w:rPr>
        <w:t>The Accounting Review</w:t>
      </w:r>
      <w:r w:rsidR="00D446D6">
        <w:rPr>
          <w:szCs w:val="22"/>
        </w:rPr>
        <w:t xml:space="preserve">, Vol. </w:t>
      </w:r>
      <w:r w:rsidRPr="0055605A">
        <w:rPr>
          <w:szCs w:val="22"/>
        </w:rPr>
        <w:t>82</w:t>
      </w:r>
      <w:r w:rsidR="00D446D6">
        <w:rPr>
          <w:szCs w:val="22"/>
        </w:rPr>
        <w:t xml:space="preserve"> No. </w:t>
      </w:r>
      <w:r w:rsidR="00D446D6">
        <w:rPr>
          <w:rFonts w:hint="eastAsia"/>
          <w:szCs w:val="22"/>
        </w:rPr>
        <w:t>5</w:t>
      </w:r>
      <w:r w:rsidRPr="0055605A">
        <w:rPr>
          <w:szCs w:val="22"/>
        </w:rPr>
        <w:t xml:space="preserve">, </w:t>
      </w:r>
      <w:r w:rsidR="00D446D6">
        <w:rPr>
          <w:szCs w:val="22"/>
        </w:rPr>
        <w:t xml:space="preserve">pp. </w:t>
      </w:r>
      <w:r w:rsidRPr="0055605A">
        <w:rPr>
          <w:szCs w:val="22"/>
        </w:rPr>
        <w:t>1333</w:t>
      </w:r>
      <w:r w:rsidRPr="0055605A">
        <w:rPr>
          <w:rFonts w:hint="eastAsia"/>
          <w:szCs w:val="22"/>
        </w:rPr>
        <w:t>-</w:t>
      </w:r>
      <w:r w:rsidRPr="0055605A">
        <w:rPr>
          <w:szCs w:val="22"/>
        </w:rPr>
        <w:t>1363.</w:t>
      </w:r>
    </w:p>
    <w:p w:rsidR="00D64C8F" w:rsidRDefault="00D64C8F" w:rsidP="00D64C8F">
      <w:pPr>
        <w:spacing w:line="240" w:lineRule="auto"/>
        <w:ind w:left="440" w:hangingChars="200" w:hanging="440"/>
        <w:rPr>
          <w:szCs w:val="22"/>
        </w:rPr>
      </w:pPr>
    </w:p>
    <w:p w:rsidR="00AE171B" w:rsidRDefault="00AE171B" w:rsidP="00D64C8F">
      <w:pPr>
        <w:spacing w:line="240" w:lineRule="auto"/>
        <w:ind w:left="440" w:hangingChars="200" w:hanging="440"/>
        <w:rPr>
          <w:szCs w:val="22"/>
        </w:rPr>
      </w:pPr>
    </w:p>
    <w:p w:rsidR="00AE171B" w:rsidRDefault="00AE171B" w:rsidP="00D64C8F">
      <w:pPr>
        <w:spacing w:line="240" w:lineRule="auto"/>
        <w:ind w:left="440" w:hangingChars="200" w:hanging="440"/>
        <w:rPr>
          <w:szCs w:val="22"/>
        </w:rPr>
      </w:pPr>
    </w:p>
    <w:p w:rsidR="00AE171B" w:rsidRDefault="00AE171B" w:rsidP="00D64C8F">
      <w:pPr>
        <w:spacing w:line="240" w:lineRule="auto"/>
        <w:ind w:left="440" w:hangingChars="200" w:hanging="440"/>
        <w:rPr>
          <w:szCs w:val="22"/>
        </w:rPr>
      </w:pPr>
    </w:p>
    <w:p w:rsidR="00AE171B" w:rsidRDefault="00AE171B" w:rsidP="00D64C8F">
      <w:pPr>
        <w:spacing w:line="240" w:lineRule="auto"/>
        <w:ind w:left="440" w:hangingChars="200" w:hanging="440"/>
        <w:rPr>
          <w:szCs w:val="22"/>
        </w:rPr>
      </w:pPr>
    </w:p>
    <w:p w:rsidR="00AE171B" w:rsidRDefault="00AE171B" w:rsidP="00D64C8F">
      <w:pPr>
        <w:spacing w:line="240" w:lineRule="auto"/>
        <w:ind w:left="440" w:hangingChars="200" w:hanging="440"/>
        <w:rPr>
          <w:szCs w:val="22"/>
        </w:rPr>
      </w:pPr>
    </w:p>
    <w:p w:rsidR="00AE171B" w:rsidRDefault="00AE171B" w:rsidP="00D64C8F">
      <w:pPr>
        <w:spacing w:line="240" w:lineRule="auto"/>
        <w:ind w:left="440" w:hangingChars="200" w:hanging="440"/>
        <w:rPr>
          <w:szCs w:val="22"/>
        </w:rPr>
      </w:pPr>
    </w:p>
    <w:p w:rsidR="00AE171B" w:rsidRDefault="00AE171B" w:rsidP="00D64C8F">
      <w:pPr>
        <w:spacing w:line="240" w:lineRule="auto"/>
        <w:ind w:left="440" w:hangingChars="200" w:hanging="440"/>
        <w:rPr>
          <w:szCs w:val="22"/>
        </w:rPr>
      </w:pPr>
    </w:p>
    <w:p w:rsidR="00AE171B" w:rsidRDefault="00AE171B" w:rsidP="00D64C8F">
      <w:pPr>
        <w:spacing w:line="240" w:lineRule="auto"/>
        <w:ind w:left="440" w:hangingChars="200" w:hanging="440"/>
        <w:rPr>
          <w:szCs w:val="22"/>
        </w:rPr>
      </w:pPr>
    </w:p>
    <w:p w:rsidR="00AE171B" w:rsidRDefault="00AE171B" w:rsidP="00D64C8F">
      <w:pPr>
        <w:spacing w:line="240" w:lineRule="auto"/>
        <w:ind w:left="440" w:hangingChars="200" w:hanging="440"/>
        <w:rPr>
          <w:szCs w:val="22"/>
        </w:rPr>
      </w:pPr>
    </w:p>
    <w:p w:rsidR="00AE171B" w:rsidRDefault="00AE171B" w:rsidP="00D64C8F">
      <w:pPr>
        <w:spacing w:line="240" w:lineRule="auto"/>
        <w:ind w:left="440" w:hangingChars="200" w:hanging="440"/>
        <w:rPr>
          <w:szCs w:val="22"/>
        </w:rPr>
      </w:pPr>
    </w:p>
    <w:p w:rsidR="00AE171B" w:rsidRDefault="00AE171B" w:rsidP="00D64C8F">
      <w:pPr>
        <w:spacing w:line="240" w:lineRule="auto"/>
        <w:ind w:left="440" w:hangingChars="200" w:hanging="440"/>
        <w:rPr>
          <w:szCs w:val="22"/>
        </w:rPr>
      </w:pPr>
    </w:p>
    <w:p w:rsidR="00AE171B" w:rsidRDefault="00AE171B" w:rsidP="00D64C8F">
      <w:pPr>
        <w:spacing w:line="240" w:lineRule="auto"/>
        <w:ind w:left="440" w:hangingChars="200" w:hanging="440"/>
        <w:rPr>
          <w:szCs w:val="22"/>
        </w:rPr>
      </w:pPr>
    </w:p>
    <w:p w:rsidR="00AE171B" w:rsidRDefault="00AE171B" w:rsidP="00D64C8F">
      <w:pPr>
        <w:spacing w:line="240" w:lineRule="auto"/>
        <w:ind w:left="440" w:hangingChars="200" w:hanging="440"/>
        <w:rPr>
          <w:szCs w:val="22"/>
        </w:rPr>
      </w:pPr>
    </w:p>
    <w:p w:rsidR="00AE171B" w:rsidRDefault="00AE171B" w:rsidP="00D64C8F">
      <w:pPr>
        <w:spacing w:line="240" w:lineRule="auto"/>
        <w:ind w:left="440" w:hangingChars="200" w:hanging="440"/>
        <w:rPr>
          <w:szCs w:val="22"/>
        </w:rPr>
      </w:pPr>
    </w:p>
    <w:p w:rsidR="00AE171B" w:rsidRDefault="00AE171B" w:rsidP="00D64C8F">
      <w:pPr>
        <w:spacing w:line="240" w:lineRule="auto"/>
        <w:ind w:left="440" w:hangingChars="200" w:hanging="440"/>
        <w:rPr>
          <w:szCs w:val="22"/>
        </w:rPr>
      </w:pPr>
    </w:p>
    <w:p w:rsidR="00AE171B" w:rsidRDefault="00AE171B" w:rsidP="00D64C8F">
      <w:pPr>
        <w:spacing w:line="240" w:lineRule="auto"/>
        <w:ind w:left="440" w:hangingChars="200" w:hanging="440"/>
        <w:rPr>
          <w:szCs w:val="22"/>
        </w:rPr>
      </w:pPr>
    </w:p>
    <w:p w:rsidR="00AE171B" w:rsidRDefault="00AE171B" w:rsidP="00D64C8F">
      <w:pPr>
        <w:spacing w:line="240" w:lineRule="auto"/>
        <w:ind w:left="440" w:hangingChars="200" w:hanging="440"/>
        <w:rPr>
          <w:szCs w:val="22"/>
        </w:rPr>
      </w:pPr>
    </w:p>
    <w:p w:rsidR="00AE171B" w:rsidRDefault="00AE171B" w:rsidP="00D64C8F">
      <w:pPr>
        <w:spacing w:line="240" w:lineRule="auto"/>
        <w:ind w:left="440" w:hangingChars="200" w:hanging="440"/>
        <w:rPr>
          <w:szCs w:val="22"/>
        </w:rPr>
      </w:pPr>
    </w:p>
    <w:p w:rsidR="00AE171B" w:rsidRDefault="00AE171B" w:rsidP="00D64C8F">
      <w:pPr>
        <w:spacing w:line="240" w:lineRule="auto"/>
        <w:ind w:left="440" w:hangingChars="200" w:hanging="440"/>
        <w:rPr>
          <w:szCs w:val="22"/>
        </w:rPr>
      </w:pPr>
    </w:p>
    <w:p w:rsidR="00AE171B" w:rsidRDefault="00AE171B" w:rsidP="00AE171B">
      <w:pPr>
        <w:pStyle w:val="Caption"/>
        <w:keepNext/>
        <w:ind w:firstLine="0"/>
      </w:pPr>
      <w:r>
        <w:lastRenderedPageBreak/>
        <w:t xml:space="preserve">Table </w:t>
      </w:r>
      <w:r>
        <w:fldChar w:fldCharType="begin"/>
      </w:r>
      <w:r>
        <w:instrText xml:space="preserve"> SEQ Table \* ARABIC </w:instrText>
      </w:r>
      <w:r>
        <w:fldChar w:fldCharType="separate"/>
      </w:r>
      <w:r>
        <w:rPr>
          <w:noProof/>
        </w:rPr>
        <w:t>1</w:t>
      </w:r>
      <w:r>
        <w:fldChar w:fldCharType="end"/>
      </w:r>
      <w:r>
        <w:t>. Sample selection</w:t>
      </w:r>
    </w:p>
    <w:tbl>
      <w:tblPr>
        <w:tblW w:w="9180" w:type="dxa"/>
        <w:tblLook w:val="04A0" w:firstRow="1" w:lastRow="0" w:firstColumn="1" w:lastColumn="0" w:noHBand="0" w:noVBand="1"/>
      </w:tblPr>
      <w:tblGrid>
        <w:gridCol w:w="7830"/>
        <w:gridCol w:w="1350"/>
      </w:tblGrid>
      <w:tr w:rsidR="00AE171B" w:rsidRPr="00EF41D1" w:rsidTr="000339B0">
        <w:trPr>
          <w:trHeight w:val="242"/>
        </w:trPr>
        <w:tc>
          <w:tcPr>
            <w:tcW w:w="7830" w:type="dxa"/>
            <w:tcBorders>
              <w:bottom w:val="single" w:sz="4" w:space="0" w:color="auto"/>
            </w:tcBorders>
            <w:shd w:val="clear" w:color="auto" w:fill="auto"/>
            <w:noWrap/>
            <w:vAlign w:val="bottom"/>
            <w:hideMark/>
          </w:tcPr>
          <w:p w:rsidR="00AE171B" w:rsidRPr="000339B0" w:rsidRDefault="00AE171B" w:rsidP="000339B0">
            <w:pPr>
              <w:widowControl/>
              <w:spacing w:before="0" w:after="0" w:line="240" w:lineRule="auto"/>
              <w:ind w:firstLine="0"/>
              <w:jc w:val="left"/>
              <w:rPr>
                <w:rFonts w:eastAsia="Times New Roman"/>
                <w:b/>
                <w:bCs/>
                <w:i/>
                <w:iCs/>
                <w:color w:val="000000"/>
                <w:kern w:val="0"/>
                <w:sz w:val="20"/>
                <w:szCs w:val="20"/>
                <w:lang w:val="en-GB" w:eastAsia="en-GB"/>
              </w:rPr>
            </w:pPr>
            <w:r w:rsidRPr="000339B0">
              <w:rPr>
                <w:rFonts w:eastAsia="Times New Roman"/>
                <w:b/>
                <w:bCs/>
                <w:i/>
                <w:iCs/>
                <w:color w:val="000000"/>
                <w:kern w:val="0"/>
                <w:sz w:val="20"/>
                <w:szCs w:val="20"/>
                <w:lang w:val="en-GB" w:eastAsia="en-GB"/>
              </w:rPr>
              <w:t>Data selection procedures</w:t>
            </w:r>
            <w:r w:rsidRPr="000339B0">
              <w:rPr>
                <w:rFonts w:eastAsia="Times New Roman"/>
                <w:b/>
                <w:bCs/>
                <w:color w:val="000000"/>
                <w:kern w:val="0"/>
                <w:sz w:val="20"/>
                <w:szCs w:val="20"/>
                <w:lang w:val="en-GB" w:eastAsia="en-GB"/>
              </w:rPr>
              <w:t xml:space="preserve"> </w:t>
            </w:r>
            <w:r w:rsidRPr="000339B0">
              <w:rPr>
                <w:rFonts w:eastAsia="Times New Roman"/>
                <w:b/>
                <w:bCs/>
                <w:i/>
                <w:iCs/>
                <w:color w:val="000000"/>
                <w:kern w:val="0"/>
                <w:sz w:val="20"/>
                <w:szCs w:val="20"/>
                <w:lang w:val="en-GB" w:eastAsia="en-GB"/>
              </w:rPr>
              <w:t>for the period (2008-2017)</w:t>
            </w:r>
          </w:p>
        </w:tc>
        <w:tc>
          <w:tcPr>
            <w:tcW w:w="1350" w:type="dxa"/>
            <w:tcBorders>
              <w:bottom w:val="single" w:sz="4" w:space="0" w:color="auto"/>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b/>
                <w:bCs/>
                <w:i/>
                <w:iCs/>
                <w:color w:val="000000"/>
                <w:kern w:val="0"/>
                <w:sz w:val="20"/>
                <w:szCs w:val="20"/>
                <w:lang w:val="en-GB" w:eastAsia="en-GB"/>
              </w:rPr>
            </w:pPr>
            <w:r w:rsidRPr="000339B0">
              <w:rPr>
                <w:rFonts w:eastAsia="Times New Roman"/>
                <w:b/>
                <w:bCs/>
                <w:i/>
                <w:iCs/>
                <w:color w:val="000000"/>
                <w:kern w:val="0"/>
                <w:sz w:val="20"/>
                <w:szCs w:val="20"/>
                <w:lang w:val="en-GB" w:eastAsia="en-GB"/>
              </w:rPr>
              <w:t>Firm-year observations</w:t>
            </w:r>
          </w:p>
        </w:tc>
      </w:tr>
      <w:tr w:rsidR="00AE171B" w:rsidRPr="00EF41D1" w:rsidTr="000339B0">
        <w:trPr>
          <w:trHeight w:val="570"/>
        </w:trPr>
        <w:tc>
          <w:tcPr>
            <w:tcW w:w="7830" w:type="dxa"/>
            <w:tcBorders>
              <w:top w:val="single" w:sz="4" w:space="0" w:color="auto"/>
            </w:tcBorders>
            <w:shd w:val="clear" w:color="auto" w:fill="auto"/>
            <w:vAlign w:val="bottom"/>
            <w:hideMark/>
          </w:tcPr>
          <w:p w:rsidR="00AE171B" w:rsidRPr="00EF41D1" w:rsidRDefault="00AE171B" w:rsidP="000339B0">
            <w:pPr>
              <w:widowControl/>
              <w:spacing w:before="0" w:after="0" w:line="240" w:lineRule="auto"/>
              <w:ind w:firstLine="0"/>
              <w:jc w:val="left"/>
              <w:rPr>
                <w:rFonts w:eastAsia="Times New Roman"/>
                <w:color w:val="000000"/>
                <w:kern w:val="0"/>
                <w:sz w:val="20"/>
                <w:szCs w:val="20"/>
                <w:lang w:val="en-GB" w:eastAsia="en-GB"/>
              </w:rPr>
            </w:pPr>
            <w:r w:rsidRPr="00EF41D1">
              <w:rPr>
                <w:rFonts w:eastAsia="Times New Roman"/>
                <w:color w:val="000000"/>
                <w:kern w:val="0"/>
                <w:sz w:val="20"/>
                <w:szCs w:val="20"/>
                <w:lang w:val="en-GB" w:eastAsia="en-GB"/>
              </w:rPr>
              <w:t xml:space="preserve">Firm year observations for all listed on the London Stock Exchange </w:t>
            </w:r>
          </w:p>
        </w:tc>
        <w:tc>
          <w:tcPr>
            <w:tcW w:w="1350" w:type="dxa"/>
            <w:tcBorders>
              <w:top w:val="single" w:sz="4" w:space="0" w:color="auto"/>
            </w:tcBorders>
            <w:shd w:val="clear" w:color="auto" w:fill="auto"/>
            <w:noWrap/>
            <w:vAlign w:val="bottom"/>
            <w:hideMark/>
          </w:tcPr>
          <w:p w:rsidR="00AE171B" w:rsidRPr="00EF41D1" w:rsidRDefault="00AE171B" w:rsidP="000339B0">
            <w:pPr>
              <w:widowControl/>
              <w:spacing w:before="0" w:after="0" w:line="240" w:lineRule="auto"/>
              <w:ind w:firstLine="0"/>
              <w:jc w:val="center"/>
              <w:rPr>
                <w:rFonts w:eastAsia="Times New Roman"/>
                <w:color w:val="000000"/>
                <w:kern w:val="0"/>
                <w:sz w:val="20"/>
                <w:szCs w:val="20"/>
                <w:lang w:val="en-GB" w:eastAsia="en-GB"/>
              </w:rPr>
            </w:pPr>
            <w:r w:rsidRPr="00EF41D1">
              <w:rPr>
                <w:rFonts w:eastAsia="Times New Roman"/>
                <w:color w:val="000000"/>
                <w:kern w:val="0"/>
                <w:sz w:val="20"/>
                <w:szCs w:val="20"/>
                <w:lang w:val="en-GB" w:eastAsia="en-GB"/>
              </w:rPr>
              <w:t>24,299</w:t>
            </w:r>
          </w:p>
        </w:tc>
      </w:tr>
      <w:tr w:rsidR="00AE171B" w:rsidRPr="00EF41D1" w:rsidTr="000339B0">
        <w:trPr>
          <w:trHeight w:val="570"/>
        </w:trPr>
        <w:tc>
          <w:tcPr>
            <w:tcW w:w="7830" w:type="dxa"/>
            <w:shd w:val="clear" w:color="auto" w:fill="auto"/>
            <w:vAlign w:val="bottom"/>
            <w:hideMark/>
          </w:tcPr>
          <w:p w:rsidR="00AE171B" w:rsidRPr="00EF41D1" w:rsidRDefault="00AE171B" w:rsidP="000339B0">
            <w:pPr>
              <w:widowControl/>
              <w:spacing w:before="0" w:after="0" w:line="240" w:lineRule="auto"/>
              <w:ind w:firstLine="0"/>
              <w:jc w:val="left"/>
              <w:rPr>
                <w:rFonts w:eastAsia="Times New Roman"/>
                <w:color w:val="000000"/>
                <w:kern w:val="0"/>
                <w:sz w:val="20"/>
                <w:szCs w:val="20"/>
                <w:lang w:val="en-GB" w:eastAsia="en-GB"/>
              </w:rPr>
            </w:pPr>
            <w:r w:rsidRPr="00EF41D1">
              <w:rPr>
                <w:rFonts w:eastAsia="Times New Roman"/>
                <w:color w:val="000000"/>
                <w:kern w:val="0"/>
                <w:sz w:val="20"/>
                <w:szCs w:val="20"/>
                <w:lang w:val="en-GB" w:eastAsia="en-GB"/>
              </w:rPr>
              <w:t>Excluding firms with missing accounting data (total accruals, accrual components, operating profitability)</w:t>
            </w:r>
          </w:p>
        </w:tc>
        <w:tc>
          <w:tcPr>
            <w:tcW w:w="1350" w:type="dxa"/>
            <w:shd w:val="clear" w:color="auto" w:fill="auto"/>
            <w:noWrap/>
            <w:vAlign w:val="bottom"/>
            <w:hideMark/>
          </w:tcPr>
          <w:p w:rsidR="00AE171B" w:rsidRPr="00EF41D1" w:rsidRDefault="00AE171B" w:rsidP="000339B0">
            <w:pPr>
              <w:widowControl/>
              <w:spacing w:before="0" w:after="0" w:line="240" w:lineRule="auto"/>
              <w:ind w:firstLine="0"/>
              <w:jc w:val="center"/>
              <w:rPr>
                <w:rFonts w:eastAsia="Times New Roman"/>
                <w:color w:val="000000"/>
                <w:kern w:val="0"/>
                <w:sz w:val="20"/>
                <w:szCs w:val="20"/>
                <w:lang w:val="en-GB" w:eastAsia="en-GB"/>
              </w:rPr>
            </w:pPr>
            <w:r w:rsidRPr="00EF41D1">
              <w:rPr>
                <w:rFonts w:eastAsia="Times New Roman"/>
                <w:color w:val="000000"/>
                <w:kern w:val="0"/>
                <w:sz w:val="20"/>
                <w:szCs w:val="20"/>
                <w:lang w:val="en-GB" w:eastAsia="en-GB"/>
              </w:rPr>
              <w:t>10,292</w:t>
            </w:r>
          </w:p>
        </w:tc>
      </w:tr>
      <w:tr w:rsidR="00AE171B" w:rsidRPr="00EF41D1" w:rsidTr="000339B0">
        <w:trPr>
          <w:trHeight w:val="752"/>
        </w:trPr>
        <w:tc>
          <w:tcPr>
            <w:tcW w:w="7830" w:type="dxa"/>
            <w:shd w:val="clear" w:color="auto" w:fill="auto"/>
            <w:vAlign w:val="bottom"/>
            <w:hideMark/>
          </w:tcPr>
          <w:p w:rsidR="00AE171B" w:rsidRPr="00EF41D1" w:rsidRDefault="00AE171B" w:rsidP="000339B0">
            <w:pPr>
              <w:widowControl/>
              <w:spacing w:before="0" w:after="0" w:line="240" w:lineRule="auto"/>
              <w:ind w:firstLine="0"/>
              <w:jc w:val="left"/>
              <w:rPr>
                <w:rFonts w:eastAsia="Times New Roman"/>
                <w:color w:val="000000"/>
                <w:kern w:val="0"/>
                <w:sz w:val="20"/>
                <w:szCs w:val="20"/>
                <w:lang w:val="en-GB" w:eastAsia="en-GB"/>
              </w:rPr>
            </w:pPr>
            <w:r w:rsidRPr="00EF41D1">
              <w:rPr>
                <w:rFonts w:eastAsia="Times New Roman"/>
                <w:color w:val="000000"/>
                <w:kern w:val="0"/>
                <w:sz w:val="20"/>
                <w:szCs w:val="20"/>
                <w:lang w:val="en-GB" w:eastAsia="en-GB"/>
              </w:rPr>
              <w:t>Excluding firms with missing market data (market capitalization, book-to-market ratio, one-year-ahead abnormal returns) and firms with negative book value of equity</w:t>
            </w:r>
          </w:p>
        </w:tc>
        <w:tc>
          <w:tcPr>
            <w:tcW w:w="1350" w:type="dxa"/>
            <w:shd w:val="clear" w:color="auto" w:fill="auto"/>
            <w:noWrap/>
            <w:vAlign w:val="bottom"/>
            <w:hideMark/>
          </w:tcPr>
          <w:p w:rsidR="00AE171B" w:rsidRPr="00EF41D1" w:rsidRDefault="00AE171B" w:rsidP="000339B0">
            <w:pPr>
              <w:widowControl/>
              <w:spacing w:before="0" w:after="0" w:line="240" w:lineRule="auto"/>
              <w:ind w:firstLine="0"/>
              <w:jc w:val="center"/>
              <w:rPr>
                <w:rFonts w:eastAsia="Times New Roman"/>
                <w:color w:val="000000"/>
                <w:kern w:val="0"/>
                <w:sz w:val="20"/>
                <w:szCs w:val="20"/>
                <w:lang w:val="en-GB" w:eastAsia="en-GB"/>
              </w:rPr>
            </w:pPr>
            <w:r w:rsidRPr="00EF41D1">
              <w:rPr>
                <w:rFonts w:eastAsia="Times New Roman"/>
                <w:color w:val="000000"/>
                <w:kern w:val="0"/>
                <w:sz w:val="20"/>
                <w:szCs w:val="20"/>
                <w:lang w:val="en-GB" w:eastAsia="en-GB"/>
              </w:rPr>
              <w:t>7,352</w:t>
            </w:r>
          </w:p>
        </w:tc>
      </w:tr>
      <w:tr w:rsidR="00AE171B" w:rsidRPr="00EF41D1" w:rsidTr="000339B0">
        <w:trPr>
          <w:trHeight w:val="570"/>
        </w:trPr>
        <w:tc>
          <w:tcPr>
            <w:tcW w:w="7830" w:type="dxa"/>
            <w:tcBorders>
              <w:bottom w:val="single" w:sz="4" w:space="0" w:color="auto"/>
            </w:tcBorders>
            <w:shd w:val="clear" w:color="auto" w:fill="auto"/>
            <w:noWrap/>
            <w:vAlign w:val="bottom"/>
            <w:hideMark/>
          </w:tcPr>
          <w:p w:rsidR="00AE171B" w:rsidRPr="00EF41D1" w:rsidRDefault="00AE171B" w:rsidP="000339B0">
            <w:pPr>
              <w:widowControl/>
              <w:spacing w:before="0" w:after="0" w:line="240" w:lineRule="auto"/>
              <w:ind w:firstLine="0"/>
              <w:jc w:val="left"/>
              <w:rPr>
                <w:rFonts w:eastAsia="Times New Roman"/>
                <w:color w:val="000000"/>
                <w:kern w:val="0"/>
                <w:sz w:val="20"/>
                <w:szCs w:val="20"/>
                <w:lang w:val="en-GB" w:eastAsia="en-GB"/>
              </w:rPr>
            </w:pPr>
            <w:r w:rsidRPr="00EF41D1">
              <w:rPr>
                <w:rFonts w:eastAsia="Times New Roman"/>
                <w:color w:val="000000"/>
                <w:kern w:val="0"/>
                <w:sz w:val="20"/>
                <w:szCs w:val="20"/>
                <w:lang w:val="en-GB" w:eastAsia="en-GB"/>
              </w:rPr>
              <w:t xml:space="preserve">Excluding financial firms </w:t>
            </w:r>
          </w:p>
        </w:tc>
        <w:tc>
          <w:tcPr>
            <w:tcW w:w="1350" w:type="dxa"/>
            <w:tcBorders>
              <w:bottom w:val="single" w:sz="4" w:space="0" w:color="auto"/>
            </w:tcBorders>
            <w:shd w:val="clear" w:color="auto" w:fill="auto"/>
            <w:noWrap/>
            <w:vAlign w:val="bottom"/>
            <w:hideMark/>
          </w:tcPr>
          <w:p w:rsidR="00AE171B" w:rsidRPr="00EF41D1" w:rsidRDefault="00AE171B" w:rsidP="000339B0">
            <w:pPr>
              <w:widowControl/>
              <w:spacing w:before="0" w:after="0" w:line="240" w:lineRule="auto"/>
              <w:ind w:firstLine="0"/>
              <w:jc w:val="center"/>
              <w:rPr>
                <w:rFonts w:eastAsia="Times New Roman"/>
                <w:color w:val="000000"/>
                <w:kern w:val="0"/>
                <w:sz w:val="20"/>
                <w:szCs w:val="20"/>
                <w:lang w:val="en-GB" w:eastAsia="en-GB"/>
              </w:rPr>
            </w:pPr>
            <w:r w:rsidRPr="00EF41D1">
              <w:rPr>
                <w:rFonts w:eastAsia="Times New Roman"/>
                <w:color w:val="000000"/>
                <w:kern w:val="0"/>
                <w:sz w:val="20"/>
                <w:szCs w:val="20"/>
                <w:lang w:val="en-GB" w:eastAsia="en-GB"/>
              </w:rPr>
              <w:t>1,342</w:t>
            </w:r>
          </w:p>
        </w:tc>
      </w:tr>
      <w:tr w:rsidR="00AE171B" w:rsidRPr="00EF41D1" w:rsidTr="000339B0">
        <w:trPr>
          <w:trHeight w:val="363"/>
        </w:trPr>
        <w:tc>
          <w:tcPr>
            <w:tcW w:w="7830" w:type="dxa"/>
            <w:tcBorders>
              <w:top w:val="single" w:sz="4" w:space="0" w:color="auto"/>
              <w:bottom w:val="single" w:sz="4" w:space="0" w:color="auto"/>
            </w:tcBorders>
            <w:shd w:val="clear" w:color="auto" w:fill="auto"/>
            <w:noWrap/>
            <w:vAlign w:val="bottom"/>
            <w:hideMark/>
          </w:tcPr>
          <w:p w:rsidR="00AE171B" w:rsidRPr="00EF41D1" w:rsidRDefault="00AE171B" w:rsidP="000339B0">
            <w:pPr>
              <w:widowControl/>
              <w:spacing w:before="0" w:after="0" w:line="240" w:lineRule="auto"/>
              <w:ind w:firstLine="0"/>
              <w:jc w:val="left"/>
              <w:rPr>
                <w:rFonts w:eastAsia="Times New Roman"/>
                <w:color w:val="000000"/>
                <w:kern w:val="0"/>
                <w:sz w:val="20"/>
                <w:szCs w:val="20"/>
                <w:lang w:val="en-GB" w:eastAsia="en-GB"/>
              </w:rPr>
            </w:pPr>
            <w:r w:rsidRPr="00EF41D1">
              <w:rPr>
                <w:rFonts w:eastAsia="Times New Roman"/>
                <w:color w:val="000000"/>
                <w:kern w:val="0"/>
                <w:sz w:val="20"/>
                <w:szCs w:val="20"/>
                <w:lang w:val="en-GB" w:eastAsia="en-GB"/>
              </w:rPr>
              <w:t>Final sample</w:t>
            </w:r>
          </w:p>
        </w:tc>
        <w:tc>
          <w:tcPr>
            <w:tcW w:w="1350" w:type="dxa"/>
            <w:tcBorders>
              <w:top w:val="single" w:sz="4" w:space="0" w:color="auto"/>
              <w:bottom w:val="single" w:sz="4" w:space="0" w:color="auto"/>
            </w:tcBorders>
            <w:shd w:val="clear" w:color="auto" w:fill="auto"/>
            <w:noWrap/>
            <w:vAlign w:val="bottom"/>
            <w:hideMark/>
          </w:tcPr>
          <w:p w:rsidR="00AE171B" w:rsidRPr="00EF41D1" w:rsidRDefault="00AE171B" w:rsidP="000339B0">
            <w:pPr>
              <w:widowControl/>
              <w:spacing w:before="0" w:after="0" w:line="240" w:lineRule="auto"/>
              <w:ind w:firstLine="0"/>
              <w:jc w:val="center"/>
              <w:rPr>
                <w:rFonts w:eastAsia="Times New Roman"/>
                <w:color w:val="000000"/>
                <w:kern w:val="0"/>
                <w:sz w:val="20"/>
                <w:szCs w:val="20"/>
                <w:lang w:val="en-GB" w:eastAsia="en-GB"/>
              </w:rPr>
            </w:pPr>
            <w:r w:rsidRPr="00EF41D1">
              <w:rPr>
                <w:rFonts w:eastAsia="Times New Roman"/>
                <w:color w:val="000000"/>
                <w:kern w:val="0"/>
                <w:sz w:val="20"/>
                <w:szCs w:val="20"/>
                <w:lang w:val="en-GB" w:eastAsia="en-GB"/>
              </w:rPr>
              <w:t>5,313</w:t>
            </w:r>
          </w:p>
        </w:tc>
      </w:tr>
    </w:tbl>
    <w:p w:rsidR="00AE171B" w:rsidRDefault="00AE171B" w:rsidP="00D64C8F">
      <w:pPr>
        <w:spacing w:line="240" w:lineRule="auto"/>
        <w:ind w:left="440" w:hangingChars="200" w:hanging="440"/>
        <w:rPr>
          <w:szCs w:val="22"/>
        </w:rPr>
      </w:pPr>
    </w:p>
    <w:p w:rsidR="00AE171B" w:rsidRDefault="00AE171B" w:rsidP="00D64C8F">
      <w:pPr>
        <w:spacing w:line="240" w:lineRule="auto"/>
        <w:ind w:left="440" w:hangingChars="200" w:hanging="440"/>
        <w:rPr>
          <w:szCs w:val="22"/>
        </w:rPr>
      </w:pPr>
    </w:p>
    <w:p w:rsidR="00AE171B" w:rsidRDefault="00AE171B" w:rsidP="00D64C8F">
      <w:pPr>
        <w:spacing w:line="240" w:lineRule="auto"/>
        <w:ind w:left="440" w:hangingChars="200" w:hanging="440"/>
        <w:rPr>
          <w:szCs w:val="22"/>
        </w:rPr>
      </w:pPr>
    </w:p>
    <w:p w:rsidR="00AE171B" w:rsidRDefault="00AE171B" w:rsidP="00D64C8F">
      <w:pPr>
        <w:spacing w:line="240" w:lineRule="auto"/>
        <w:ind w:left="440" w:hangingChars="200" w:hanging="440"/>
        <w:rPr>
          <w:szCs w:val="22"/>
        </w:rPr>
      </w:pPr>
    </w:p>
    <w:p w:rsidR="00AE171B" w:rsidRDefault="00AE171B" w:rsidP="00D64C8F">
      <w:pPr>
        <w:spacing w:line="240" w:lineRule="auto"/>
        <w:ind w:left="440" w:hangingChars="200" w:hanging="440"/>
        <w:rPr>
          <w:szCs w:val="22"/>
        </w:rPr>
      </w:pPr>
    </w:p>
    <w:p w:rsidR="00AE171B" w:rsidRPr="00905ACC" w:rsidRDefault="00AE171B" w:rsidP="00AE171B">
      <w:pPr>
        <w:contextualSpacing/>
        <w:rPr>
          <w:b/>
          <w:szCs w:val="22"/>
        </w:rPr>
      </w:pPr>
    </w:p>
    <w:p w:rsidR="00AE171B" w:rsidRDefault="00AE171B" w:rsidP="00AE171B">
      <w:pPr>
        <w:ind w:firstLine="0"/>
        <w:outlineLvl w:val="0"/>
        <w:rPr>
          <w:b/>
          <w:sz w:val="20"/>
          <w:szCs w:val="20"/>
        </w:rPr>
      </w:pPr>
      <w:r w:rsidRPr="00420477">
        <w:rPr>
          <w:b/>
          <w:sz w:val="20"/>
          <w:szCs w:val="20"/>
        </w:rPr>
        <w:t xml:space="preserve">Table </w:t>
      </w:r>
      <w:r>
        <w:rPr>
          <w:b/>
          <w:sz w:val="20"/>
          <w:szCs w:val="20"/>
        </w:rPr>
        <w:t>2</w:t>
      </w:r>
      <w:r w:rsidRPr="00420477">
        <w:rPr>
          <w:b/>
          <w:sz w:val="20"/>
          <w:szCs w:val="20"/>
        </w:rPr>
        <w:t>.</w:t>
      </w:r>
      <w:r>
        <w:rPr>
          <w:b/>
          <w:sz w:val="20"/>
          <w:szCs w:val="20"/>
        </w:rPr>
        <w:t xml:space="preserve"> </w:t>
      </w:r>
      <w:r w:rsidRPr="00420477">
        <w:rPr>
          <w:b/>
          <w:sz w:val="20"/>
          <w:szCs w:val="20"/>
        </w:rPr>
        <w:t>Descriptive statistics</w:t>
      </w:r>
    </w:p>
    <w:tbl>
      <w:tblPr>
        <w:tblW w:w="8660" w:type="dxa"/>
        <w:tblLook w:val="04A0" w:firstRow="1" w:lastRow="0" w:firstColumn="1" w:lastColumn="0" w:noHBand="0" w:noVBand="1"/>
      </w:tblPr>
      <w:tblGrid>
        <w:gridCol w:w="2900"/>
        <w:gridCol w:w="960"/>
        <w:gridCol w:w="960"/>
        <w:gridCol w:w="960"/>
        <w:gridCol w:w="1038"/>
        <w:gridCol w:w="1038"/>
        <w:gridCol w:w="1038"/>
      </w:tblGrid>
      <w:tr w:rsidR="00AE171B" w:rsidRPr="00B773B5" w:rsidTr="000339B0">
        <w:trPr>
          <w:trHeight w:val="300"/>
        </w:trPr>
        <w:tc>
          <w:tcPr>
            <w:tcW w:w="2900" w:type="dxa"/>
            <w:tcBorders>
              <w:top w:val="nil"/>
              <w:left w:val="nil"/>
              <w:bottom w:val="single" w:sz="8" w:space="0" w:color="000000"/>
              <w:right w:val="nil"/>
            </w:tcBorders>
            <w:shd w:val="clear" w:color="auto" w:fill="auto"/>
            <w:noWrap/>
            <w:vAlign w:val="center"/>
            <w:hideMark/>
          </w:tcPr>
          <w:p w:rsidR="00AE171B" w:rsidRPr="00B773B5" w:rsidRDefault="00AE171B" w:rsidP="000339B0">
            <w:pPr>
              <w:widowControl/>
              <w:spacing w:before="0" w:after="0" w:line="240" w:lineRule="auto"/>
              <w:ind w:firstLine="0"/>
              <w:jc w:val="left"/>
              <w:rPr>
                <w:rFonts w:asciiTheme="majorBidi" w:eastAsia="Times New Roman" w:hAnsiTheme="majorBidi" w:cstheme="majorBidi"/>
                <w:i/>
                <w:iCs/>
                <w:color w:val="000000"/>
                <w:kern w:val="0"/>
                <w:sz w:val="20"/>
                <w:szCs w:val="20"/>
                <w:lang w:val="en-GB" w:eastAsia="en-GB"/>
              </w:rPr>
            </w:pPr>
            <w:r w:rsidRPr="00B773B5">
              <w:rPr>
                <w:rFonts w:asciiTheme="majorBidi" w:eastAsia="Times New Roman" w:hAnsiTheme="majorBidi" w:cstheme="majorBidi"/>
                <w:i/>
                <w:iCs/>
                <w:color w:val="000000"/>
                <w:kern w:val="0"/>
                <w:sz w:val="20"/>
                <w:szCs w:val="20"/>
                <w:lang w:val="en-GB" w:eastAsia="en-GB"/>
              </w:rPr>
              <w:t>Variables</w:t>
            </w:r>
          </w:p>
        </w:tc>
        <w:tc>
          <w:tcPr>
            <w:tcW w:w="960" w:type="dxa"/>
            <w:tcBorders>
              <w:top w:val="single" w:sz="8" w:space="0" w:color="000000"/>
              <w:left w:val="nil"/>
              <w:bottom w:val="single" w:sz="8" w:space="0" w:color="000000"/>
              <w:right w:val="nil"/>
            </w:tcBorders>
            <w:shd w:val="clear" w:color="auto" w:fill="auto"/>
            <w:noWrap/>
            <w:vAlign w:val="bottom"/>
            <w:hideMark/>
          </w:tcPr>
          <w:p w:rsidR="00AE171B" w:rsidRPr="00B773B5" w:rsidRDefault="00AE171B" w:rsidP="000339B0">
            <w:pPr>
              <w:widowControl/>
              <w:spacing w:before="0" w:after="0" w:line="240" w:lineRule="auto"/>
              <w:ind w:firstLine="0"/>
              <w:jc w:val="left"/>
              <w:rPr>
                <w:rFonts w:asciiTheme="majorBidi" w:eastAsia="Times New Roman" w:hAnsiTheme="majorBidi" w:cstheme="majorBidi"/>
                <w:color w:val="000000"/>
                <w:kern w:val="0"/>
                <w:sz w:val="20"/>
                <w:szCs w:val="20"/>
                <w:lang w:val="en-GB" w:eastAsia="en-GB"/>
              </w:rPr>
            </w:pPr>
            <w:r w:rsidRPr="00B773B5">
              <w:rPr>
                <w:rFonts w:asciiTheme="majorBidi" w:eastAsia="Times New Roman" w:hAnsiTheme="majorBidi" w:cstheme="majorBidi"/>
                <w:color w:val="000000"/>
                <w:kern w:val="0"/>
                <w:sz w:val="20"/>
                <w:szCs w:val="20"/>
                <w:lang w:val="en-GB" w:eastAsia="en-GB"/>
              </w:rPr>
              <w:t> </w:t>
            </w:r>
          </w:p>
        </w:tc>
        <w:tc>
          <w:tcPr>
            <w:tcW w:w="960" w:type="dxa"/>
            <w:tcBorders>
              <w:top w:val="single" w:sz="8" w:space="0" w:color="000000"/>
              <w:left w:val="nil"/>
              <w:bottom w:val="single" w:sz="8" w:space="0" w:color="000000"/>
              <w:right w:val="nil"/>
            </w:tcBorders>
            <w:shd w:val="clear" w:color="auto" w:fill="auto"/>
            <w:vAlign w:val="center"/>
            <w:hideMark/>
          </w:tcPr>
          <w:p w:rsidR="00AE171B" w:rsidRPr="00B773B5" w:rsidRDefault="00AE171B" w:rsidP="000339B0">
            <w:pPr>
              <w:widowControl/>
              <w:spacing w:before="0" w:after="0" w:line="240" w:lineRule="auto"/>
              <w:ind w:firstLine="0"/>
              <w:jc w:val="center"/>
              <w:rPr>
                <w:rFonts w:asciiTheme="majorBidi" w:eastAsia="Times New Roman" w:hAnsiTheme="majorBidi" w:cstheme="majorBidi"/>
                <w:i/>
                <w:iCs/>
                <w:color w:val="000000"/>
                <w:kern w:val="0"/>
                <w:sz w:val="20"/>
                <w:szCs w:val="20"/>
                <w:lang w:val="en-GB" w:eastAsia="en-GB"/>
              </w:rPr>
            </w:pPr>
            <w:r w:rsidRPr="00B773B5">
              <w:rPr>
                <w:rFonts w:asciiTheme="majorBidi" w:eastAsia="Times New Roman" w:hAnsiTheme="majorBidi" w:cstheme="majorBidi"/>
                <w:i/>
                <w:iCs/>
                <w:color w:val="000000"/>
                <w:kern w:val="0"/>
                <w:sz w:val="20"/>
                <w:szCs w:val="20"/>
                <w:lang w:val="en-GB" w:eastAsia="en-GB"/>
              </w:rPr>
              <w:t xml:space="preserve">Mean         </w:t>
            </w:r>
          </w:p>
        </w:tc>
        <w:tc>
          <w:tcPr>
            <w:tcW w:w="960" w:type="dxa"/>
            <w:tcBorders>
              <w:top w:val="single" w:sz="8" w:space="0" w:color="000000"/>
              <w:left w:val="nil"/>
              <w:bottom w:val="single" w:sz="8" w:space="0" w:color="000000"/>
              <w:right w:val="nil"/>
            </w:tcBorders>
            <w:shd w:val="clear" w:color="auto" w:fill="auto"/>
            <w:noWrap/>
            <w:vAlign w:val="center"/>
            <w:hideMark/>
          </w:tcPr>
          <w:p w:rsidR="00AE171B" w:rsidRPr="00B773B5" w:rsidRDefault="00AE171B" w:rsidP="000339B0">
            <w:pPr>
              <w:widowControl/>
              <w:spacing w:before="0" w:after="0" w:line="240" w:lineRule="auto"/>
              <w:ind w:firstLine="0"/>
              <w:jc w:val="center"/>
              <w:rPr>
                <w:rFonts w:asciiTheme="majorBidi" w:eastAsia="Times New Roman" w:hAnsiTheme="majorBidi" w:cstheme="majorBidi"/>
                <w:i/>
                <w:iCs/>
                <w:color w:val="000000"/>
                <w:kern w:val="0"/>
                <w:sz w:val="20"/>
                <w:szCs w:val="20"/>
                <w:lang w:val="en-GB" w:eastAsia="en-GB"/>
              </w:rPr>
            </w:pPr>
            <w:r w:rsidRPr="00B773B5">
              <w:rPr>
                <w:rFonts w:asciiTheme="majorBidi" w:eastAsia="Times New Roman" w:hAnsiTheme="majorBidi" w:cstheme="majorBidi"/>
                <w:i/>
                <w:iCs/>
                <w:color w:val="000000"/>
                <w:kern w:val="0"/>
                <w:sz w:val="20"/>
                <w:szCs w:val="20"/>
                <w:lang w:val="en-GB" w:eastAsia="en-GB"/>
              </w:rPr>
              <w:t>Std. Dev.</w:t>
            </w:r>
          </w:p>
        </w:tc>
        <w:tc>
          <w:tcPr>
            <w:tcW w:w="960" w:type="dxa"/>
            <w:tcBorders>
              <w:top w:val="single" w:sz="8" w:space="0" w:color="000000"/>
              <w:left w:val="nil"/>
              <w:bottom w:val="single" w:sz="8" w:space="0" w:color="000000"/>
              <w:right w:val="nil"/>
            </w:tcBorders>
            <w:shd w:val="clear" w:color="auto" w:fill="auto"/>
            <w:noWrap/>
            <w:vAlign w:val="center"/>
            <w:hideMark/>
          </w:tcPr>
          <w:p w:rsidR="00AE171B" w:rsidRPr="00B773B5" w:rsidRDefault="00AE171B" w:rsidP="000339B0">
            <w:pPr>
              <w:widowControl/>
              <w:spacing w:before="0" w:after="0" w:line="240" w:lineRule="auto"/>
              <w:ind w:firstLine="0"/>
              <w:jc w:val="center"/>
              <w:rPr>
                <w:rFonts w:asciiTheme="majorBidi" w:eastAsia="Times New Roman" w:hAnsiTheme="majorBidi" w:cstheme="majorBidi"/>
                <w:i/>
                <w:iCs/>
                <w:color w:val="000000"/>
                <w:kern w:val="0"/>
                <w:sz w:val="20"/>
                <w:szCs w:val="20"/>
                <w:lang w:val="en-GB" w:eastAsia="en-GB"/>
              </w:rPr>
            </w:pPr>
            <w:r w:rsidRPr="00B773B5">
              <w:rPr>
                <w:rFonts w:asciiTheme="majorBidi" w:eastAsia="Times New Roman" w:hAnsiTheme="majorBidi" w:cstheme="majorBidi"/>
                <w:i/>
                <w:iCs/>
                <w:color w:val="000000"/>
                <w:kern w:val="0"/>
                <w:sz w:val="20"/>
                <w:szCs w:val="20"/>
                <w:lang w:val="en-GB" w:eastAsia="en-GB"/>
              </w:rPr>
              <w:t>25th Percentile</w:t>
            </w:r>
          </w:p>
        </w:tc>
        <w:tc>
          <w:tcPr>
            <w:tcW w:w="960" w:type="dxa"/>
            <w:tcBorders>
              <w:top w:val="single" w:sz="8" w:space="0" w:color="000000"/>
              <w:left w:val="nil"/>
              <w:bottom w:val="single" w:sz="8" w:space="0" w:color="000000"/>
              <w:right w:val="nil"/>
            </w:tcBorders>
            <w:shd w:val="clear" w:color="auto" w:fill="auto"/>
            <w:noWrap/>
            <w:vAlign w:val="center"/>
            <w:hideMark/>
          </w:tcPr>
          <w:p w:rsidR="00AE171B" w:rsidRPr="00B773B5" w:rsidRDefault="00AE171B" w:rsidP="000339B0">
            <w:pPr>
              <w:widowControl/>
              <w:spacing w:before="0" w:after="0" w:line="240" w:lineRule="auto"/>
              <w:ind w:firstLine="0"/>
              <w:jc w:val="center"/>
              <w:rPr>
                <w:rFonts w:asciiTheme="majorBidi" w:eastAsia="Times New Roman" w:hAnsiTheme="majorBidi" w:cstheme="majorBidi"/>
                <w:i/>
                <w:iCs/>
                <w:color w:val="000000"/>
                <w:kern w:val="0"/>
                <w:sz w:val="20"/>
                <w:szCs w:val="20"/>
                <w:lang w:val="en-GB" w:eastAsia="en-GB"/>
              </w:rPr>
            </w:pPr>
            <w:r w:rsidRPr="00B773B5">
              <w:rPr>
                <w:rFonts w:asciiTheme="majorBidi" w:eastAsia="Times New Roman" w:hAnsiTheme="majorBidi" w:cstheme="majorBidi"/>
                <w:i/>
                <w:iCs/>
                <w:color w:val="000000"/>
                <w:kern w:val="0"/>
                <w:sz w:val="20"/>
                <w:szCs w:val="20"/>
                <w:lang w:val="en-GB" w:eastAsia="en-GB"/>
              </w:rPr>
              <w:t>50th Percentile</w:t>
            </w:r>
          </w:p>
        </w:tc>
        <w:tc>
          <w:tcPr>
            <w:tcW w:w="960" w:type="dxa"/>
            <w:tcBorders>
              <w:top w:val="single" w:sz="8" w:space="0" w:color="000000"/>
              <w:left w:val="nil"/>
              <w:bottom w:val="single" w:sz="8" w:space="0" w:color="000000"/>
              <w:right w:val="nil"/>
            </w:tcBorders>
            <w:shd w:val="clear" w:color="auto" w:fill="auto"/>
            <w:noWrap/>
            <w:vAlign w:val="center"/>
            <w:hideMark/>
          </w:tcPr>
          <w:p w:rsidR="00AE171B" w:rsidRPr="00B773B5" w:rsidRDefault="00AE171B" w:rsidP="000339B0">
            <w:pPr>
              <w:widowControl/>
              <w:spacing w:before="0" w:after="0" w:line="240" w:lineRule="auto"/>
              <w:ind w:firstLine="0"/>
              <w:jc w:val="center"/>
              <w:rPr>
                <w:rFonts w:asciiTheme="majorBidi" w:eastAsia="Times New Roman" w:hAnsiTheme="majorBidi" w:cstheme="majorBidi"/>
                <w:i/>
                <w:iCs/>
                <w:color w:val="000000"/>
                <w:kern w:val="0"/>
                <w:sz w:val="20"/>
                <w:szCs w:val="20"/>
                <w:lang w:val="en-GB" w:eastAsia="en-GB"/>
              </w:rPr>
            </w:pPr>
            <w:r w:rsidRPr="00B773B5">
              <w:rPr>
                <w:rFonts w:asciiTheme="majorBidi" w:eastAsia="Times New Roman" w:hAnsiTheme="majorBidi" w:cstheme="majorBidi"/>
                <w:i/>
                <w:iCs/>
                <w:color w:val="000000"/>
                <w:kern w:val="0"/>
                <w:sz w:val="20"/>
                <w:szCs w:val="20"/>
                <w:lang w:val="en-GB" w:eastAsia="en-GB"/>
              </w:rPr>
              <w:t>75th Percentile</w:t>
            </w:r>
          </w:p>
        </w:tc>
      </w:tr>
      <w:tr w:rsidR="00AE171B" w:rsidRPr="00B773B5" w:rsidTr="000339B0">
        <w:trPr>
          <w:trHeight w:val="300"/>
        </w:trPr>
        <w:tc>
          <w:tcPr>
            <w:tcW w:w="2900" w:type="dxa"/>
            <w:tcBorders>
              <w:top w:val="nil"/>
              <w:left w:val="nil"/>
              <w:bottom w:val="nil"/>
              <w:right w:val="nil"/>
            </w:tcBorders>
            <w:shd w:val="clear" w:color="auto" w:fill="auto"/>
            <w:noWrap/>
            <w:vAlign w:val="center"/>
            <w:hideMark/>
          </w:tcPr>
          <w:p w:rsidR="00AE171B" w:rsidRPr="00B773B5" w:rsidRDefault="00AE171B" w:rsidP="000339B0">
            <w:pPr>
              <w:widowControl/>
              <w:spacing w:before="0" w:after="0" w:line="240" w:lineRule="auto"/>
              <w:ind w:firstLine="0"/>
              <w:jc w:val="left"/>
              <w:rPr>
                <w:rFonts w:asciiTheme="majorBidi" w:eastAsia="Times New Roman" w:hAnsiTheme="majorBidi" w:cstheme="majorBidi"/>
                <w:color w:val="000000"/>
                <w:kern w:val="0"/>
                <w:sz w:val="20"/>
                <w:szCs w:val="20"/>
                <w:lang w:val="en-GB" w:eastAsia="en-GB"/>
              </w:rPr>
            </w:pPr>
            <w:r w:rsidRPr="00B773B5">
              <w:rPr>
                <w:rFonts w:asciiTheme="majorBidi" w:eastAsia="Times New Roman" w:hAnsiTheme="majorBidi" w:cstheme="majorBidi"/>
                <w:color w:val="000000"/>
                <w:kern w:val="0"/>
                <w:sz w:val="20"/>
                <w:szCs w:val="20"/>
                <w:lang w:val="en-GB" w:eastAsia="en-GB"/>
              </w:rPr>
              <w:t>Sales growth</w:t>
            </w:r>
          </w:p>
        </w:tc>
        <w:tc>
          <w:tcPr>
            <w:tcW w:w="960" w:type="dxa"/>
            <w:tcBorders>
              <w:top w:val="nil"/>
              <w:left w:val="nil"/>
              <w:bottom w:val="nil"/>
              <w:right w:val="nil"/>
            </w:tcBorders>
            <w:shd w:val="clear" w:color="auto" w:fill="auto"/>
            <w:vAlign w:val="center"/>
            <w:hideMark/>
          </w:tcPr>
          <w:p w:rsidR="00AE171B" w:rsidRPr="00B773B5" w:rsidRDefault="00AE171B" w:rsidP="000339B0">
            <w:pPr>
              <w:widowControl/>
              <w:spacing w:before="0" w:after="0" w:line="240" w:lineRule="auto"/>
              <w:ind w:firstLine="0"/>
              <w:rPr>
                <w:rFonts w:asciiTheme="majorBidi" w:eastAsia="Times New Roman" w:hAnsiTheme="majorBidi" w:cstheme="majorBidi"/>
                <w:i/>
                <w:iCs/>
                <w:color w:val="000000"/>
                <w:kern w:val="0"/>
                <w:sz w:val="20"/>
                <w:szCs w:val="20"/>
                <w:lang w:val="en-GB" w:eastAsia="en-GB"/>
              </w:rPr>
            </w:pPr>
            <w:r w:rsidRPr="00B773B5">
              <w:rPr>
                <w:rFonts w:asciiTheme="majorBidi" w:eastAsia="Times New Roman" w:hAnsiTheme="majorBidi" w:cstheme="majorBidi"/>
                <w:i/>
                <w:iCs/>
                <w:color w:val="000000"/>
                <w:kern w:val="0"/>
                <w:sz w:val="20"/>
                <w:szCs w:val="20"/>
                <w:lang w:val="en-GB" w:eastAsia="en-GB"/>
              </w:rPr>
              <w:t>SG</w:t>
            </w:r>
            <w:r w:rsidRPr="00B773B5">
              <w:rPr>
                <w:rFonts w:asciiTheme="majorBidi" w:eastAsia="Times New Roman" w:hAnsiTheme="majorBidi" w:cstheme="majorBidi"/>
                <w:i/>
                <w:iCs/>
                <w:color w:val="000000"/>
                <w:kern w:val="0"/>
                <w:sz w:val="20"/>
                <w:szCs w:val="20"/>
                <w:vertAlign w:val="subscript"/>
                <w:lang w:val="en-GB" w:eastAsia="en-GB"/>
              </w:rPr>
              <w:t>t</w:t>
            </w:r>
          </w:p>
        </w:tc>
        <w:tc>
          <w:tcPr>
            <w:tcW w:w="960" w:type="dxa"/>
            <w:tcBorders>
              <w:top w:val="nil"/>
              <w:left w:val="nil"/>
              <w:bottom w:val="nil"/>
              <w:right w:val="nil"/>
            </w:tcBorders>
            <w:shd w:val="clear" w:color="auto" w:fill="auto"/>
            <w:noWrap/>
            <w:vAlign w:val="bottom"/>
            <w:hideMark/>
          </w:tcPr>
          <w:p w:rsidR="00AE171B" w:rsidRPr="00B773B5" w:rsidRDefault="00AE171B" w:rsidP="000339B0">
            <w:pPr>
              <w:widowControl/>
              <w:spacing w:before="0" w:after="0" w:line="240" w:lineRule="auto"/>
              <w:ind w:firstLine="0"/>
              <w:jc w:val="right"/>
              <w:rPr>
                <w:rFonts w:asciiTheme="majorBidi" w:eastAsia="Times New Roman" w:hAnsiTheme="majorBidi" w:cstheme="majorBidi"/>
                <w:color w:val="000000"/>
                <w:kern w:val="0"/>
                <w:sz w:val="20"/>
                <w:szCs w:val="20"/>
                <w:lang w:val="en-GB" w:eastAsia="en-GB"/>
              </w:rPr>
            </w:pPr>
            <w:r w:rsidRPr="00B773B5">
              <w:rPr>
                <w:rFonts w:asciiTheme="majorBidi" w:eastAsia="Times New Roman" w:hAnsiTheme="majorBidi" w:cstheme="majorBidi"/>
                <w:color w:val="000000"/>
                <w:kern w:val="0"/>
                <w:sz w:val="20"/>
                <w:szCs w:val="20"/>
                <w:lang w:val="en-GB" w:eastAsia="en-GB"/>
              </w:rPr>
              <w:t>0.480</w:t>
            </w:r>
          </w:p>
        </w:tc>
        <w:tc>
          <w:tcPr>
            <w:tcW w:w="960" w:type="dxa"/>
            <w:tcBorders>
              <w:top w:val="nil"/>
              <w:left w:val="nil"/>
              <w:bottom w:val="nil"/>
              <w:right w:val="nil"/>
            </w:tcBorders>
            <w:shd w:val="clear" w:color="auto" w:fill="auto"/>
            <w:noWrap/>
            <w:vAlign w:val="bottom"/>
            <w:hideMark/>
          </w:tcPr>
          <w:p w:rsidR="00AE171B" w:rsidRPr="00B773B5" w:rsidRDefault="00AE171B" w:rsidP="000339B0">
            <w:pPr>
              <w:widowControl/>
              <w:spacing w:before="0" w:after="0" w:line="240" w:lineRule="auto"/>
              <w:ind w:firstLine="0"/>
              <w:jc w:val="right"/>
              <w:rPr>
                <w:rFonts w:asciiTheme="majorBidi" w:eastAsia="Times New Roman" w:hAnsiTheme="majorBidi" w:cstheme="majorBidi"/>
                <w:color w:val="000000"/>
                <w:kern w:val="0"/>
                <w:sz w:val="20"/>
                <w:szCs w:val="20"/>
                <w:lang w:val="en-GB" w:eastAsia="en-GB"/>
              </w:rPr>
            </w:pPr>
            <w:r w:rsidRPr="00B773B5">
              <w:rPr>
                <w:rFonts w:asciiTheme="majorBidi" w:eastAsia="Times New Roman" w:hAnsiTheme="majorBidi" w:cstheme="majorBidi"/>
                <w:color w:val="000000"/>
                <w:kern w:val="0"/>
                <w:sz w:val="20"/>
                <w:szCs w:val="20"/>
                <w:lang w:val="en-GB" w:eastAsia="en-GB"/>
              </w:rPr>
              <w:t>0.117</w:t>
            </w:r>
          </w:p>
        </w:tc>
        <w:tc>
          <w:tcPr>
            <w:tcW w:w="960" w:type="dxa"/>
            <w:tcBorders>
              <w:top w:val="nil"/>
              <w:left w:val="nil"/>
              <w:bottom w:val="nil"/>
              <w:right w:val="nil"/>
            </w:tcBorders>
            <w:shd w:val="clear" w:color="auto" w:fill="auto"/>
            <w:noWrap/>
            <w:vAlign w:val="bottom"/>
            <w:hideMark/>
          </w:tcPr>
          <w:p w:rsidR="00AE171B" w:rsidRPr="00B773B5" w:rsidRDefault="00AE171B" w:rsidP="000339B0">
            <w:pPr>
              <w:widowControl/>
              <w:spacing w:before="0" w:after="0" w:line="240" w:lineRule="auto"/>
              <w:ind w:firstLine="0"/>
              <w:jc w:val="right"/>
              <w:rPr>
                <w:rFonts w:asciiTheme="majorBidi" w:eastAsia="Times New Roman" w:hAnsiTheme="majorBidi" w:cstheme="majorBidi"/>
                <w:color w:val="000000"/>
                <w:kern w:val="0"/>
                <w:sz w:val="20"/>
                <w:szCs w:val="20"/>
                <w:lang w:val="en-GB" w:eastAsia="en-GB"/>
              </w:rPr>
            </w:pPr>
            <w:r w:rsidRPr="00B773B5">
              <w:rPr>
                <w:rFonts w:asciiTheme="majorBidi" w:eastAsia="Times New Roman" w:hAnsiTheme="majorBidi" w:cstheme="majorBidi"/>
                <w:color w:val="000000"/>
                <w:kern w:val="0"/>
                <w:sz w:val="20"/>
                <w:szCs w:val="20"/>
                <w:lang w:val="en-GB" w:eastAsia="en-GB"/>
              </w:rPr>
              <w:t>-0.018</w:t>
            </w:r>
          </w:p>
        </w:tc>
        <w:tc>
          <w:tcPr>
            <w:tcW w:w="960" w:type="dxa"/>
            <w:tcBorders>
              <w:top w:val="nil"/>
              <w:left w:val="nil"/>
              <w:bottom w:val="nil"/>
              <w:right w:val="nil"/>
            </w:tcBorders>
            <w:shd w:val="clear" w:color="auto" w:fill="auto"/>
            <w:noWrap/>
            <w:vAlign w:val="bottom"/>
            <w:hideMark/>
          </w:tcPr>
          <w:p w:rsidR="00AE171B" w:rsidRPr="00B773B5" w:rsidRDefault="00AE171B" w:rsidP="000339B0">
            <w:pPr>
              <w:widowControl/>
              <w:spacing w:before="0" w:after="0" w:line="240" w:lineRule="auto"/>
              <w:ind w:firstLine="0"/>
              <w:jc w:val="right"/>
              <w:rPr>
                <w:rFonts w:asciiTheme="majorBidi" w:eastAsia="Times New Roman" w:hAnsiTheme="majorBidi" w:cstheme="majorBidi"/>
                <w:color w:val="000000"/>
                <w:kern w:val="0"/>
                <w:sz w:val="20"/>
                <w:szCs w:val="20"/>
                <w:lang w:val="en-GB" w:eastAsia="en-GB"/>
              </w:rPr>
            </w:pPr>
            <w:r w:rsidRPr="00B773B5">
              <w:rPr>
                <w:rFonts w:asciiTheme="majorBidi" w:eastAsia="Times New Roman" w:hAnsiTheme="majorBidi" w:cstheme="majorBidi"/>
                <w:color w:val="000000"/>
                <w:kern w:val="0"/>
                <w:sz w:val="20"/>
                <w:szCs w:val="20"/>
                <w:lang w:val="en-GB" w:eastAsia="en-GB"/>
              </w:rPr>
              <w:t>0.061</w:t>
            </w:r>
          </w:p>
        </w:tc>
        <w:tc>
          <w:tcPr>
            <w:tcW w:w="960" w:type="dxa"/>
            <w:tcBorders>
              <w:top w:val="nil"/>
              <w:left w:val="nil"/>
              <w:bottom w:val="nil"/>
              <w:right w:val="nil"/>
            </w:tcBorders>
            <w:shd w:val="clear" w:color="auto" w:fill="auto"/>
            <w:noWrap/>
            <w:vAlign w:val="bottom"/>
            <w:hideMark/>
          </w:tcPr>
          <w:p w:rsidR="00AE171B" w:rsidRPr="00B773B5" w:rsidRDefault="00AE171B" w:rsidP="000339B0">
            <w:pPr>
              <w:widowControl/>
              <w:spacing w:before="0" w:after="0" w:line="240" w:lineRule="auto"/>
              <w:ind w:firstLine="0"/>
              <w:jc w:val="right"/>
              <w:rPr>
                <w:rFonts w:asciiTheme="majorBidi" w:eastAsia="Times New Roman" w:hAnsiTheme="majorBidi" w:cstheme="majorBidi"/>
                <w:color w:val="000000"/>
                <w:kern w:val="0"/>
                <w:sz w:val="20"/>
                <w:szCs w:val="20"/>
                <w:lang w:val="en-GB" w:eastAsia="en-GB"/>
              </w:rPr>
            </w:pPr>
            <w:r w:rsidRPr="00B773B5">
              <w:rPr>
                <w:rFonts w:asciiTheme="majorBidi" w:eastAsia="Times New Roman" w:hAnsiTheme="majorBidi" w:cstheme="majorBidi"/>
                <w:color w:val="000000"/>
                <w:kern w:val="0"/>
                <w:sz w:val="20"/>
                <w:szCs w:val="20"/>
                <w:lang w:val="en-GB" w:eastAsia="en-GB"/>
              </w:rPr>
              <w:t>0.169</w:t>
            </w:r>
          </w:p>
        </w:tc>
      </w:tr>
      <w:tr w:rsidR="00AE171B" w:rsidRPr="00B773B5" w:rsidTr="000339B0">
        <w:trPr>
          <w:trHeight w:val="300"/>
        </w:trPr>
        <w:tc>
          <w:tcPr>
            <w:tcW w:w="2900" w:type="dxa"/>
            <w:tcBorders>
              <w:top w:val="nil"/>
              <w:left w:val="nil"/>
              <w:bottom w:val="nil"/>
              <w:right w:val="nil"/>
            </w:tcBorders>
            <w:shd w:val="clear" w:color="auto" w:fill="auto"/>
            <w:noWrap/>
            <w:vAlign w:val="center"/>
            <w:hideMark/>
          </w:tcPr>
          <w:p w:rsidR="00AE171B" w:rsidRPr="00B773B5" w:rsidRDefault="00AE171B" w:rsidP="000339B0">
            <w:pPr>
              <w:widowControl/>
              <w:spacing w:before="0" w:after="0" w:line="240" w:lineRule="auto"/>
              <w:ind w:firstLine="0"/>
              <w:jc w:val="left"/>
              <w:rPr>
                <w:rFonts w:asciiTheme="majorBidi" w:eastAsia="Times New Roman" w:hAnsiTheme="majorBidi" w:cstheme="majorBidi"/>
                <w:color w:val="000000"/>
                <w:kern w:val="0"/>
                <w:sz w:val="20"/>
                <w:szCs w:val="20"/>
                <w:lang w:val="en-GB" w:eastAsia="en-GB"/>
              </w:rPr>
            </w:pPr>
            <w:r w:rsidRPr="00B773B5">
              <w:rPr>
                <w:rFonts w:asciiTheme="majorBidi" w:eastAsia="Times New Roman" w:hAnsiTheme="majorBidi" w:cstheme="majorBidi"/>
                <w:color w:val="000000"/>
                <w:kern w:val="0"/>
                <w:sz w:val="20"/>
                <w:szCs w:val="20"/>
                <w:lang w:val="en-GB" w:eastAsia="en-GB"/>
              </w:rPr>
              <w:t>Change in net operating assets</w:t>
            </w:r>
          </w:p>
        </w:tc>
        <w:tc>
          <w:tcPr>
            <w:tcW w:w="960" w:type="dxa"/>
            <w:tcBorders>
              <w:top w:val="nil"/>
              <w:left w:val="nil"/>
              <w:bottom w:val="nil"/>
              <w:right w:val="nil"/>
            </w:tcBorders>
            <w:shd w:val="clear" w:color="auto" w:fill="auto"/>
            <w:vAlign w:val="center"/>
            <w:hideMark/>
          </w:tcPr>
          <w:p w:rsidR="00AE171B" w:rsidRPr="00B773B5" w:rsidRDefault="00AE171B" w:rsidP="000339B0">
            <w:pPr>
              <w:widowControl/>
              <w:spacing w:before="0" w:after="0" w:line="240" w:lineRule="auto"/>
              <w:ind w:firstLine="0"/>
              <w:rPr>
                <w:rFonts w:asciiTheme="majorBidi" w:eastAsia="Times New Roman" w:hAnsiTheme="majorBidi" w:cstheme="majorBidi"/>
                <w:i/>
                <w:iCs/>
                <w:color w:val="000000"/>
                <w:kern w:val="0"/>
                <w:sz w:val="20"/>
                <w:szCs w:val="20"/>
                <w:lang w:val="en-GB" w:eastAsia="en-GB"/>
              </w:rPr>
            </w:pPr>
            <w:r w:rsidRPr="00B773B5">
              <w:rPr>
                <w:rFonts w:asciiTheme="majorBidi" w:eastAsia="Times New Roman" w:hAnsiTheme="majorBidi" w:cstheme="majorBidi"/>
                <w:i/>
                <w:iCs/>
                <w:color w:val="000000"/>
                <w:kern w:val="0"/>
                <w:sz w:val="20"/>
                <w:szCs w:val="20"/>
                <w:lang w:val="en-GB" w:eastAsia="en-GB"/>
              </w:rPr>
              <w:t>AD</w:t>
            </w:r>
            <w:r w:rsidRPr="00B773B5">
              <w:rPr>
                <w:rFonts w:asciiTheme="majorBidi" w:eastAsia="Times New Roman" w:hAnsiTheme="majorBidi" w:cstheme="majorBidi"/>
                <w:i/>
                <w:iCs/>
                <w:color w:val="000000"/>
                <w:kern w:val="0"/>
                <w:sz w:val="20"/>
                <w:szCs w:val="20"/>
                <w:vertAlign w:val="subscript"/>
                <w:lang w:val="en-GB" w:eastAsia="en-GB"/>
              </w:rPr>
              <w:t>t</w:t>
            </w:r>
          </w:p>
        </w:tc>
        <w:tc>
          <w:tcPr>
            <w:tcW w:w="960" w:type="dxa"/>
            <w:tcBorders>
              <w:top w:val="nil"/>
              <w:left w:val="nil"/>
              <w:bottom w:val="nil"/>
              <w:right w:val="nil"/>
            </w:tcBorders>
            <w:shd w:val="clear" w:color="auto" w:fill="auto"/>
            <w:noWrap/>
            <w:vAlign w:val="bottom"/>
            <w:hideMark/>
          </w:tcPr>
          <w:p w:rsidR="00AE171B" w:rsidRPr="00B773B5" w:rsidRDefault="00AE171B" w:rsidP="000339B0">
            <w:pPr>
              <w:widowControl/>
              <w:spacing w:before="0" w:after="0" w:line="240" w:lineRule="auto"/>
              <w:ind w:firstLine="0"/>
              <w:jc w:val="right"/>
              <w:rPr>
                <w:rFonts w:asciiTheme="majorBidi" w:eastAsia="Times New Roman" w:hAnsiTheme="majorBidi" w:cstheme="majorBidi"/>
                <w:color w:val="000000"/>
                <w:kern w:val="0"/>
                <w:sz w:val="20"/>
                <w:szCs w:val="20"/>
                <w:lang w:val="en-GB" w:eastAsia="en-GB"/>
              </w:rPr>
            </w:pPr>
            <w:r w:rsidRPr="00B773B5">
              <w:rPr>
                <w:rFonts w:asciiTheme="majorBidi" w:eastAsia="Times New Roman" w:hAnsiTheme="majorBidi" w:cstheme="majorBidi"/>
                <w:color w:val="000000"/>
                <w:kern w:val="0"/>
                <w:sz w:val="20"/>
                <w:szCs w:val="20"/>
                <w:lang w:val="en-GB" w:eastAsia="en-GB"/>
              </w:rPr>
              <w:t>0.023</w:t>
            </w:r>
          </w:p>
        </w:tc>
        <w:tc>
          <w:tcPr>
            <w:tcW w:w="960" w:type="dxa"/>
            <w:tcBorders>
              <w:top w:val="nil"/>
              <w:left w:val="nil"/>
              <w:bottom w:val="nil"/>
              <w:right w:val="nil"/>
            </w:tcBorders>
            <w:shd w:val="clear" w:color="auto" w:fill="auto"/>
            <w:noWrap/>
            <w:vAlign w:val="bottom"/>
            <w:hideMark/>
          </w:tcPr>
          <w:p w:rsidR="00AE171B" w:rsidRPr="00B773B5" w:rsidRDefault="00AE171B" w:rsidP="000339B0">
            <w:pPr>
              <w:widowControl/>
              <w:spacing w:before="0" w:after="0" w:line="240" w:lineRule="auto"/>
              <w:ind w:firstLine="0"/>
              <w:jc w:val="right"/>
              <w:rPr>
                <w:rFonts w:asciiTheme="majorBidi" w:eastAsia="Times New Roman" w:hAnsiTheme="majorBidi" w:cstheme="majorBidi"/>
                <w:color w:val="000000"/>
                <w:kern w:val="0"/>
                <w:sz w:val="20"/>
                <w:szCs w:val="20"/>
                <w:lang w:val="en-GB" w:eastAsia="en-GB"/>
              </w:rPr>
            </w:pPr>
            <w:r w:rsidRPr="00B773B5">
              <w:rPr>
                <w:rFonts w:asciiTheme="majorBidi" w:eastAsia="Times New Roman" w:hAnsiTheme="majorBidi" w:cstheme="majorBidi"/>
                <w:color w:val="000000"/>
                <w:kern w:val="0"/>
                <w:sz w:val="20"/>
                <w:szCs w:val="20"/>
                <w:lang w:val="en-GB" w:eastAsia="en-GB"/>
              </w:rPr>
              <w:t>0.294</w:t>
            </w:r>
          </w:p>
        </w:tc>
        <w:tc>
          <w:tcPr>
            <w:tcW w:w="960" w:type="dxa"/>
            <w:tcBorders>
              <w:top w:val="nil"/>
              <w:left w:val="nil"/>
              <w:bottom w:val="nil"/>
              <w:right w:val="nil"/>
            </w:tcBorders>
            <w:shd w:val="clear" w:color="auto" w:fill="auto"/>
            <w:noWrap/>
            <w:vAlign w:val="bottom"/>
            <w:hideMark/>
          </w:tcPr>
          <w:p w:rsidR="00AE171B" w:rsidRPr="00B773B5" w:rsidRDefault="00AE171B" w:rsidP="000339B0">
            <w:pPr>
              <w:widowControl/>
              <w:spacing w:before="0" w:after="0" w:line="240" w:lineRule="auto"/>
              <w:ind w:firstLine="0"/>
              <w:jc w:val="right"/>
              <w:rPr>
                <w:rFonts w:asciiTheme="majorBidi" w:eastAsia="Times New Roman" w:hAnsiTheme="majorBidi" w:cstheme="majorBidi"/>
                <w:color w:val="000000"/>
                <w:kern w:val="0"/>
                <w:sz w:val="20"/>
                <w:szCs w:val="20"/>
                <w:lang w:val="en-GB" w:eastAsia="en-GB"/>
              </w:rPr>
            </w:pPr>
            <w:r w:rsidRPr="00B773B5">
              <w:rPr>
                <w:rFonts w:asciiTheme="majorBidi" w:eastAsia="Times New Roman" w:hAnsiTheme="majorBidi" w:cstheme="majorBidi"/>
                <w:color w:val="000000"/>
                <w:kern w:val="0"/>
                <w:sz w:val="20"/>
                <w:szCs w:val="20"/>
                <w:lang w:val="en-GB" w:eastAsia="en-GB"/>
              </w:rPr>
              <w:t>-0.106</w:t>
            </w:r>
          </w:p>
        </w:tc>
        <w:tc>
          <w:tcPr>
            <w:tcW w:w="960" w:type="dxa"/>
            <w:tcBorders>
              <w:top w:val="nil"/>
              <w:left w:val="nil"/>
              <w:bottom w:val="nil"/>
              <w:right w:val="nil"/>
            </w:tcBorders>
            <w:shd w:val="clear" w:color="auto" w:fill="auto"/>
            <w:noWrap/>
            <w:vAlign w:val="bottom"/>
            <w:hideMark/>
          </w:tcPr>
          <w:p w:rsidR="00AE171B" w:rsidRPr="00B773B5" w:rsidRDefault="00AE171B" w:rsidP="000339B0">
            <w:pPr>
              <w:widowControl/>
              <w:spacing w:before="0" w:after="0" w:line="240" w:lineRule="auto"/>
              <w:ind w:firstLine="0"/>
              <w:jc w:val="right"/>
              <w:rPr>
                <w:rFonts w:asciiTheme="majorBidi" w:eastAsia="Times New Roman" w:hAnsiTheme="majorBidi" w:cstheme="majorBidi"/>
                <w:color w:val="000000"/>
                <w:kern w:val="0"/>
                <w:sz w:val="20"/>
                <w:szCs w:val="20"/>
                <w:lang w:val="en-GB" w:eastAsia="en-GB"/>
              </w:rPr>
            </w:pPr>
            <w:r w:rsidRPr="00B773B5">
              <w:rPr>
                <w:rFonts w:asciiTheme="majorBidi" w:eastAsia="Times New Roman" w:hAnsiTheme="majorBidi" w:cstheme="majorBidi"/>
                <w:color w:val="000000"/>
                <w:kern w:val="0"/>
                <w:sz w:val="20"/>
                <w:szCs w:val="20"/>
                <w:lang w:val="en-GB" w:eastAsia="en-GB"/>
              </w:rPr>
              <w:t>0.018</w:t>
            </w:r>
          </w:p>
        </w:tc>
        <w:tc>
          <w:tcPr>
            <w:tcW w:w="960" w:type="dxa"/>
            <w:tcBorders>
              <w:top w:val="nil"/>
              <w:left w:val="nil"/>
              <w:bottom w:val="nil"/>
              <w:right w:val="nil"/>
            </w:tcBorders>
            <w:shd w:val="clear" w:color="auto" w:fill="auto"/>
            <w:noWrap/>
            <w:vAlign w:val="bottom"/>
            <w:hideMark/>
          </w:tcPr>
          <w:p w:rsidR="00AE171B" w:rsidRPr="00B773B5" w:rsidRDefault="00AE171B" w:rsidP="000339B0">
            <w:pPr>
              <w:widowControl/>
              <w:spacing w:before="0" w:after="0" w:line="240" w:lineRule="auto"/>
              <w:ind w:firstLine="0"/>
              <w:jc w:val="right"/>
              <w:rPr>
                <w:rFonts w:asciiTheme="majorBidi" w:eastAsia="Times New Roman" w:hAnsiTheme="majorBidi" w:cstheme="majorBidi"/>
                <w:color w:val="000000"/>
                <w:kern w:val="0"/>
                <w:sz w:val="20"/>
                <w:szCs w:val="20"/>
                <w:lang w:val="en-GB" w:eastAsia="en-GB"/>
              </w:rPr>
            </w:pPr>
            <w:r w:rsidRPr="00B773B5">
              <w:rPr>
                <w:rFonts w:asciiTheme="majorBidi" w:eastAsia="Times New Roman" w:hAnsiTheme="majorBidi" w:cstheme="majorBidi"/>
                <w:color w:val="000000"/>
                <w:kern w:val="0"/>
                <w:sz w:val="20"/>
                <w:szCs w:val="20"/>
                <w:lang w:val="en-GB" w:eastAsia="en-GB"/>
              </w:rPr>
              <w:t>0.145</w:t>
            </w:r>
          </w:p>
        </w:tc>
      </w:tr>
      <w:tr w:rsidR="00AE171B" w:rsidRPr="00B773B5" w:rsidTr="000339B0">
        <w:trPr>
          <w:trHeight w:val="300"/>
        </w:trPr>
        <w:tc>
          <w:tcPr>
            <w:tcW w:w="2900" w:type="dxa"/>
            <w:tcBorders>
              <w:top w:val="nil"/>
              <w:left w:val="nil"/>
              <w:bottom w:val="nil"/>
              <w:right w:val="nil"/>
            </w:tcBorders>
            <w:shd w:val="clear" w:color="auto" w:fill="auto"/>
            <w:noWrap/>
            <w:vAlign w:val="center"/>
            <w:hideMark/>
          </w:tcPr>
          <w:p w:rsidR="00AE171B" w:rsidRPr="00B773B5" w:rsidRDefault="00AE171B" w:rsidP="000339B0">
            <w:pPr>
              <w:widowControl/>
              <w:spacing w:before="0" w:after="0" w:line="240" w:lineRule="auto"/>
              <w:ind w:firstLine="0"/>
              <w:jc w:val="left"/>
              <w:rPr>
                <w:rFonts w:asciiTheme="majorBidi" w:eastAsia="Times New Roman" w:hAnsiTheme="majorBidi" w:cstheme="majorBidi"/>
                <w:color w:val="000000"/>
                <w:kern w:val="0"/>
                <w:sz w:val="20"/>
                <w:szCs w:val="20"/>
                <w:lang w:val="en-GB" w:eastAsia="en-GB"/>
              </w:rPr>
            </w:pPr>
            <w:r w:rsidRPr="00B773B5">
              <w:rPr>
                <w:rFonts w:asciiTheme="majorBidi" w:eastAsia="Times New Roman" w:hAnsiTheme="majorBidi" w:cstheme="majorBidi"/>
                <w:color w:val="000000"/>
                <w:kern w:val="0"/>
                <w:sz w:val="20"/>
                <w:szCs w:val="20"/>
                <w:lang w:val="en-GB" w:eastAsia="en-GB"/>
              </w:rPr>
              <w:t>Accruals</w:t>
            </w:r>
          </w:p>
        </w:tc>
        <w:tc>
          <w:tcPr>
            <w:tcW w:w="960" w:type="dxa"/>
            <w:tcBorders>
              <w:top w:val="nil"/>
              <w:left w:val="nil"/>
              <w:bottom w:val="nil"/>
              <w:right w:val="nil"/>
            </w:tcBorders>
            <w:shd w:val="clear" w:color="auto" w:fill="auto"/>
            <w:vAlign w:val="center"/>
            <w:hideMark/>
          </w:tcPr>
          <w:p w:rsidR="00AE171B" w:rsidRPr="00B773B5" w:rsidRDefault="00AE171B" w:rsidP="000339B0">
            <w:pPr>
              <w:widowControl/>
              <w:spacing w:before="0" w:after="0" w:line="240" w:lineRule="auto"/>
              <w:ind w:firstLine="0"/>
              <w:rPr>
                <w:rFonts w:asciiTheme="majorBidi" w:eastAsia="Times New Roman" w:hAnsiTheme="majorBidi" w:cstheme="majorBidi"/>
                <w:i/>
                <w:iCs/>
                <w:color w:val="000000"/>
                <w:kern w:val="0"/>
                <w:sz w:val="20"/>
                <w:szCs w:val="20"/>
                <w:lang w:val="en-GB" w:eastAsia="en-GB"/>
              </w:rPr>
            </w:pPr>
            <w:r w:rsidRPr="00B773B5">
              <w:rPr>
                <w:rFonts w:asciiTheme="majorBidi" w:eastAsia="Times New Roman" w:hAnsiTheme="majorBidi" w:cstheme="majorBidi"/>
                <w:i/>
                <w:iCs/>
                <w:color w:val="000000"/>
                <w:kern w:val="0"/>
                <w:sz w:val="20"/>
                <w:szCs w:val="20"/>
                <w:lang w:val="en-GB" w:eastAsia="en-GB"/>
              </w:rPr>
              <w:t>ACC</w:t>
            </w:r>
            <w:r w:rsidRPr="00B773B5">
              <w:rPr>
                <w:rFonts w:asciiTheme="majorBidi" w:eastAsia="Times New Roman" w:hAnsiTheme="majorBidi" w:cstheme="majorBidi"/>
                <w:i/>
                <w:iCs/>
                <w:color w:val="000000"/>
                <w:kern w:val="0"/>
                <w:sz w:val="20"/>
                <w:szCs w:val="20"/>
                <w:vertAlign w:val="subscript"/>
                <w:lang w:val="en-GB" w:eastAsia="en-GB"/>
              </w:rPr>
              <w:t>t</w:t>
            </w:r>
          </w:p>
        </w:tc>
        <w:tc>
          <w:tcPr>
            <w:tcW w:w="960" w:type="dxa"/>
            <w:tcBorders>
              <w:top w:val="nil"/>
              <w:left w:val="nil"/>
              <w:bottom w:val="nil"/>
              <w:right w:val="nil"/>
            </w:tcBorders>
            <w:shd w:val="clear" w:color="auto" w:fill="auto"/>
            <w:noWrap/>
            <w:vAlign w:val="bottom"/>
            <w:hideMark/>
          </w:tcPr>
          <w:p w:rsidR="00AE171B" w:rsidRPr="00B773B5" w:rsidRDefault="00AE171B" w:rsidP="000339B0">
            <w:pPr>
              <w:widowControl/>
              <w:spacing w:before="0" w:after="0" w:line="240" w:lineRule="auto"/>
              <w:ind w:firstLine="0"/>
              <w:jc w:val="right"/>
              <w:rPr>
                <w:rFonts w:asciiTheme="majorBidi" w:eastAsia="Times New Roman" w:hAnsiTheme="majorBidi" w:cstheme="majorBidi"/>
                <w:color w:val="000000"/>
                <w:kern w:val="0"/>
                <w:sz w:val="20"/>
                <w:szCs w:val="20"/>
                <w:lang w:val="en-GB" w:eastAsia="en-GB"/>
              </w:rPr>
            </w:pPr>
            <w:r w:rsidRPr="00B773B5">
              <w:rPr>
                <w:rFonts w:asciiTheme="majorBidi" w:eastAsia="Times New Roman" w:hAnsiTheme="majorBidi" w:cstheme="majorBidi"/>
                <w:color w:val="000000"/>
                <w:kern w:val="0"/>
                <w:sz w:val="20"/>
                <w:szCs w:val="20"/>
                <w:lang w:val="en-GB" w:eastAsia="en-GB"/>
              </w:rPr>
              <w:t>0.065</w:t>
            </w:r>
          </w:p>
        </w:tc>
        <w:tc>
          <w:tcPr>
            <w:tcW w:w="960" w:type="dxa"/>
            <w:tcBorders>
              <w:top w:val="nil"/>
              <w:left w:val="nil"/>
              <w:bottom w:val="nil"/>
              <w:right w:val="nil"/>
            </w:tcBorders>
            <w:shd w:val="clear" w:color="auto" w:fill="auto"/>
            <w:noWrap/>
            <w:vAlign w:val="bottom"/>
            <w:hideMark/>
          </w:tcPr>
          <w:p w:rsidR="00AE171B" w:rsidRPr="00B773B5" w:rsidRDefault="00AE171B" w:rsidP="000339B0">
            <w:pPr>
              <w:widowControl/>
              <w:spacing w:before="0" w:after="0" w:line="240" w:lineRule="auto"/>
              <w:ind w:firstLine="0"/>
              <w:jc w:val="right"/>
              <w:rPr>
                <w:rFonts w:asciiTheme="majorBidi" w:eastAsia="Times New Roman" w:hAnsiTheme="majorBidi" w:cstheme="majorBidi"/>
                <w:color w:val="000000"/>
                <w:kern w:val="0"/>
                <w:sz w:val="20"/>
                <w:szCs w:val="20"/>
                <w:lang w:val="en-GB" w:eastAsia="en-GB"/>
              </w:rPr>
            </w:pPr>
            <w:r w:rsidRPr="00B773B5">
              <w:rPr>
                <w:rFonts w:asciiTheme="majorBidi" w:eastAsia="Times New Roman" w:hAnsiTheme="majorBidi" w:cstheme="majorBidi"/>
                <w:color w:val="000000"/>
                <w:kern w:val="0"/>
                <w:sz w:val="20"/>
                <w:szCs w:val="20"/>
                <w:lang w:val="en-GB" w:eastAsia="en-GB"/>
              </w:rPr>
              <w:t>0.346</w:t>
            </w:r>
          </w:p>
        </w:tc>
        <w:tc>
          <w:tcPr>
            <w:tcW w:w="960" w:type="dxa"/>
            <w:tcBorders>
              <w:top w:val="nil"/>
              <w:left w:val="nil"/>
              <w:bottom w:val="nil"/>
              <w:right w:val="nil"/>
            </w:tcBorders>
            <w:shd w:val="clear" w:color="auto" w:fill="auto"/>
            <w:noWrap/>
            <w:vAlign w:val="bottom"/>
            <w:hideMark/>
          </w:tcPr>
          <w:p w:rsidR="00AE171B" w:rsidRPr="00B773B5" w:rsidRDefault="00AE171B" w:rsidP="000339B0">
            <w:pPr>
              <w:widowControl/>
              <w:spacing w:before="0" w:after="0" w:line="240" w:lineRule="auto"/>
              <w:ind w:firstLine="0"/>
              <w:jc w:val="right"/>
              <w:rPr>
                <w:rFonts w:asciiTheme="majorBidi" w:eastAsia="Times New Roman" w:hAnsiTheme="majorBidi" w:cstheme="majorBidi"/>
                <w:color w:val="000000"/>
                <w:kern w:val="0"/>
                <w:sz w:val="20"/>
                <w:szCs w:val="20"/>
                <w:lang w:val="en-GB" w:eastAsia="en-GB"/>
              </w:rPr>
            </w:pPr>
            <w:r w:rsidRPr="00B773B5">
              <w:rPr>
                <w:rFonts w:asciiTheme="majorBidi" w:eastAsia="Times New Roman" w:hAnsiTheme="majorBidi" w:cstheme="majorBidi"/>
                <w:color w:val="000000"/>
                <w:kern w:val="0"/>
                <w:sz w:val="20"/>
                <w:szCs w:val="20"/>
                <w:lang w:val="en-GB" w:eastAsia="en-GB"/>
              </w:rPr>
              <w:t>-0.064</w:t>
            </w:r>
          </w:p>
        </w:tc>
        <w:tc>
          <w:tcPr>
            <w:tcW w:w="960" w:type="dxa"/>
            <w:tcBorders>
              <w:top w:val="nil"/>
              <w:left w:val="nil"/>
              <w:bottom w:val="nil"/>
              <w:right w:val="nil"/>
            </w:tcBorders>
            <w:shd w:val="clear" w:color="auto" w:fill="auto"/>
            <w:noWrap/>
            <w:vAlign w:val="bottom"/>
            <w:hideMark/>
          </w:tcPr>
          <w:p w:rsidR="00AE171B" w:rsidRPr="00B773B5" w:rsidRDefault="00AE171B" w:rsidP="000339B0">
            <w:pPr>
              <w:widowControl/>
              <w:spacing w:before="0" w:after="0" w:line="240" w:lineRule="auto"/>
              <w:ind w:firstLine="0"/>
              <w:jc w:val="right"/>
              <w:rPr>
                <w:rFonts w:asciiTheme="majorBidi" w:eastAsia="Times New Roman" w:hAnsiTheme="majorBidi" w:cstheme="majorBidi"/>
                <w:color w:val="000000"/>
                <w:kern w:val="0"/>
                <w:sz w:val="20"/>
                <w:szCs w:val="20"/>
                <w:lang w:val="en-GB" w:eastAsia="en-GB"/>
              </w:rPr>
            </w:pPr>
            <w:r w:rsidRPr="00B773B5">
              <w:rPr>
                <w:rFonts w:asciiTheme="majorBidi" w:eastAsia="Times New Roman" w:hAnsiTheme="majorBidi" w:cstheme="majorBidi"/>
                <w:color w:val="000000"/>
                <w:kern w:val="0"/>
                <w:sz w:val="20"/>
                <w:szCs w:val="20"/>
                <w:lang w:val="en-GB" w:eastAsia="en-GB"/>
              </w:rPr>
              <w:t>0.037</w:t>
            </w:r>
          </w:p>
        </w:tc>
        <w:tc>
          <w:tcPr>
            <w:tcW w:w="960" w:type="dxa"/>
            <w:tcBorders>
              <w:top w:val="nil"/>
              <w:left w:val="nil"/>
              <w:bottom w:val="nil"/>
              <w:right w:val="nil"/>
            </w:tcBorders>
            <w:shd w:val="clear" w:color="auto" w:fill="auto"/>
            <w:noWrap/>
            <w:vAlign w:val="bottom"/>
            <w:hideMark/>
          </w:tcPr>
          <w:p w:rsidR="00AE171B" w:rsidRPr="00B773B5" w:rsidRDefault="00AE171B" w:rsidP="000339B0">
            <w:pPr>
              <w:widowControl/>
              <w:spacing w:before="0" w:after="0" w:line="240" w:lineRule="auto"/>
              <w:ind w:firstLine="0"/>
              <w:jc w:val="right"/>
              <w:rPr>
                <w:rFonts w:asciiTheme="majorBidi" w:eastAsia="Times New Roman" w:hAnsiTheme="majorBidi" w:cstheme="majorBidi"/>
                <w:color w:val="000000"/>
                <w:kern w:val="0"/>
                <w:sz w:val="20"/>
                <w:szCs w:val="20"/>
                <w:lang w:val="en-GB" w:eastAsia="en-GB"/>
              </w:rPr>
            </w:pPr>
            <w:r w:rsidRPr="00B773B5">
              <w:rPr>
                <w:rFonts w:asciiTheme="majorBidi" w:eastAsia="Times New Roman" w:hAnsiTheme="majorBidi" w:cstheme="majorBidi"/>
                <w:color w:val="000000"/>
                <w:kern w:val="0"/>
                <w:sz w:val="20"/>
                <w:szCs w:val="20"/>
                <w:lang w:val="en-GB" w:eastAsia="en-GB"/>
              </w:rPr>
              <w:t>0.149</w:t>
            </w:r>
          </w:p>
        </w:tc>
      </w:tr>
      <w:tr w:rsidR="00AE171B" w:rsidRPr="00B773B5" w:rsidTr="000339B0">
        <w:trPr>
          <w:trHeight w:val="300"/>
        </w:trPr>
        <w:tc>
          <w:tcPr>
            <w:tcW w:w="2900" w:type="dxa"/>
            <w:tcBorders>
              <w:top w:val="nil"/>
              <w:left w:val="nil"/>
              <w:bottom w:val="nil"/>
              <w:right w:val="nil"/>
            </w:tcBorders>
            <w:shd w:val="clear" w:color="auto" w:fill="auto"/>
            <w:noWrap/>
            <w:vAlign w:val="center"/>
            <w:hideMark/>
          </w:tcPr>
          <w:p w:rsidR="00AE171B" w:rsidRPr="00B773B5" w:rsidRDefault="00AE171B" w:rsidP="000339B0">
            <w:pPr>
              <w:widowControl/>
              <w:spacing w:before="0" w:after="0" w:line="240" w:lineRule="auto"/>
              <w:ind w:firstLine="0"/>
              <w:jc w:val="left"/>
              <w:rPr>
                <w:rFonts w:asciiTheme="majorBidi" w:eastAsia="Times New Roman" w:hAnsiTheme="majorBidi" w:cstheme="majorBidi"/>
                <w:color w:val="000000"/>
                <w:kern w:val="0"/>
                <w:sz w:val="20"/>
                <w:szCs w:val="20"/>
                <w:lang w:val="en-GB" w:eastAsia="en-GB"/>
              </w:rPr>
            </w:pPr>
            <w:r w:rsidRPr="00B773B5">
              <w:rPr>
                <w:rFonts w:asciiTheme="majorBidi" w:eastAsia="Times New Roman" w:hAnsiTheme="majorBidi" w:cstheme="majorBidi"/>
                <w:color w:val="000000"/>
                <w:kern w:val="0"/>
                <w:sz w:val="20"/>
                <w:szCs w:val="20"/>
                <w:lang w:val="en-GB" w:eastAsia="en-GB"/>
              </w:rPr>
              <w:t>Current operating profitability</w:t>
            </w:r>
          </w:p>
        </w:tc>
        <w:tc>
          <w:tcPr>
            <w:tcW w:w="960" w:type="dxa"/>
            <w:tcBorders>
              <w:top w:val="nil"/>
              <w:left w:val="nil"/>
              <w:bottom w:val="nil"/>
              <w:right w:val="nil"/>
            </w:tcBorders>
            <w:shd w:val="clear" w:color="auto" w:fill="auto"/>
            <w:vAlign w:val="center"/>
            <w:hideMark/>
          </w:tcPr>
          <w:p w:rsidR="00AE171B" w:rsidRPr="00B773B5" w:rsidRDefault="00AE171B" w:rsidP="000339B0">
            <w:pPr>
              <w:widowControl/>
              <w:spacing w:before="0" w:after="0" w:line="240" w:lineRule="auto"/>
              <w:ind w:firstLine="0"/>
              <w:rPr>
                <w:rFonts w:asciiTheme="majorBidi" w:eastAsia="Times New Roman" w:hAnsiTheme="majorBidi" w:cstheme="majorBidi"/>
                <w:i/>
                <w:iCs/>
                <w:color w:val="000000"/>
                <w:kern w:val="0"/>
                <w:sz w:val="20"/>
                <w:szCs w:val="20"/>
                <w:lang w:val="en-GB" w:eastAsia="en-GB"/>
              </w:rPr>
            </w:pPr>
            <w:r w:rsidRPr="00B773B5">
              <w:rPr>
                <w:rFonts w:asciiTheme="majorBidi" w:eastAsia="Times New Roman" w:hAnsiTheme="majorBidi" w:cstheme="majorBidi"/>
                <w:i/>
                <w:iCs/>
                <w:color w:val="000000"/>
                <w:kern w:val="0"/>
                <w:sz w:val="20"/>
                <w:szCs w:val="20"/>
                <w:lang w:val="en-GB" w:eastAsia="en-GB"/>
              </w:rPr>
              <w:t>RNOA</w:t>
            </w:r>
            <w:r w:rsidRPr="00B773B5">
              <w:rPr>
                <w:rFonts w:asciiTheme="majorBidi" w:eastAsia="Times New Roman" w:hAnsiTheme="majorBidi" w:cstheme="majorBidi"/>
                <w:i/>
                <w:iCs/>
                <w:color w:val="000000"/>
                <w:kern w:val="0"/>
                <w:sz w:val="20"/>
                <w:szCs w:val="20"/>
                <w:vertAlign w:val="subscript"/>
                <w:lang w:val="en-GB" w:eastAsia="en-GB"/>
              </w:rPr>
              <w:t>t</w:t>
            </w:r>
          </w:p>
        </w:tc>
        <w:tc>
          <w:tcPr>
            <w:tcW w:w="960" w:type="dxa"/>
            <w:tcBorders>
              <w:top w:val="nil"/>
              <w:left w:val="nil"/>
              <w:bottom w:val="nil"/>
              <w:right w:val="nil"/>
            </w:tcBorders>
            <w:shd w:val="clear" w:color="auto" w:fill="auto"/>
            <w:noWrap/>
            <w:vAlign w:val="bottom"/>
            <w:hideMark/>
          </w:tcPr>
          <w:p w:rsidR="00AE171B" w:rsidRPr="00B773B5" w:rsidRDefault="00AE171B" w:rsidP="000339B0">
            <w:pPr>
              <w:widowControl/>
              <w:spacing w:before="0" w:after="0" w:line="240" w:lineRule="auto"/>
              <w:ind w:firstLine="0"/>
              <w:jc w:val="right"/>
              <w:rPr>
                <w:rFonts w:asciiTheme="majorBidi" w:eastAsia="Times New Roman" w:hAnsiTheme="majorBidi" w:cstheme="majorBidi"/>
                <w:color w:val="000000"/>
                <w:kern w:val="0"/>
                <w:sz w:val="20"/>
                <w:szCs w:val="20"/>
                <w:lang w:val="en-GB" w:eastAsia="en-GB"/>
              </w:rPr>
            </w:pPr>
            <w:r w:rsidRPr="00B773B5">
              <w:rPr>
                <w:rFonts w:asciiTheme="majorBidi" w:eastAsia="Times New Roman" w:hAnsiTheme="majorBidi" w:cstheme="majorBidi"/>
                <w:color w:val="000000"/>
                <w:kern w:val="0"/>
                <w:sz w:val="20"/>
                <w:szCs w:val="20"/>
                <w:lang w:val="en-GB" w:eastAsia="en-GB"/>
              </w:rPr>
              <w:t>0.171</w:t>
            </w:r>
          </w:p>
        </w:tc>
        <w:tc>
          <w:tcPr>
            <w:tcW w:w="960" w:type="dxa"/>
            <w:tcBorders>
              <w:top w:val="nil"/>
              <w:left w:val="nil"/>
              <w:bottom w:val="nil"/>
              <w:right w:val="nil"/>
            </w:tcBorders>
            <w:shd w:val="clear" w:color="auto" w:fill="auto"/>
            <w:noWrap/>
            <w:vAlign w:val="bottom"/>
            <w:hideMark/>
          </w:tcPr>
          <w:p w:rsidR="00AE171B" w:rsidRPr="00B773B5" w:rsidRDefault="00AE171B" w:rsidP="000339B0">
            <w:pPr>
              <w:widowControl/>
              <w:spacing w:before="0" w:after="0" w:line="240" w:lineRule="auto"/>
              <w:ind w:firstLine="0"/>
              <w:jc w:val="right"/>
              <w:rPr>
                <w:rFonts w:asciiTheme="majorBidi" w:eastAsia="Times New Roman" w:hAnsiTheme="majorBidi" w:cstheme="majorBidi"/>
                <w:color w:val="000000"/>
                <w:kern w:val="0"/>
                <w:sz w:val="20"/>
                <w:szCs w:val="20"/>
                <w:lang w:val="en-GB" w:eastAsia="en-GB"/>
              </w:rPr>
            </w:pPr>
            <w:r w:rsidRPr="00B773B5">
              <w:rPr>
                <w:rFonts w:asciiTheme="majorBidi" w:eastAsia="Times New Roman" w:hAnsiTheme="majorBidi" w:cstheme="majorBidi"/>
                <w:color w:val="000000"/>
                <w:kern w:val="0"/>
                <w:sz w:val="20"/>
                <w:szCs w:val="20"/>
                <w:lang w:val="en-GB" w:eastAsia="en-GB"/>
              </w:rPr>
              <w:t>3.965</w:t>
            </w:r>
          </w:p>
        </w:tc>
        <w:tc>
          <w:tcPr>
            <w:tcW w:w="960" w:type="dxa"/>
            <w:tcBorders>
              <w:top w:val="nil"/>
              <w:left w:val="nil"/>
              <w:bottom w:val="nil"/>
              <w:right w:val="nil"/>
            </w:tcBorders>
            <w:shd w:val="clear" w:color="auto" w:fill="auto"/>
            <w:noWrap/>
            <w:vAlign w:val="bottom"/>
            <w:hideMark/>
          </w:tcPr>
          <w:p w:rsidR="00AE171B" w:rsidRPr="00B773B5" w:rsidRDefault="00AE171B" w:rsidP="000339B0">
            <w:pPr>
              <w:widowControl/>
              <w:spacing w:before="0" w:after="0" w:line="240" w:lineRule="auto"/>
              <w:ind w:firstLine="0"/>
              <w:jc w:val="right"/>
              <w:rPr>
                <w:rFonts w:asciiTheme="majorBidi" w:eastAsia="Times New Roman" w:hAnsiTheme="majorBidi" w:cstheme="majorBidi"/>
                <w:color w:val="000000"/>
                <w:kern w:val="0"/>
                <w:sz w:val="20"/>
                <w:szCs w:val="20"/>
                <w:lang w:val="en-GB" w:eastAsia="en-GB"/>
              </w:rPr>
            </w:pPr>
            <w:r w:rsidRPr="00B773B5">
              <w:rPr>
                <w:rFonts w:asciiTheme="majorBidi" w:eastAsia="Times New Roman" w:hAnsiTheme="majorBidi" w:cstheme="majorBidi"/>
                <w:color w:val="000000"/>
                <w:kern w:val="0"/>
                <w:sz w:val="20"/>
                <w:szCs w:val="20"/>
                <w:lang w:val="en-GB" w:eastAsia="en-GB"/>
              </w:rPr>
              <w:t>0.062</w:t>
            </w:r>
          </w:p>
        </w:tc>
        <w:tc>
          <w:tcPr>
            <w:tcW w:w="960" w:type="dxa"/>
            <w:tcBorders>
              <w:top w:val="nil"/>
              <w:left w:val="nil"/>
              <w:bottom w:val="nil"/>
              <w:right w:val="nil"/>
            </w:tcBorders>
            <w:shd w:val="clear" w:color="auto" w:fill="auto"/>
            <w:noWrap/>
            <w:vAlign w:val="bottom"/>
            <w:hideMark/>
          </w:tcPr>
          <w:p w:rsidR="00AE171B" w:rsidRPr="00B773B5" w:rsidRDefault="00AE171B" w:rsidP="000339B0">
            <w:pPr>
              <w:widowControl/>
              <w:spacing w:before="0" w:after="0" w:line="240" w:lineRule="auto"/>
              <w:ind w:firstLine="0"/>
              <w:jc w:val="right"/>
              <w:rPr>
                <w:rFonts w:asciiTheme="majorBidi" w:eastAsia="Times New Roman" w:hAnsiTheme="majorBidi" w:cstheme="majorBidi"/>
                <w:color w:val="000000"/>
                <w:kern w:val="0"/>
                <w:sz w:val="20"/>
                <w:szCs w:val="20"/>
                <w:lang w:val="en-GB" w:eastAsia="en-GB"/>
              </w:rPr>
            </w:pPr>
            <w:r w:rsidRPr="00B773B5">
              <w:rPr>
                <w:rFonts w:asciiTheme="majorBidi" w:eastAsia="Times New Roman" w:hAnsiTheme="majorBidi" w:cstheme="majorBidi"/>
                <w:color w:val="000000"/>
                <w:kern w:val="0"/>
                <w:sz w:val="20"/>
                <w:szCs w:val="20"/>
                <w:lang w:val="en-GB" w:eastAsia="en-GB"/>
              </w:rPr>
              <w:t>0.140</w:t>
            </w:r>
          </w:p>
        </w:tc>
        <w:tc>
          <w:tcPr>
            <w:tcW w:w="960" w:type="dxa"/>
            <w:tcBorders>
              <w:top w:val="nil"/>
              <w:left w:val="nil"/>
              <w:bottom w:val="nil"/>
              <w:right w:val="nil"/>
            </w:tcBorders>
            <w:shd w:val="clear" w:color="auto" w:fill="auto"/>
            <w:noWrap/>
            <w:vAlign w:val="bottom"/>
            <w:hideMark/>
          </w:tcPr>
          <w:p w:rsidR="00AE171B" w:rsidRPr="00B773B5" w:rsidRDefault="00AE171B" w:rsidP="000339B0">
            <w:pPr>
              <w:widowControl/>
              <w:spacing w:before="0" w:after="0" w:line="240" w:lineRule="auto"/>
              <w:ind w:firstLine="0"/>
              <w:jc w:val="right"/>
              <w:rPr>
                <w:rFonts w:asciiTheme="majorBidi" w:eastAsia="Times New Roman" w:hAnsiTheme="majorBidi" w:cstheme="majorBidi"/>
                <w:color w:val="000000"/>
                <w:kern w:val="0"/>
                <w:sz w:val="20"/>
                <w:szCs w:val="20"/>
                <w:lang w:val="en-GB" w:eastAsia="en-GB"/>
              </w:rPr>
            </w:pPr>
            <w:r w:rsidRPr="00B773B5">
              <w:rPr>
                <w:rFonts w:asciiTheme="majorBidi" w:eastAsia="Times New Roman" w:hAnsiTheme="majorBidi" w:cstheme="majorBidi"/>
                <w:color w:val="000000"/>
                <w:kern w:val="0"/>
                <w:sz w:val="20"/>
                <w:szCs w:val="20"/>
                <w:lang w:val="en-GB" w:eastAsia="en-GB"/>
              </w:rPr>
              <w:t>0.245</w:t>
            </w:r>
          </w:p>
        </w:tc>
      </w:tr>
      <w:tr w:rsidR="00AE171B" w:rsidRPr="00B773B5" w:rsidTr="000339B0">
        <w:trPr>
          <w:trHeight w:val="300"/>
        </w:trPr>
        <w:tc>
          <w:tcPr>
            <w:tcW w:w="2900" w:type="dxa"/>
            <w:tcBorders>
              <w:top w:val="nil"/>
              <w:left w:val="nil"/>
              <w:bottom w:val="nil"/>
              <w:right w:val="nil"/>
            </w:tcBorders>
            <w:shd w:val="clear" w:color="auto" w:fill="auto"/>
            <w:noWrap/>
            <w:vAlign w:val="center"/>
            <w:hideMark/>
          </w:tcPr>
          <w:p w:rsidR="00AE171B" w:rsidRPr="00B773B5" w:rsidRDefault="00AE171B" w:rsidP="000339B0">
            <w:pPr>
              <w:widowControl/>
              <w:spacing w:before="0" w:after="0" w:line="240" w:lineRule="auto"/>
              <w:ind w:firstLine="0"/>
              <w:jc w:val="left"/>
              <w:rPr>
                <w:rFonts w:asciiTheme="majorBidi" w:eastAsia="Times New Roman" w:hAnsiTheme="majorBidi" w:cstheme="majorBidi"/>
                <w:color w:val="000000"/>
                <w:kern w:val="0"/>
                <w:sz w:val="20"/>
                <w:szCs w:val="20"/>
                <w:lang w:val="en-GB" w:eastAsia="en-GB"/>
              </w:rPr>
            </w:pPr>
            <w:r w:rsidRPr="00B773B5">
              <w:rPr>
                <w:rFonts w:asciiTheme="majorBidi" w:eastAsia="Times New Roman" w:hAnsiTheme="majorBidi" w:cstheme="majorBidi"/>
                <w:color w:val="000000"/>
                <w:kern w:val="0"/>
                <w:sz w:val="20"/>
                <w:szCs w:val="20"/>
                <w:lang w:val="en-GB" w:eastAsia="en-GB"/>
              </w:rPr>
              <w:t>Book to Market value</w:t>
            </w:r>
          </w:p>
        </w:tc>
        <w:tc>
          <w:tcPr>
            <w:tcW w:w="960" w:type="dxa"/>
            <w:tcBorders>
              <w:top w:val="nil"/>
              <w:left w:val="nil"/>
              <w:bottom w:val="nil"/>
              <w:right w:val="nil"/>
            </w:tcBorders>
            <w:shd w:val="clear" w:color="auto" w:fill="auto"/>
            <w:vAlign w:val="center"/>
            <w:hideMark/>
          </w:tcPr>
          <w:p w:rsidR="00AE171B" w:rsidRPr="00B773B5" w:rsidRDefault="00AE171B" w:rsidP="000339B0">
            <w:pPr>
              <w:widowControl/>
              <w:spacing w:before="0" w:after="0" w:line="240" w:lineRule="auto"/>
              <w:ind w:firstLine="0"/>
              <w:rPr>
                <w:rFonts w:asciiTheme="majorBidi" w:eastAsia="Times New Roman" w:hAnsiTheme="majorBidi" w:cstheme="majorBidi"/>
                <w:i/>
                <w:iCs/>
                <w:color w:val="000000"/>
                <w:kern w:val="0"/>
                <w:sz w:val="20"/>
                <w:szCs w:val="20"/>
                <w:lang w:val="en-GB" w:eastAsia="en-GB"/>
              </w:rPr>
            </w:pPr>
            <w:r w:rsidRPr="00B773B5">
              <w:rPr>
                <w:rFonts w:asciiTheme="majorBidi" w:eastAsia="Times New Roman" w:hAnsiTheme="majorBidi" w:cstheme="majorBidi"/>
                <w:i/>
                <w:iCs/>
                <w:color w:val="000000"/>
                <w:kern w:val="0"/>
                <w:sz w:val="20"/>
                <w:szCs w:val="20"/>
                <w:lang w:val="en-GB" w:eastAsia="en-GB"/>
              </w:rPr>
              <w:t xml:space="preserve">BM </w:t>
            </w:r>
          </w:p>
        </w:tc>
        <w:tc>
          <w:tcPr>
            <w:tcW w:w="960" w:type="dxa"/>
            <w:tcBorders>
              <w:top w:val="nil"/>
              <w:left w:val="nil"/>
              <w:bottom w:val="nil"/>
              <w:right w:val="nil"/>
            </w:tcBorders>
            <w:shd w:val="clear" w:color="auto" w:fill="auto"/>
            <w:noWrap/>
            <w:vAlign w:val="bottom"/>
            <w:hideMark/>
          </w:tcPr>
          <w:p w:rsidR="00AE171B" w:rsidRPr="00B773B5" w:rsidRDefault="00AE171B" w:rsidP="000339B0">
            <w:pPr>
              <w:widowControl/>
              <w:spacing w:before="0" w:after="0" w:line="240" w:lineRule="auto"/>
              <w:ind w:firstLine="0"/>
              <w:jc w:val="right"/>
              <w:rPr>
                <w:rFonts w:asciiTheme="majorBidi" w:eastAsia="Times New Roman" w:hAnsiTheme="majorBidi" w:cstheme="majorBidi"/>
                <w:color w:val="000000"/>
                <w:kern w:val="0"/>
                <w:sz w:val="20"/>
                <w:szCs w:val="20"/>
                <w:lang w:val="en-GB" w:eastAsia="en-GB"/>
              </w:rPr>
            </w:pPr>
            <w:r w:rsidRPr="00B773B5">
              <w:rPr>
                <w:rFonts w:asciiTheme="majorBidi" w:eastAsia="Times New Roman" w:hAnsiTheme="majorBidi" w:cstheme="majorBidi"/>
                <w:color w:val="000000"/>
                <w:kern w:val="0"/>
                <w:sz w:val="20"/>
                <w:szCs w:val="20"/>
                <w:lang w:val="en-GB" w:eastAsia="en-GB"/>
              </w:rPr>
              <w:t>0.914</w:t>
            </w:r>
          </w:p>
        </w:tc>
        <w:tc>
          <w:tcPr>
            <w:tcW w:w="960" w:type="dxa"/>
            <w:tcBorders>
              <w:top w:val="nil"/>
              <w:left w:val="nil"/>
              <w:bottom w:val="nil"/>
              <w:right w:val="nil"/>
            </w:tcBorders>
            <w:shd w:val="clear" w:color="auto" w:fill="auto"/>
            <w:noWrap/>
            <w:vAlign w:val="bottom"/>
            <w:hideMark/>
          </w:tcPr>
          <w:p w:rsidR="00AE171B" w:rsidRPr="00B773B5" w:rsidRDefault="00AE171B" w:rsidP="000339B0">
            <w:pPr>
              <w:widowControl/>
              <w:spacing w:before="0" w:after="0" w:line="240" w:lineRule="auto"/>
              <w:ind w:firstLine="0"/>
              <w:jc w:val="right"/>
              <w:rPr>
                <w:rFonts w:asciiTheme="majorBidi" w:eastAsia="Times New Roman" w:hAnsiTheme="majorBidi" w:cstheme="majorBidi"/>
                <w:color w:val="000000"/>
                <w:kern w:val="0"/>
                <w:sz w:val="20"/>
                <w:szCs w:val="20"/>
                <w:lang w:val="en-GB" w:eastAsia="en-GB"/>
              </w:rPr>
            </w:pPr>
            <w:r w:rsidRPr="00B773B5">
              <w:rPr>
                <w:rFonts w:asciiTheme="majorBidi" w:eastAsia="Times New Roman" w:hAnsiTheme="majorBidi" w:cstheme="majorBidi"/>
                <w:color w:val="000000"/>
                <w:kern w:val="0"/>
                <w:sz w:val="20"/>
                <w:szCs w:val="20"/>
                <w:lang w:val="en-GB" w:eastAsia="en-GB"/>
              </w:rPr>
              <w:t>0.962</w:t>
            </w:r>
          </w:p>
        </w:tc>
        <w:tc>
          <w:tcPr>
            <w:tcW w:w="960" w:type="dxa"/>
            <w:tcBorders>
              <w:top w:val="nil"/>
              <w:left w:val="nil"/>
              <w:bottom w:val="nil"/>
              <w:right w:val="nil"/>
            </w:tcBorders>
            <w:shd w:val="clear" w:color="auto" w:fill="auto"/>
            <w:noWrap/>
            <w:vAlign w:val="bottom"/>
            <w:hideMark/>
          </w:tcPr>
          <w:p w:rsidR="00AE171B" w:rsidRPr="00B773B5" w:rsidRDefault="00AE171B" w:rsidP="000339B0">
            <w:pPr>
              <w:widowControl/>
              <w:spacing w:before="0" w:after="0" w:line="240" w:lineRule="auto"/>
              <w:ind w:firstLine="0"/>
              <w:jc w:val="right"/>
              <w:rPr>
                <w:rFonts w:asciiTheme="majorBidi" w:eastAsia="Times New Roman" w:hAnsiTheme="majorBidi" w:cstheme="majorBidi"/>
                <w:color w:val="000000"/>
                <w:kern w:val="0"/>
                <w:sz w:val="20"/>
                <w:szCs w:val="20"/>
                <w:lang w:val="en-GB" w:eastAsia="en-GB"/>
              </w:rPr>
            </w:pPr>
            <w:r w:rsidRPr="00B773B5">
              <w:rPr>
                <w:rFonts w:asciiTheme="majorBidi" w:eastAsia="Times New Roman" w:hAnsiTheme="majorBidi" w:cstheme="majorBidi"/>
                <w:color w:val="000000"/>
                <w:kern w:val="0"/>
                <w:sz w:val="20"/>
                <w:szCs w:val="20"/>
                <w:lang w:val="en-GB" w:eastAsia="en-GB"/>
              </w:rPr>
              <w:t>0.784</w:t>
            </w:r>
          </w:p>
        </w:tc>
        <w:tc>
          <w:tcPr>
            <w:tcW w:w="960" w:type="dxa"/>
            <w:tcBorders>
              <w:top w:val="nil"/>
              <w:left w:val="nil"/>
              <w:bottom w:val="nil"/>
              <w:right w:val="nil"/>
            </w:tcBorders>
            <w:shd w:val="clear" w:color="auto" w:fill="auto"/>
            <w:noWrap/>
            <w:vAlign w:val="bottom"/>
            <w:hideMark/>
          </w:tcPr>
          <w:p w:rsidR="00AE171B" w:rsidRPr="00B773B5" w:rsidRDefault="00AE171B" w:rsidP="000339B0">
            <w:pPr>
              <w:widowControl/>
              <w:spacing w:before="0" w:after="0" w:line="240" w:lineRule="auto"/>
              <w:ind w:firstLine="0"/>
              <w:jc w:val="right"/>
              <w:rPr>
                <w:rFonts w:asciiTheme="majorBidi" w:eastAsia="Times New Roman" w:hAnsiTheme="majorBidi" w:cstheme="majorBidi"/>
                <w:color w:val="000000"/>
                <w:kern w:val="0"/>
                <w:sz w:val="20"/>
                <w:szCs w:val="20"/>
                <w:lang w:val="en-GB" w:eastAsia="en-GB"/>
              </w:rPr>
            </w:pPr>
            <w:r w:rsidRPr="00B773B5">
              <w:rPr>
                <w:rFonts w:asciiTheme="majorBidi" w:eastAsia="Times New Roman" w:hAnsiTheme="majorBidi" w:cstheme="majorBidi"/>
                <w:color w:val="000000"/>
                <w:kern w:val="0"/>
                <w:sz w:val="20"/>
                <w:szCs w:val="20"/>
                <w:lang w:val="en-GB" w:eastAsia="en-GB"/>
              </w:rPr>
              <w:t>0.882</w:t>
            </w:r>
          </w:p>
        </w:tc>
        <w:tc>
          <w:tcPr>
            <w:tcW w:w="960" w:type="dxa"/>
            <w:tcBorders>
              <w:top w:val="nil"/>
              <w:left w:val="nil"/>
              <w:bottom w:val="nil"/>
              <w:right w:val="nil"/>
            </w:tcBorders>
            <w:shd w:val="clear" w:color="auto" w:fill="auto"/>
            <w:noWrap/>
            <w:vAlign w:val="bottom"/>
            <w:hideMark/>
          </w:tcPr>
          <w:p w:rsidR="00AE171B" w:rsidRPr="00B773B5" w:rsidRDefault="00AE171B" w:rsidP="000339B0">
            <w:pPr>
              <w:widowControl/>
              <w:spacing w:before="0" w:after="0" w:line="240" w:lineRule="auto"/>
              <w:ind w:firstLine="0"/>
              <w:jc w:val="right"/>
              <w:rPr>
                <w:rFonts w:asciiTheme="majorBidi" w:eastAsia="Times New Roman" w:hAnsiTheme="majorBidi" w:cstheme="majorBidi"/>
                <w:color w:val="000000"/>
                <w:kern w:val="0"/>
                <w:sz w:val="20"/>
                <w:szCs w:val="20"/>
                <w:lang w:val="en-GB" w:eastAsia="en-GB"/>
              </w:rPr>
            </w:pPr>
            <w:r w:rsidRPr="00B773B5">
              <w:rPr>
                <w:rFonts w:asciiTheme="majorBidi" w:eastAsia="Times New Roman" w:hAnsiTheme="majorBidi" w:cstheme="majorBidi"/>
                <w:color w:val="000000"/>
                <w:kern w:val="0"/>
                <w:sz w:val="20"/>
                <w:szCs w:val="20"/>
                <w:lang w:val="en-GB" w:eastAsia="en-GB"/>
              </w:rPr>
              <w:t>0.988</w:t>
            </w:r>
          </w:p>
        </w:tc>
      </w:tr>
      <w:tr w:rsidR="00AE171B" w:rsidRPr="00B773B5" w:rsidTr="000339B0">
        <w:trPr>
          <w:trHeight w:val="315"/>
        </w:trPr>
        <w:tc>
          <w:tcPr>
            <w:tcW w:w="2900" w:type="dxa"/>
            <w:tcBorders>
              <w:top w:val="nil"/>
              <w:left w:val="nil"/>
              <w:bottom w:val="single" w:sz="8" w:space="0" w:color="auto"/>
              <w:right w:val="nil"/>
            </w:tcBorders>
            <w:shd w:val="clear" w:color="auto" w:fill="auto"/>
            <w:noWrap/>
            <w:vAlign w:val="center"/>
            <w:hideMark/>
          </w:tcPr>
          <w:p w:rsidR="00AE171B" w:rsidRPr="00B773B5" w:rsidRDefault="00AE171B" w:rsidP="000339B0">
            <w:pPr>
              <w:widowControl/>
              <w:spacing w:before="0" w:after="0" w:line="240" w:lineRule="auto"/>
              <w:ind w:firstLine="0"/>
              <w:jc w:val="left"/>
              <w:rPr>
                <w:rFonts w:asciiTheme="majorBidi" w:eastAsia="Times New Roman" w:hAnsiTheme="majorBidi" w:cstheme="majorBidi"/>
                <w:color w:val="000000"/>
                <w:kern w:val="0"/>
                <w:sz w:val="20"/>
                <w:szCs w:val="20"/>
                <w:lang w:val="en-GB" w:eastAsia="en-GB"/>
              </w:rPr>
            </w:pPr>
            <w:r w:rsidRPr="00B773B5">
              <w:rPr>
                <w:rFonts w:asciiTheme="majorBidi" w:eastAsia="Times New Roman" w:hAnsiTheme="majorBidi" w:cstheme="majorBidi"/>
                <w:color w:val="000000"/>
                <w:kern w:val="0"/>
                <w:sz w:val="20"/>
                <w:szCs w:val="20"/>
                <w:lang w:val="en-GB" w:eastAsia="en-GB"/>
              </w:rPr>
              <w:t>Size of firms</w:t>
            </w:r>
          </w:p>
        </w:tc>
        <w:tc>
          <w:tcPr>
            <w:tcW w:w="960" w:type="dxa"/>
            <w:tcBorders>
              <w:top w:val="nil"/>
              <w:left w:val="nil"/>
              <w:bottom w:val="single" w:sz="8" w:space="0" w:color="auto"/>
              <w:right w:val="nil"/>
            </w:tcBorders>
            <w:shd w:val="clear" w:color="auto" w:fill="auto"/>
            <w:vAlign w:val="center"/>
            <w:hideMark/>
          </w:tcPr>
          <w:p w:rsidR="00AE171B" w:rsidRPr="00B773B5" w:rsidRDefault="00AE171B" w:rsidP="000339B0">
            <w:pPr>
              <w:widowControl/>
              <w:spacing w:before="0" w:after="0" w:line="240" w:lineRule="auto"/>
              <w:ind w:firstLine="0"/>
              <w:rPr>
                <w:rFonts w:asciiTheme="majorBidi" w:eastAsia="Times New Roman" w:hAnsiTheme="majorBidi" w:cstheme="majorBidi"/>
                <w:i/>
                <w:iCs/>
                <w:color w:val="000000"/>
                <w:kern w:val="0"/>
                <w:sz w:val="20"/>
                <w:szCs w:val="20"/>
                <w:lang w:val="en-GB" w:eastAsia="en-GB"/>
              </w:rPr>
            </w:pPr>
            <w:r w:rsidRPr="00B773B5">
              <w:rPr>
                <w:rFonts w:asciiTheme="majorBidi" w:eastAsia="Times New Roman" w:hAnsiTheme="majorBidi" w:cstheme="majorBidi"/>
                <w:i/>
                <w:iCs/>
                <w:color w:val="000000"/>
                <w:kern w:val="0"/>
                <w:sz w:val="20"/>
                <w:szCs w:val="20"/>
                <w:lang w:val="en-GB" w:eastAsia="en-GB"/>
              </w:rPr>
              <w:t>Size</w:t>
            </w:r>
          </w:p>
        </w:tc>
        <w:tc>
          <w:tcPr>
            <w:tcW w:w="960" w:type="dxa"/>
            <w:tcBorders>
              <w:top w:val="nil"/>
              <w:left w:val="nil"/>
              <w:bottom w:val="single" w:sz="8" w:space="0" w:color="auto"/>
              <w:right w:val="nil"/>
            </w:tcBorders>
            <w:shd w:val="clear" w:color="auto" w:fill="auto"/>
            <w:noWrap/>
            <w:vAlign w:val="bottom"/>
            <w:hideMark/>
          </w:tcPr>
          <w:p w:rsidR="00AE171B" w:rsidRPr="00B773B5" w:rsidRDefault="00AE171B" w:rsidP="000339B0">
            <w:pPr>
              <w:widowControl/>
              <w:spacing w:before="0" w:after="0" w:line="240" w:lineRule="auto"/>
              <w:ind w:firstLine="0"/>
              <w:jc w:val="right"/>
              <w:rPr>
                <w:rFonts w:asciiTheme="majorBidi" w:eastAsia="Times New Roman" w:hAnsiTheme="majorBidi" w:cstheme="majorBidi"/>
                <w:color w:val="000000"/>
                <w:kern w:val="0"/>
                <w:sz w:val="20"/>
                <w:szCs w:val="20"/>
                <w:lang w:val="en-GB" w:eastAsia="en-GB"/>
              </w:rPr>
            </w:pPr>
            <w:r w:rsidRPr="00B773B5">
              <w:rPr>
                <w:rFonts w:asciiTheme="majorBidi" w:eastAsia="Times New Roman" w:hAnsiTheme="majorBidi" w:cstheme="majorBidi"/>
                <w:color w:val="000000"/>
                <w:kern w:val="0"/>
                <w:sz w:val="20"/>
                <w:szCs w:val="20"/>
                <w:lang w:val="en-GB" w:eastAsia="en-GB"/>
              </w:rPr>
              <w:t>0.052</w:t>
            </w:r>
          </w:p>
        </w:tc>
        <w:tc>
          <w:tcPr>
            <w:tcW w:w="960" w:type="dxa"/>
            <w:tcBorders>
              <w:top w:val="nil"/>
              <w:left w:val="nil"/>
              <w:bottom w:val="single" w:sz="8" w:space="0" w:color="auto"/>
              <w:right w:val="nil"/>
            </w:tcBorders>
            <w:shd w:val="clear" w:color="auto" w:fill="auto"/>
            <w:noWrap/>
            <w:vAlign w:val="bottom"/>
            <w:hideMark/>
          </w:tcPr>
          <w:p w:rsidR="00AE171B" w:rsidRPr="00B773B5" w:rsidRDefault="00AE171B" w:rsidP="000339B0">
            <w:pPr>
              <w:widowControl/>
              <w:spacing w:before="0" w:after="0" w:line="240" w:lineRule="auto"/>
              <w:ind w:firstLine="0"/>
              <w:jc w:val="right"/>
              <w:rPr>
                <w:rFonts w:asciiTheme="majorBidi" w:eastAsia="Times New Roman" w:hAnsiTheme="majorBidi" w:cstheme="majorBidi"/>
                <w:color w:val="000000"/>
                <w:kern w:val="0"/>
                <w:sz w:val="20"/>
                <w:szCs w:val="20"/>
                <w:lang w:val="en-GB" w:eastAsia="en-GB"/>
              </w:rPr>
            </w:pPr>
            <w:r w:rsidRPr="00B773B5">
              <w:rPr>
                <w:rFonts w:asciiTheme="majorBidi" w:eastAsia="Times New Roman" w:hAnsiTheme="majorBidi" w:cstheme="majorBidi"/>
                <w:color w:val="000000"/>
                <w:kern w:val="0"/>
                <w:sz w:val="20"/>
                <w:szCs w:val="20"/>
                <w:lang w:val="en-GB" w:eastAsia="en-GB"/>
              </w:rPr>
              <w:t>0.025</w:t>
            </w:r>
          </w:p>
        </w:tc>
        <w:tc>
          <w:tcPr>
            <w:tcW w:w="960" w:type="dxa"/>
            <w:tcBorders>
              <w:top w:val="nil"/>
              <w:left w:val="nil"/>
              <w:bottom w:val="single" w:sz="8" w:space="0" w:color="auto"/>
              <w:right w:val="nil"/>
            </w:tcBorders>
            <w:shd w:val="clear" w:color="auto" w:fill="auto"/>
            <w:noWrap/>
            <w:vAlign w:val="bottom"/>
            <w:hideMark/>
          </w:tcPr>
          <w:p w:rsidR="00AE171B" w:rsidRPr="00B773B5" w:rsidRDefault="00AE171B" w:rsidP="000339B0">
            <w:pPr>
              <w:widowControl/>
              <w:spacing w:before="0" w:after="0" w:line="240" w:lineRule="auto"/>
              <w:ind w:firstLine="0"/>
              <w:jc w:val="right"/>
              <w:rPr>
                <w:rFonts w:asciiTheme="majorBidi" w:eastAsia="Times New Roman" w:hAnsiTheme="majorBidi" w:cstheme="majorBidi"/>
                <w:color w:val="000000"/>
                <w:kern w:val="0"/>
                <w:sz w:val="20"/>
                <w:szCs w:val="20"/>
                <w:lang w:val="en-GB" w:eastAsia="en-GB"/>
              </w:rPr>
            </w:pPr>
            <w:r w:rsidRPr="00B773B5">
              <w:rPr>
                <w:rFonts w:asciiTheme="majorBidi" w:eastAsia="Times New Roman" w:hAnsiTheme="majorBidi" w:cstheme="majorBidi"/>
                <w:color w:val="000000"/>
                <w:kern w:val="0"/>
                <w:sz w:val="20"/>
                <w:szCs w:val="20"/>
                <w:lang w:val="en-GB" w:eastAsia="en-GB"/>
              </w:rPr>
              <w:t>0.034</w:t>
            </w:r>
          </w:p>
        </w:tc>
        <w:tc>
          <w:tcPr>
            <w:tcW w:w="960" w:type="dxa"/>
            <w:tcBorders>
              <w:top w:val="nil"/>
              <w:left w:val="nil"/>
              <w:bottom w:val="single" w:sz="8" w:space="0" w:color="auto"/>
              <w:right w:val="nil"/>
            </w:tcBorders>
            <w:shd w:val="clear" w:color="auto" w:fill="auto"/>
            <w:noWrap/>
            <w:vAlign w:val="bottom"/>
            <w:hideMark/>
          </w:tcPr>
          <w:p w:rsidR="00AE171B" w:rsidRPr="00B773B5" w:rsidRDefault="00AE171B" w:rsidP="000339B0">
            <w:pPr>
              <w:widowControl/>
              <w:spacing w:before="0" w:after="0" w:line="240" w:lineRule="auto"/>
              <w:ind w:firstLine="0"/>
              <w:jc w:val="right"/>
              <w:rPr>
                <w:rFonts w:asciiTheme="majorBidi" w:eastAsia="Times New Roman" w:hAnsiTheme="majorBidi" w:cstheme="majorBidi"/>
                <w:color w:val="000000"/>
                <w:kern w:val="0"/>
                <w:sz w:val="20"/>
                <w:szCs w:val="20"/>
                <w:lang w:val="en-GB" w:eastAsia="en-GB"/>
              </w:rPr>
            </w:pPr>
            <w:r w:rsidRPr="00B773B5">
              <w:rPr>
                <w:rFonts w:asciiTheme="majorBidi" w:eastAsia="Times New Roman" w:hAnsiTheme="majorBidi" w:cstheme="majorBidi"/>
                <w:color w:val="000000"/>
                <w:kern w:val="0"/>
                <w:sz w:val="20"/>
                <w:szCs w:val="20"/>
                <w:lang w:val="en-GB" w:eastAsia="en-GB"/>
              </w:rPr>
              <w:t>0.051</w:t>
            </w:r>
          </w:p>
        </w:tc>
        <w:tc>
          <w:tcPr>
            <w:tcW w:w="960" w:type="dxa"/>
            <w:tcBorders>
              <w:top w:val="nil"/>
              <w:left w:val="nil"/>
              <w:bottom w:val="single" w:sz="8" w:space="0" w:color="auto"/>
              <w:right w:val="nil"/>
            </w:tcBorders>
            <w:shd w:val="clear" w:color="auto" w:fill="auto"/>
            <w:noWrap/>
            <w:vAlign w:val="bottom"/>
            <w:hideMark/>
          </w:tcPr>
          <w:p w:rsidR="00AE171B" w:rsidRPr="00B773B5" w:rsidRDefault="00AE171B" w:rsidP="000339B0">
            <w:pPr>
              <w:widowControl/>
              <w:spacing w:before="0" w:after="0" w:line="240" w:lineRule="auto"/>
              <w:ind w:firstLine="0"/>
              <w:jc w:val="right"/>
              <w:rPr>
                <w:rFonts w:asciiTheme="majorBidi" w:eastAsia="Times New Roman" w:hAnsiTheme="majorBidi" w:cstheme="majorBidi"/>
                <w:color w:val="000000"/>
                <w:kern w:val="0"/>
                <w:sz w:val="20"/>
                <w:szCs w:val="20"/>
                <w:lang w:val="en-GB" w:eastAsia="en-GB"/>
              </w:rPr>
            </w:pPr>
            <w:r w:rsidRPr="00B773B5">
              <w:rPr>
                <w:rFonts w:asciiTheme="majorBidi" w:eastAsia="Times New Roman" w:hAnsiTheme="majorBidi" w:cstheme="majorBidi"/>
                <w:color w:val="000000"/>
                <w:kern w:val="0"/>
                <w:sz w:val="20"/>
                <w:szCs w:val="20"/>
                <w:lang w:val="en-GB" w:eastAsia="en-GB"/>
              </w:rPr>
              <w:t>0.069</w:t>
            </w:r>
          </w:p>
        </w:tc>
      </w:tr>
    </w:tbl>
    <w:p w:rsidR="00AE171B" w:rsidRDefault="00AE171B" w:rsidP="007D75D2">
      <w:pPr>
        <w:tabs>
          <w:tab w:val="left" w:pos="8010"/>
        </w:tabs>
        <w:spacing w:line="240" w:lineRule="auto"/>
        <w:ind w:left="2" w:right="-514" w:firstLine="0"/>
        <w:rPr>
          <w:sz w:val="20"/>
          <w:szCs w:val="20"/>
        </w:rPr>
      </w:pPr>
      <w:r w:rsidRPr="003C62B7">
        <w:rPr>
          <w:i/>
          <w:iCs/>
          <w:sz w:val="20"/>
          <w:szCs w:val="20"/>
        </w:rPr>
        <w:t>Note:</w:t>
      </w:r>
      <w:r w:rsidRPr="003C62B7">
        <w:rPr>
          <w:spacing w:val="-5"/>
          <w:sz w:val="20"/>
          <w:szCs w:val="20"/>
        </w:rPr>
        <w:t xml:space="preserve"> The sample consists of </w:t>
      </w:r>
      <w:r>
        <w:rPr>
          <w:spacing w:val="-5"/>
          <w:sz w:val="20"/>
          <w:szCs w:val="20"/>
        </w:rPr>
        <w:t>5,313</w:t>
      </w:r>
      <w:r w:rsidRPr="003C62B7">
        <w:rPr>
          <w:spacing w:val="-5"/>
          <w:sz w:val="20"/>
          <w:szCs w:val="20"/>
        </w:rPr>
        <w:t>firm-year observation</w:t>
      </w:r>
      <w:r>
        <w:rPr>
          <w:spacing w:val="-5"/>
          <w:sz w:val="20"/>
          <w:szCs w:val="20"/>
        </w:rPr>
        <w:t>s</w:t>
      </w:r>
      <w:r w:rsidRPr="003C62B7">
        <w:rPr>
          <w:spacing w:val="-5"/>
          <w:sz w:val="20"/>
          <w:szCs w:val="20"/>
        </w:rPr>
        <w:t xml:space="preserve">. </w:t>
      </w:r>
      <w:r w:rsidRPr="003C62B7">
        <w:rPr>
          <w:sz w:val="20"/>
          <w:szCs w:val="20"/>
        </w:rPr>
        <w:t>Sales growth (</w:t>
      </w:r>
      <w:r w:rsidRPr="008378F3">
        <w:rPr>
          <w:rFonts w:eastAsia="Times New Roman"/>
          <w:i/>
          <w:iCs/>
          <w:color w:val="000000"/>
          <w:kern w:val="0"/>
          <w:sz w:val="20"/>
          <w:szCs w:val="20"/>
          <w:lang w:val="en-GB" w:eastAsia="en-GB"/>
        </w:rPr>
        <w:t>SG</w:t>
      </w:r>
      <w:r w:rsidRPr="008378F3">
        <w:rPr>
          <w:rFonts w:eastAsia="Times New Roman"/>
          <w:i/>
          <w:iCs/>
          <w:color w:val="000000"/>
          <w:kern w:val="0"/>
          <w:sz w:val="20"/>
          <w:szCs w:val="20"/>
          <w:vertAlign w:val="subscript"/>
          <w:lang w:val="en-GB" w:eastAsia="en-GB"/>
        </w:rPr>
        <w:t>t</w:t>
      </w:r>
      <w:r w:rsidRPr="003C62B7">
        <w:rPr>
          <w:sz w:val="20"/>
          <w:szCs w:val="20"/>
        </w:rPr>
        <w:t>) is calculated as the percentage change in sales (</w:t>
      </w:r>
      <w:r>
        <w:rPr>
          <w:sz w:val="20"/>
          <w:szCs w:val="20"/>
        </w:rPr>
        <w:t>Worldscope</w:t>
      </w:r>
      <w:r w:rsidRPr="003C62B7">
        <w:rPr>
          <w:sz w:val="20"/>
          <w:szCs w:val="20"/>
        </w:rPr>
        <w:t>#</w:t>
      </w:r>
      <w:r>
        <w:rPr>
          <w:sz w:val="20"/>
          <w:szCs w:val="20"/>
        </w:rPr>
        <w:t>01001</w:t>
      </w:r>
      <w:r w:rsidRPr="003C62B7">
        <w:rPr>
          <w:sz w:val="20"/>
          <w:szCs w:val="20"/>
        </w:rPr>
        <w:t xml:space="preserve">). </w:t>
      </w:r>
      <w:r w:rsidRPr="008378F3">
        <w:rPr>
          <w:rFonts w:eastAsia="Times New Roman"/>
          <w:i/>
          <w:iCs/>
          <w:color w:val="000000"/>
          <w:kern w:val="0"/>
          <w:sz w:val="20"/>
          <w:szCs w:val="20"/>
          <w:lang w:val="en-GB" w:eastAsia="en-GB"/>
        </w:rPr>
        <w:t>AD</w:t>
      </w:r>
      <w:r w:rsidRPr="008378F3">
        <w:rPr>
          <w:rFonts w:eastAsia="Times New Roman"/>
          <w:i/>
          <w:iCs/>
          <w:color w:val="000000"/>
          <w:kern w:val="0"/>
          <w:sz w:val="20"/>
          <w:szCs w:val="20"/>
          <w:vertAlign w:val="subscript"/>
          <w:lang w:val="en-GB" w:eastAsia="en-GB"/>
        </w:rPr>
        <w:t>t</w:t>
      </w:r>
      <w:r w:rsidRPr="003C62B7">
        <w:rPr>
          <w:sz w:val="20"/>
          <w:szCs w:val="20"/>
        </w:rPr>
        <w:t xml:space="preserve"> is the change in which is measured as: </w:t>
      </w:r>
      <w:r>
        <w:rPr>
          <w:sz w:val="20"/>
          <w:szCs w:val="20"/>
        </w:rPr>
        <w:t>(</w:t>
      </w:r>
      <w:r w:rsidRPr="003C62B7">
        <w:rPr>
          <w:sz w:val="20"/>
          <w:szCs w:val="20"/>
        </w:rPr>
        <w:t>Salest/</w:t>
      </w:r>
      <w:r w:rsidRPr="008378F3">
        <w:rPr>
          <w:rFonts w:eastAsia="Times New Roman"/>
          <w:i/>
          <w:iCs/>
          <w:color w:val="000000"/>
          <w:kern w:val="0"/>
          <w:sz w:val="20"/>
          <w:szCs w:val="20"/>
          <w:lang w:val="en-GB" w:eastAsia="en-GB"/>
        </w:rPr>
        <w:t>NOA</w:t>
      </w:r>
      <w:r w:rsidRPr="008378F3">
        <w:rPr>
          <w:rFonts w:eastAsia="Times New Roman"/>
          <w:i/>
          <w:iCs/>
          <w:color w:val="000000"/>
          <w:kern w:val="0"/>
          <w:sz w:val="20"/>
          <w:szCs w:val="20"/>
          <w:vertAlign w:val="subscript"/>
          <w:lang w:val="en-GB" w:eastAsia="en-GB"/>
        </w:rPr>
        <w:t>t</w:t>
      </w:r>
      <w:r>
        <w:rPr>
          <w:sz w:val="20"/>
          <w:szCs w:val="20"/>
        </w:rPr>
        <w:t>)</w:t>
      </w:r>
      <w:r w:rsidRPr="003C62B7">
        <w:rPr>
          <w:sz w:val="20"/>
          <w:szCs w:val="20"/>
        </w:rPr>
        <w:t>− (Salest</w:t>
      </w:r>
      <w:r>
        <w:rPr>
          <w:sz w:val="20"/>
          <w:szCs w:val="20"/>
          <w:vertAlign w:val="subscript"/>
        </w:rPr>
        <w:t>-1</w:t>
      </w:r>
      <w:r w:rsidRPr="003C62B7">
        <w:rPr>
          <w:sz w:val="20"/>
          <w:szCs w:val="20"/>
        </w:rPr>
        <w:t>/</w:t>
      </w:r>
      <w:r w:rsidRPr="008378F3">
        <w:rPr>
          <w:rFonts w:eastAsia="Times New Roman"/>
          <w:i/>
          <w:iCs/>
          <w:color w:val="000000"/>
          <w:kern w:val="0"/>
          <w:sz w:val="20"/>
          <w:szCs w:val="20"/>
          <w:lang w:val="en-GB" w:eastAsia="en-GB"/>
        </w:rPr>
        <w:t>NOA</w:t>
      </w:r>
      <w:r w:rsidRPr="008378F3">
        <w:rPr>
          <w:rFonts w:eastAsia="Times New Roman"/>
          <w:i/>
          <w:iCs/>
          <w:color w:val="000000"/>
          <w:kern w:val="0"/>
          <w:sz w:val="20"/>
          <w:szCs w:val="20"/>
          <w:vertAlign w:val="subscript"/>
          <w:lang w:val="en-GB" w:eastAsia="en-GB"/>
        </w:rPr>
        <w:t>t</w:t>
      </w:r>
      <w:r>
        <w:rPr>
          <w:rFonts w:eastAsia="Times New Roman"/>
          <w:i/>
          <w:iCs/>
          <w:color w:val="000000"/>
          <w:kern w:val="0"/>
          <w:sz w:val="20"/>
          <w:szCs w:val="20"/>
          <w:vertAlign w:val="subscript"/>
          <w:lang w:val="en-GB" w:eastAsia="en-GB"/>
        </w:rPr>
        <w:t>-1</w:t>
      </w:r>
      <w:r w:rsidRPr="003C62B7">
        <w:rPr>
          <w:sz w:val="20"/>
          <w:szCs w:val="20"/>
        </w:rPr>
        <w:t>)/(Salest/</w:t>
      </w:r>
      <w:r w:rsidRPr="008378F3">
        <w:rPr>
          <w:rFonts w:eastAsia="Times New Roman"/>
          <w:i/>
          <w:iCs/>
          <w:color w:val="000000"/>
          <w:kern w:val="0"/>
          <w:sz w:val="20"/>
          <w:szCs w:val="20"/>
          <w:lang w:val="en-GB" w:eastAsia="en-GB"/>
        </w:rPr>
        <w:t>NOA</w:t>
      </w:r>
      <w:r w:rsidRPr="008378F3">
        <w:rPr>
          <w:rFonts w:eastAsia="Times New Roman"/>
          <w:i/>
          <w:iCs/>
          <w:color w:val="000000"/>
          <w:kern w:val="0"/>
          <w:sz w:val="20"/>
          <w:szCs w:val="20"/>
          <w:vertAlign w:val="subscript"/>
          <w:lang w:val="en-GB" w:eastAsia="en-GB"/>
        </w:rPr>
        <w:t>t</w:t>
      </w:r>
      <w:r w:rsidRPr="003C62B7">
        <w:rPr>
          <w:sz w:val="20"/>
          <w:szCs w:val="20"/>
        </w:rPr>
        <w:t xml:space="preserve">). </w:t>
      </w:r>
      <w:r w:rsidRPr="008378F3">
        <w:rPr>
          <w:rFonts w:eastAsia="Times New Roman"/>
          <w:i/>
          <w:iCs/>
          <w:color w:val="000000"/>
          <w:kern w:val="0"/>
          <w:sz w:val="20"/>
          <w:szCs w:val="20"/>
          <w:lang w:val="en-GB" w:eastAsia="en-GB"/>
        </w:rPr>
        <w:t>NOA</w:t>
      </w:r>
      <w:r w:rsidRPr="008378F3">
        <w:rPr>
          <w:rFonts w:eastAsia="Times New Roman"/>
          <w:i/>
          <w:iCs/>
          <w:color w:val="000000"/>
          <w:kern w:val="0"/>
          <w:sz w:val="20"/>
          <w:szCs w:val="20"/>
          <w:vertAlign w:val="subscript"/>
          <w:lang w:val="en-GB" w:eastAsia="en-GB"/>
        </w:rPr>
        <w:t>t</w:t>
      </w:r>
      <w:r w:rsidRPr="003C62B7">
        <w:rPr>
          <w:sz w:val="20"/>
          <w:szCs w:val="20"/>
        </w:rPr>
        <w:t xml:space="preserve"> are net operating assets, (</w:t>
      </w:r>
      <w:r>
        <w:rPr>
          <w:sz w:val="20"/>
          <w:szCs w:val="20"/>
        </w:rPr>
        <w:t>Worldscope</w:t>
      </w:r>
      <w:r w:rsidRPr="003C62B7">
        <w:rPr>
          <w:sz w:val="20"/>
          <w:szCs w:val="20"/>
        </w:rPr>
        <w:t>#</w:t>
      </w:r>
      <w:r>
        <w:rPr>
          <w:sz w:val="20"/>
          <w:szCs w:val="20"/>
        </w:rPr>
        <w:t>01001</w:t>
      </w:r>
      <w:r w:rsidRPr="003C62B7">
        <w:rPr>
          <w:sz w:val="20"/>
          <w:szCs w:val="20"/>
        </w:rPr>
        <w:t xml:space="preserve">− </w:t>
      </w:r>
      <w:r>
        <w:rPr>
          <w:sz w:val="20"/>
          <w:szCs w:val="20"/>
        </w:rPr>
        <w:t>Worldscope</w:t>
      </w:r>
      <w:r w:rsidRPr="003C62B7">
        <w:rPr>
          <w:sz w:val="20"/>
          <w:szCs w:val="20"/>
        </w:rPr>
        <w:t>#02001) and non-debt liabilities (</w:t>
      </w:r>
      <w:r>
        <w:rPr>
          <w:sz w:val="20"/>
          <w:szCs w:val="20"/>
        </w:rPr>
        <w:t>Worldscope</w:t>
      </w:r>
      <w:r w:rsidRPr="003C62B7">
        <w:rPr>
          <w:sz w:val="20"/>
          <w:szCs w:val="20"/>
        </w:rPr>
        <w:t xml:space="preserve">#02999 − </w:t>
      </w:r>
      <w:r>
        <w:rPr>
          <w:sz w:val="20"/>
          <w:szCs w:val="20"/>
        </w:rPr>
        <w:t>Worldscope</w:t>
      </w:r>
      <w:r w:rsidRPr="003C62B7">
        <w:rPr>
          <w:sz w:val="20"/>
          <w:szCs w:val="20"/>
        </w:rPr>
        <w:t xml:space="preserve">#03995 − </w:t>
      </w:r>
      <w:r>
        <w:rPr>
          <w:sz w:val="20"/>
          <w:szCs w:val="20"/>
        </w:rPr>
        <w:t>Worldscope</w:t>
      </w:r>
      <w:r w:rsidRPr="003C62B7">
        <w:rPr>
          <w:sz w:val="20"/>
          <w:szCs w:val="20"/>
        </w:rPr>
        <w:t xml:space="preserve">#03255 − </w:t>
      </w:r>
      <w:r>
        <w:rPr>
          <w:sz w:val="20"/>
          <w:szCs w:val="20"/>
        </w:rPr>
        <w:t>Worldscope</w:t>
      </w:r>
      <w:r w:rsidRPr="003C62B7">
        <w:rPr>
          <w:sz w:val="20"/>
          <w:szCs w:val="20"/>
        </w:rPr>
        <w:t>#</w:t>
      </w:r>
      <w:r>
        <w:rPr>
          <w:sz w:val="20"/>
          <w:szCs w:val="20"/>
        </w:rPr>
        <w:t xml:space="preserve"> </w:t>
      </w:r>
      <w:r w:rsidRPr="003C62B7">
        <w:rPr>
          <w:sz w:val="20"/>
          <w:szCs w:val="20"/>
        </w:rPr>
        <w:t xml:space="preserve">03426). </w:t>
      </w:r>
      <w:r w:rsidRPr="008378F3">
        <w:rPr>
          <w:rFonts w:eastAsia="Times New Roman"/>
          <w:i/>
          <w:iCs/>
          <w:color w:val="000000"/>
          <w:kern w:val="0"/>
          <w:sz w:val="20"/>
          <w:szCs w:val="20"/>
          <w:lang w:val="en-GB" w:eastAsia="en-GB"/>
        </w:rPr>
        <w:t>ACC</w:t>
      </w:r>
      <w:r w:rsidRPr="008378F3">
        <w:rPr>
          <w:rFonts w:eastAsia="Times New Roman"/>
          <w:i/>
          <w:iCs/>
          <w:color w:val="000000"/>
          <w:kern w:val="0"/>
          <w:sz w:val="20"/>
          <w:szCs w:val="20"/>
          <w:vertAlign w:val="subscript"/>
          <w:lang w:val="en-GB" w:eastAsia="en-GB"/>
        </w:rPr>
        <w:t>t</w:t>
      </w:r>
      <w:r w:rsidRPr="003C62B7">
        <w:rPr>
          <w:sz w:val="20"/>
          <w:szCs w:val="20"/>
        </w:rPr>
        <w:t xml:space="preserve"> is total accruals, measured as the percentage change in </w:t>
      </w:r>
      <w:r w:rsidRPr="008378F3">
        <w:rPr>
          <w:rFonts w:eastAsia="Times New Roman"/>
          <w:i/>
          <w:iCs/>
          <w:color w:val="000000"/>
          <w:kern w:val="0"/>
          <w:sz w:val="20"/>
          <w:szCs w:val="20"/>
          <w:lang w:val="en-GB" w:eastAsia="en-GB"/>
        </w:rPr>
        <w:t>NOA</w:t>
      </w:r>
      <w:r w:rsidRPr="008378F3">
        <w:rPr>
          <w:rFonts w:eastAsia="Times New Roman"/>
          <w:i/>
          <w:iCs/>
          <w:color w:val="000000"/>
          <w:kern w:val="0"/>
          <w:sz w:val="20"/>
          <w:szCs w:val="20"/>
          <w:vertAlign w:val="subscript"/>
          <w:lang w:val="en-GB" w:eastAsia="en-GB"/>
        </w:rPr>
        <w:t>t</w:t>
      </w:r>
      <w:r w:rsidRPr="003C62B7">
        <w:rPr>
          <w:sz w:val="20"/>
          <w:szCs w:val="20"/>
        </w:rPr>
        <w:t>:(</w:t>
      </w:r>
      <w:r w:rsidRPr="00F31B5B">
        <w:rPr>
          <w:rFonts w:eastAsia="Times New Roman"/>
          <w:i/>
          <w:iCs/>
          <w:color w:val="000000"/>
          <w:kern w:val="0"/>
          <w:sz w:val="20"/>
          <w:szCs w:val="20"/>
          <w:lang w:val="en-GB" w:eastAsia="en-GB"/>
        </w:rPr>
        <w:t xml:space="preserve"> </w:t>
      </w:r>
      <w:r w:rsidRPr="008378F3">
        <w:rPr>
          <w:rFonts w:eastAsia="Times New Roman"/>
          <w:i/>
          <w:iCs/>
          <w:color w:val="000000"/>
          <w:kern w:val="0"/>
          <w:sz w:val="20"/>
          <w:szCs w:val="20"/>
          <w:lang w:val="en-GB" w:eastAsia="en-GB"/>
        </w:rPr>
        <w:t>NOA</w:t>
      </w:r>
      <w:r w:rsidRPr="008378F3">
        <w:rPr>
          <w:rFonts w:eastAsia="Times New Roman"/>
          <w:i/>
          <w:iCs/>
          <w:color w:val="000000"/>
          <w:kern w:val="0"/>
          <w:sz w:val="20"/>
          <w:szCs w:val="20"/>
          <w:vertAlign w:val="subscript"/>
          <w:lang w:val="en-GB" w:eastAsia="en-GB"/>
        </w:rPr>
        <w:t>t</w:t>
      </w:r>
      <w:r w:rsidRPr="003C62B7">
        <w:rPr>
          <w:sz w:val="20"/>
          <w:szCs w:val="20"/>
        </w:rPr>
        <w:t>/</w:t>
      </w:r>
      <w:r w:rsidRPr="008378F3">
        <w:rPr>
          <w:rFonts w:eastAsia="Times New Roman"/>
          <w:i/>
          <w:iCs/>
          <w:color w:val="000000"/>
          <w:kern w:val="0"/>
          <w:sz w:val="20"/>
          <w:szCs w:val="20"/>
          <w:lang w:val="en-GB" w:eastAsia="en-GB"/>
        </w:rPr>
        <w:t>NOA</w:t>
      </w:r>
      <w:r w:rsidRPr="008378F3">
        <w:rPr>
          <w:rFonts w:eastAsia="Times New Roman"/>
          <w:i/>
          <w:iCs/>
          <w:color w:val="000000"/>
          <w:kern w:val="0"/>
          <w:sz w:val="20"/>
          <w:szCs w:val="20"/>
          <w:vertAlign w:val="subscript"/>
          <w:lang w:val="en-GB" w:eastAsia="en-GB"/>
        </w:rPr>
        <w:t>t</w:t>
      </w:r>
      <w:r>
        <w:rPr>
          <w:rFonts w:eastAsia="Times New Roman"/>
          <w:i/>
          <w:iCs/>
          <w:color w:val="000000"/>
          <w:kern w:val="0"/>
          <w:sz w:val="20"/>
          <w:szCs w:val="20"/>
          <w:vertAlign w:val="subscript"/>
          <w:lang w:val="en-GB" w:eastAsia="en-GB"/>
        </w:rPr>
        <w:t>-1</w:t>
      </w:r>
      <w:r>
        <w:rPr>
          <w:sz w:val="20"/>
          <w:szCs w:val="20"/>
        </w:rPr>
        <w:t>)</w:t>
      </w:r>
      <w:r w:rsidRPr="003C62B7">
        <w:rPr>
          <w:sz w:val="20"/>
          <w:szCs w:val="20"/>
        </w:rPr>
        <w:t xml:space="preserve">−1. </w:t>
      </w:r>
      <w:r w:rsidRPr="008378F3">
        <w:rPr>
          <w:rFonts w:eastAsia="Times New Roman"/>
          <w:i/>
          <w:iCs/>
          <w:color w:val="000000"/>
          <w:kern w:val="0"/>
          <w:sz w:val="20"/>
          <w:szCs w:val="20"/>
          <w:lang w:val="en-GB" w:eastAsia="en-GB"/>
        </w:rPr>
        <w:t>RNOA</w:t>
      </w:r>
      <w:r w:rsidRPr="008378F3">
        <w:rPr>
          <w:rFonts w:eastAsia="Times New Roman"/>
          <w:i/>
          <w:iCs/>
          <w:color w:val="000000"/>
          <w:kern w:val="0"/>
          <w:sz w:val="20"/>
          <w:szCs w:val="20"/>
          <w:vertAlign w:val="subscript"/>
          <w:lang w:val="en-GB" w:eastAsia="en-GB"/>
        </w:rPr>
        <w:t>t</w:t>
      </w:r>
      <w:r w:rsidRPr="003C62B7">
        <w:rPr>
          <w:sz w:val="20"/>
          <w:szCs w:val="20"/>
        </w:rPr>
        <w:t xml:space="preserve"> is the operating profitability</w:t>
      </w:r>
      <w:r>
        <w:rPr>
          <w:sz w:val="20"/>
          <w:szCs w:val="20"/>
        </w:rPr>
        <w:t xml:space="preserve"> (income)</w:t>
      </w:r>
      <w:r w:rsidRPr="003C62B7">
        <w:rPr>
          <w:sz w:val="20"/>
          <w:szCs w:val="20"/>
        </w:rPr>
        <w:t>, measured as operating income (</w:t>
      </w:r>
      <w:r>
        <w:rPr>
          <w:sz w:val="20"/>
          <w:szCs w:val="20"/>
        </w:rPr>
        <w:t>Worldscope</w:t>
      </w:r>
      <w:r w:rsidRPr="003C62B7">
        <w:rPr>
          <w:sz w:val="20"/>
          <w:szCs w:val="20"/>
        </w:rPr>
        <w:t>#</w:t>
      </w:r>
      <w:r>
        <w:rPr>
          <w:sz w:val="20"/>
          <w:szCs w:val="20"/>
        </w:rPr>
        <w:t>0</w:t>
      </w:r>
      <w:r w:rsidRPr="003C62B7">
        <w:rPr>
          <w:sz w:val="20"/>
          <w:szCs w:val="20"/>
        </w:rPr>
        <w:t>1250) deflated</w:t>
      </w:r>
      <w:r>
        <w:rPr>
          <w:sz w:val="20"/>
          <w:szCs w:val="20"/>
        </w:rPr>
        <w:t xml:space="preserve"> </w:t>
      </w:r>
      <w:r w:rsidRPr="003C62B7">
        <w:rPr>
          <w:sz w:val="20"/>
          <w:szCs w:val="20"/>
        </w:rPr>
        <w:t xml:space="preserve">by lagged </w:t>
      </w:r>
      <w:r w:rsidRPr="008378F3">
        <w:rPr>
          <w:rFonts w:eastAsia="Times New Roman"/>
          <w:i/>
          <w:iCs/>
          <w:color w:val="000000"/>
          <w:kern w:val="0"/>
          <w:sz w:val="20"/>
          <w:szCs w:val="20"/>
          <w:lang w:val="en-GB" w:eastAsia="en-GB"/>
        </w:rPr>
        <w:t>O</w:t>
      </w:r>
      <w:r>
        <w:rPr>
          <w:rFonts w:eastAsia="Times New Roman"/>
          <w:i/>
          <w:iCs/>
          <w:color w:val="000000"/>
          <w:kern w:val="0"/>
          <w:sz w:val="20"/>
          <w:szCs w:val="20"/>
          <w:lang w:val="en-GB" w:eastAsia="en-GB"/>
        </w:rPr>
        <w:t>I</w:t>
      </w:r>
      <w:r w:rsidRPr="008378F3">
        <w:rPr>
          <w:rFonts w:eastAsia="Times New Roman"/>
          <w:i/>
          <w:iCs/>
          <w:color w:val="000000"/>
          <w:kern w:val="0"/>
          <w:sz w:val="20"/>
          <w:szCs w:val="20"/>
          <w:vertAlign w:val="subscript"/>
          <w:lang w:val="en-GB" w:eastAsia="en-GB"/>
        </w:rPr>
        <w:t>t</w:t>
      </w:r>
      <w:r w:rsidRPr="003C62B7">
        <w:rPr>
          <w:sz w:val="20"/>
          <w:szCs w:val="20"/>
        </w:rPr>
        <w:t>/</w:t>
      </w:r>
      <w:r w:rsidRPr="008378F3">
        <w:rPr>
          <w:rFonts w:eastAsia="Times New Roman"/>
          <w:i/>
          <w:iCs/>
          <w:color w:val="000000"/>
          <w:kern w:val="0"/>
          <w:sz w:val="20"/>
          <w:szCs w:val="20"/>
          <w:lang w:val="en-GB" w:eastAsia="en-GB"/>
        </w:rPr>
        <w:t>NOA</w:t>
      </w:r>
      <w:r>
        <w:rPr>
          <w:rFonts w:eastAsia="Times New Roman"/>
          <w:i/>
          <w:iCs/>
          <w:color w:val="000000"/>
          <w:kern w:val="0"/>
          <w:sz w:val="20"/>
          <w:szCs w:val="20"/>
          <w:vertAlign w:val="subscript"/>
          <w:lang w:val="en-GB" w:eastAsia="en-GB"/>
        </w:rPr>
        <w:t xml:space="preserve">t-1. </w:t>
      </w:r>
      <w:r>
        <w:rPr>
          <w:rFonts w:eastAsia="Times New Roman"/>
          <w:i/>
          <w:iCs/>
          <w:color w:val="000000"/>
          <w:kern w:val="0"/>
          <w:sz w:val="20"/>
          <w:szCs w:val="20"/>
          <w:lang w:val="en-GB" w:eastAsia="en-GB"/>
        </w:rPr>
        <w:t xml:space="preserve">ROCE is the </w:t>
      </w:r>
      <w:r w:rsidRPr="003C62B7">
        <w:rPr>
          <w:sz w:val="20"/>
          <w:szCs w:val="20"/>
        </w:rPr>
        <w:t>operating profitability</w:t>
      </w:r>
      <w:r>
        <w:rPr>
          <w:sz w:val="20"/>
          <w:szCs w:val="20"/>
        </w:rPr>
        <w:t xml:space="preserve"> (income) on the capital employed </w:t>
      </w:r>
      <w:r w:rsidRPr="003C62B7">
        <w:rPr>
          <w:sz w:val="20"/>
          <w:szCs w:val="20"/>
        </w:rPr>
        <w:t>measured as operating income (</w:t>
      </w:r>
      <w:r>
        <w:rPr>
          <w:sz w:val="20"/>
          <w:szCs w:val="20"/>
        </w:rPr>
        <w:t>Worldscope</w:t>
      </w:r>
      <w:r w:rsidRPr="003C62B7">
        <w:rPr>
          <w:sz w:val="20"/>
          <w:szCs w:val="20"/>
        </w:rPr>
        <w:t>#</w:t>
      </w:r>
      <w:r>
        <w:rPr>
          <w:sz w:val="20"/>
          <w:szCs w:val="20"/>
        </w:rPr>
        <w:t>0</w:t>
      </w:r>
      <w:r w:rsidRPr="003C62B7">
        <w:rPr>
          <w:sz w:val="20"/>
          <w:szCs w:val="20"/>
        </w:rPr>
        <w:t>1250) deflated</w:t>
      </w:r>
      <w:r>
        <w:rPr>
          <w:sz w:val="20"/>
          <w:szCs w:val="20"/>
        </w:rPr>
        <w:t xml:space="preserve"> </w:t>
      </w:r>
      <w:r w:rsidRPr="003C62B7">
        <w:rPr>
          <w:sz w:val="20"/>
          <w:szCs w:val="20"/>
        </w:rPr>
        <w:t>by lagged</w:t>
      </w:r>
      <w:r>
        <w:rPr>
          <w:sz w:val="20"/>
          <w:szCs w:val="20"/>
        </w:rPr>
        <w:t xml:space="preserve"> total assets minus current liabilities. </w:t>
      </w:r>
      <w:r w:rsidRPr="00D36874">
        <w:rPr>
          <w:sz w:val="20"/>
          <w:szCs w:val="20"/>
        </w:rPr>
        <w:t>Book-to-market (BM) is the ratio of common equity to market capitalisation</w:t>
      </w:r>
      <w:r>
        <w:rPr>
          <w:sz w:val="20"/>
          <w:szCs w:val="20"/>
        </w:rPr>
        <w:t xml:space="preserve"> (Book value/year end capital market). </w:t>
      </w:r>
      <w:r w:rsidRPr="00D36874">
        <w:rPr>
          <w:sz w:val="20"/>
          <w:szCs w:val="20"/>
        </w:rPr>
        <w:t xml:space="preserve">Size is the natural logarithm of the year-end market </w:t>
      </w:r>
      <w:r>
        <w:rPr>
          <w:sz w:val="20"/>
          <w:szCs w:val="20"/>
        </w:rPr>
        <w:t>capitalization.</w:t>
      </w:r>
    </w:p>
    <w:p w:rsidR="00AE171B" w:rsidRDefault="00AE171B" w:rsidP="00D64C8F">
      <w:pPr>
        <w:spacing w:line="240" w:lineRule="auto"/>
        <w:ind w:left="440" w:hangingChars="200" w:hanging="440"/>
        <w:rPr>
          <w:szCs w:val="22"/>
        </w:rPr>
      </w:pPr>
    </w:p>
    <w:p w:rsidR="00AE171B" w:rsidRDefault="00AE171B" w:rsidP="00D64C8F">
      <w:pPr>
        <w:spacing w:line="240" w:lineRule="auto"/>
        <w:ind w:left="440" w:hangingChars="200" w:hanging="440"/>
        <w:rPr>
          <w:szCs w:val="22"/>
        </w:rPr>
      </w:pPr>
    </w:p>
    <w:p w:rsidR="00AE171B" w:rsidRDefault="00AE171B" w:rsidP="00D64C8F">
      <w:pPr>
        <w:spacing w:line="240" w:lineRule="auto"/>
        <w:ind w:left="440" w:hangingChars="200" w:hanging="440"/>
        <w:rPr>
          <w:szCs w:val="22"/>
        </w:rPr>
      </w:pPr>
    </w:p>
    <w:p w:rsidR="00AE171B" w:rsidRDefault="00AE171B" w:rsidP="00D64C8F">
      <w:pPr>
        <w:spacing w:line="240" w:lineRule="auto"/>
        <w:ind w:left="440" w:hangingChars="200" w:hanging="440"/>
        <w:rPr>
          <w:szCs w:val="22"/>
        </w:rPr>
      </w:pPr>
    </w:p>
    <w:p w:rsidR="00AE171B" w:rsidRDefault="00AE171B" w:rsidP="00D64C8F">
      <w:pPr>
        <w:spacing w:line="240" w:lineRule="auto"/>
        <w:ind w:left="440" w:hangingChars="200" w:hanging="440"/>
        <w:rPr>
          <w:szCs w:val="22"/>
        </w:rPr>
      </w:pPr>
    </w:p>
    <w:p w:rsidR="00AE171B" w:rsidRDefault="00AE171B" w:rsidP="00D64C8F">
      <w:pPr>
        <w:spacing w:line="240" w:lineRule="auto"/>
        <w:ind w:left="440" w:hangingChars="200" w:hanging="440"/>
        <w:rPr>
          <w:szCs w:val="22"/>
        </w:rPr>
      </w:pPr>
    </w:p>
    <w:p w:rsidR="00AE171B" w:rsidRDefault="00AE171B" w:rsidP="00D64C8F">
      <w:pPr>
        <w:spacing w:line="240" w:lineRule="auto"/>
        <w:ind w:left="440" w:hangingChars="200" w:hanging="440"/>
        <w:rPr>
          <w:szCs w:val="22"/>
        </w:rPr>
      </w:pPr>
    </w:p>
    <w:p w:rsidR="00AE171B" w:rsidRDefault="00AE171B" w:rsidP="00AE171B">
      <w:pPr>
        <w:ind w:firstLine="0"/>
        <w:contextualSpacing/>
        <w:rPr>
          <w:bCs/>
          <w:szCs w:val="22"/>
        </w:rPr>
      </w:pPr>
      <w:r w:rsidRPr="00905ACC">
        <w:rPr>
          <w:b/>
          <w:szCs w:val="22"/>
        </w:rPr>
        <w:lastRenderedPageBreak/>
        <w:t>Table</w:t>
      </w:r>
      <w:r w:rsidRPr="00453C81">
        <w:rPr>
          <w:sz w:val="20"/>
          <w:szCs w:val="20"/>
        </w:rPr>
        <w:t xml:space="preserve"> </w:t>
      </w:r>
      <w:r>
        <w:rPr>
          <w:b/>
          <w:bCs/>
          <w:sz w:val="20"/>
          <w:szCs w:val="20"/>
        </w:rPr>
        <w:t>3</w:t>
      </w:r>
      <w:r w:rsidRPr="00905ACC">
        <w:rPr>
          <w:b/>
          <w:szCs w:val="22"/>
        </w:rPr>
        <w:t xml:space="preserve">. </w:t>
      </w:r>
      <w:r w:rsidRPr="007A7295">
        <w:rPr>
          <w:bCs/>
          <w:szCs w:val="22"/>
        </w:rPr>
        <w:t xml:space="preserve">Cross-sectional regressions over the </w:t>
      </w:r>
      <w:r>
        <w:rPr>
          <w:bCs/>
          <w:szCs w:val="22"/>
        </w:rPr>
        <w:t xml:space="preserve">sample </w:t>
      </w:r>
      <w:r w:rsidRPr="007A7295">
        <w:rPr>
          <w:bCs/>
          <w:szCs w:val="22"/>
        </w:rPr>
        <w:t xml:space="preserve">period </w:t>
      </w:r>
    </w:p>
    <w:tbl>
      <w:tblPr>
        <w:tblW w:w="9000" w:type="dxa"/>
        <w:tblBorders>
          <w:top w:val="single" w:sz="4" w:space="0" w:color="auto"/>
          <w:bottom w:val="single" w:sz="4" w:space="0" w:color="auto"/>
        </w:tblBorders>
        <w:tblLayout w:type="fixed"/>
        <w:tblLook w:val="01E0" w:firstRow="1" w:lastRow="1" w:firstColumn="1" w:lastColumn="1" w:noHBand="0" w:noVBand="0"/>
      </w:tblPr>
      <w:tblGrid>
        <w:gridCol w:w="1620"/>
        <w:gridCol w:w="1080"/>
        <w:gridCol w:w="900"/>
        <w:gridCol w:w="810"/>
        <w:gridCol w:w="990"/>
        <w:gridCol w:w="810"/>
        <w:gridCol w:w="990"/>
        <w:gridCol w:w="810"/>
        <w:gridCol w:w="990"/>
      </w:tblGrid>
      <w:tr w:rsidR="00AE171B" w:rsidRPr="00B773B5" w:rsidTr="000339B0">
        <w:trPr>
          <w:trHeight w:val="377"/>
        </w:trPr>
        <w:tc>
          <w:tcPr>
            <w:tcW w:w="1620" w:type="dxa"/>
            <w:tcBorders>
              <w:top w:val="single" w:sz="4" w:space="0" w:color="auto"/>
              <w:bottom w:val="single" w:sz="4" w:space="0" w:color="auto"/>
            </w:tcBorders>
            <w:shd w:val="clear" w:color="auto" w:fill="auto"/>
          </w:tcPr>
          <w:p w:rsidR="00AE171B" w:rsidRPr="000339B0" w:rsidRDefault="00AE171B" w:rsidP="000339B0">
            <w:pPr>
              <w:spacing w:line="240" w:lineRule="auto"/>
              <w:ind w:firstLine="0"/>
              <w:contextualSpacing/>
              <w:rPr>
                <w:b/>
                <w:bCs/>
                <w:i/>
                <w:iCs/>
                <w:szCs w:val="22"/>
              </w:rPr>
            </w:pPr>
            <w:r w:rsidRPr="000339B0">
              <w:rPr>
                <w:b/>
                <w:bCs/>
                <w:i/>
                <w:iCs/>
                <w:szCs w:val="22"/>
              </w:rPr>
              <w:t>Variables</w:t>
            </w:r>
          </w:p>
        </w:tc>
        <w:tc>
          <w:tcPr>
            <w:tcW w:w="1980" w:type="dxa"/>
            <w:gridSpan w:val="2"/>
            <w:tcBorders>
              <w:top w:val="single" w:sz="4" w:space="0" w:color="auto"/>
              <w:bottom w:val="single" w:sz="4" w:space="0" w:color="auto"/>
            </w:tcBorders>
            <w:shd w:val="clear" w:color="auto" w:fill="auto"/>
          </w:tcPr>
          <w:p w:rsidR="00AE171B" w:rsidRPr="00B773B5" w:rsidRDefault="00AE171B" w:rsidP="000339B0">
            <w:pPr>
              <w:spacing w:line="240" w:lineRule="auto"/>
              <w:contextualSpacing/>
              <w:jc w:val="center"/>
              <w:rPr>
                <w:b/>
                <w:bCs/>
                <w:i/>
                <w:iCs/>
                <w:szCs w:val="22"/>
              </w:rPr>
            </w:pPr>
            <w:r w:rsidRPr="00B773B5">
              <w:rPr>
                <w:b/>
                <w:bCs/>
                <w:i/>
                <w:iCs/>
                <w:szCs w:val="22"/>
              </w:rPr>
              <w:t>Eq.10.a</w:t>
            </w:r>
          </w:p>
        </w:tc>
        <w:tc>
          <w:tcPr>
            <w:tcW w:w="1800" w:type="dxa"/>
            <w:gridSpan w:val="2"/>
            <w:tcBorders>
              <w:top w:val="single" w:sz="4" w:space="0" w:color="auto"/>
              <w:bottom w:val="single" w:sz="4" w:space="0" w:color="auto"/>
            </w:tcBorders>
            <w:shd w:val="clear" w:color="auto" w:fill="auto"/>
          </w:tcPr>
          <w:p w:rsidR="00AE171B" w:rsidRPr="00B773B5" w:rsidRDefault="00AE171B" w:rsidP="000339B0">
            <w:pPr>
              <w:spacing w:line="240" w:lineRule="auto"/>
              <w:contextualSpacing/>
              <w:rPr>
                <w:b/>
                <w:bCs/>
                <w:i/>
                <w:iCs/>
                <w:szCs w:val="22"/>
              </w:rPr>
            </w:pPr>
            <w:r w:rsidRPr="00B773B5">
              <w:rPr>
                <w:b/>
                <w:bCs/>
                <w:i/>
                <w:iCs/>
                <w:szCs w:val="22"/>
              </w:rPr>
              <w:t>Eq.10.b</w:t>
            </w:r>
          </w:p>
        </w:tc>
        <w:tc>
          <w:tcPr>
            <w:tcW w:w="1800" w:type="dxa"/>
            <w:gridSpan w:val="2"/>
            <w:tcBorders>
              <w:top w:val="single" w:sz="4" w:space="0" w:color="auto"/>
              <w:bottom w:val="single" w:sz="4" w:space="0" w:color="auto"/>
            </w:tcBorders>
            <w:shd w:val="clear" w:color="auto" w:fill="auto"/>
          </w:tcPr>
          <w:p w:rsidR="00AE171B" w:rsidRPr="00B773B5" w:rsidRDefault="00AE171B" w:rsidP="000339B0">
            <w:pPr>
              <w:spacing w:line="240" w:lineRule="auto"/>
              <w:contextualSpacing/>
              <w:rPr>
                <w:b/>
                <w:bCs/>
                <w:i/>
                <w:iCs/>
                <w:szCs w:val="22"/>
              </w:rPr>
            </w:pPr>
            <w:r w:rsidRPr="00B773B5">
              <w:rPr>
                <w:b/>
                <w:bCs/>
                <w:i/>
                <w:iCs/>
                <w:szCs w:val="22"/>
              </w:rPr>
              <w:t>Eq.10.c</w:t>
            </w:r>
          </w:p>
        </w:tc>
        <w:tc>
          <w:tcPr>
            <w:tcW w:w="1800" w:type="dxa"/>
            <w:gridSpan w:val="2"/>
            <w:tcBorders>
              <w:top w:val="single" w:sz="4" w:space="0" w:color="auto"/>
              <w:bottom w:val="single" w:sz="4" w:space="0" w:color="auto"/>
            </w:tcBorders>
            <w:shd w:val="clear" w:color="auto" w:fill="auto"/>
          </w:tcPr>
          <w:p w:rsidR="00AE171B" w:rsidRPr="00B773B5" w:rsidRDefault="00AE171B" w:rsidP="000339B0">
            <w:pPr>
              <w:spacing w:line="240" w:lineRule="auto"/>
              <w:contextualSpacing/>
              <w:rPr>
                <w:b/>
                <w:bCs/>
                <w:i/>
                <w:iCs/>
                <w:szCs w:val="22"/>
              </w:rPr>
            </w:pPr>
            <w:r w:rsidRPr="00B773B5">
              <w:rPr>
                <w:b/>
                <w:bCs/>
                <w:i/>
                <w:iCs/>
                <w:szCs w:val="22"/>
              </w:rPr>
              <w:t>Eq.10.d</w:t>
            </w:r>
          </w:p>
        </w:tc>
      </w:tr>
      <w:tr w:rsidR="00AE171B" w:rsidRPr="00B773B5" w:rsidTr="000339B0">
        <w:tblPrEx>
          <w:tblBorders>
            <w:top w:val="none" w:sz="0" w:space="0" w:color="auto"/>
            <w:bottom w:val="none" w:sz="0" w:space="0" w:color="auto"/>
          </w:tblBorders>
          <w:tblLook w:val="04A0" w:firstRow="1" w:lastRow="0" w:firstColumn="1" w:lastColumn="0" w:noHBand="0" w:noVBand="1"/>
        </w:tblPrEx>
        <w:trPr>
          <w:trHeight w:val="20"/>
        </w:trPr>
        <w:tc>
          <w:tcPr>
            <w:tcW w:w="1620" w:type="dxa"/>
            <w:tcBorders>
              <w:top w:val="nil"/>
              <w:left w:val="nil"/>
              <w:bottom w:val="nil"/>
              <w:right w:val="nil"/>
            </w:tcBorders>
            <w:shd w:val="clear" w:color="auto" w:fill="auto"/>
            <w:noWrap/>
            <w:vAlign w:val="bottom"/>
            <w:hideMark/>
          </w:tcPr>
          <w:p w:rsidR="00AE171B" w:rsidRPr="00B773B5" w:rsidRDefault="00AE171B" w:rsidP="000339B0">
            <w:pPr>
              <w:widowControl/>
              <w:spacing w:before="0" w:after="0" w:line="240" w:lineRule="auto"/>
              <w:ind w:firstLine="0"/>
              <w:jc w:val="left"/>
              <w:rPr>
                <w:rFonts w:asciiTheme="majorBidi" w:eastAsia="Times New Roman" w:hAnsiTheme="majorBidi" w:cstheme="majorBidi"/>
                <w:i/>
                <w:iCs/>
                <w:kern w:val="0"/>
                <w:sz w:val="20"/>
                <w:szCs w:val="20"/>
                <w:lang w:val="en-GB" w:eastAsia="en-GB"/>
              </w:rPr>
            </w:pPr>
          </w:p>
        </w:tc>
        <w:tc>
          <w:tcPr>
            <w:tcW w:w="108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asciiTheme="majorBidi" w:eastAsia="Times New Roman" w:hAnsiTheme="majorBidi" w:cstheme="majorBidi"/>
                <w:kern w:val="0"/>
                <w:sz w:val="18"/>
                <w:szCs w:val="18"/>
                <w:u w:val="single"/>
                <w:lang w:val="en-GB" w:eastAsia="en-GB"/>
              </w:rPr>
            </w:pPr>
            <w:r w:rsidRPr="000339B0">
              <w:rPr>
                <w:rFonts w:asciiTheme="majorBidi" w:eastAsia="Times New Roman" w:hAnsiTheme="majorBidi" w:cstheme="majorBidi"/>
                <w:kern w:val="0"/>
                <w:sz w:val="18"/>
                <w:szCs w:val="18"/>
                <w:u w:val="single"/>
                <w:lang w:val="en-GB" w:eastAsia="en-GB"/>
              </w:rPr>
              <w:t>Coeff.</w:t>
            </w:r>
          </w:p>
        </w:tc>
        <w:tc>
          <w:tcPr>
            <w:tcW w:w="90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asciiTheme="majorBidi" w:eastAsia="Times New Roman" w:hAnsiTheme="majorBidi" w:cstheme="majorBidi"/>
                <w:kern w:val="0"/>
                <w:sz w:val="18"/>
                <w:szCs w:val="18"/>
                <w:u w:val="single"/>
                <w:lang w:val="en-GB" w:eastAsia="en-GB"/>
              </w:rPr>
            </w:pPr>
            <w:r w:rsidRPr="000339B0">
              <w:rPr>
                <w:rFonts w:asciiTheme="majorBidi" w:eastAsia="Times New Roman" w:hAnsiTheme="majorBidi" w:cstheme="majorBidi"/>
                <w:kern w:val="0"/>
                <w:sz w:val="18"/>
                <w:szCs w:val="18"/>
                <w:u w:val="single"/>
                <w:lang w:val="en-GB" w:eastAsia="en-GB"/>
              </w:rPr>
              <w:t>t-Statistic</w:t>
            </w:r>
          </w:p>
        </w:tc>
        <w:tc>
          <w:tcPr>
            <w:tcW w:w="81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asciiTheme="majorBidi" w:eastAsia="Times New Roman" w:hAnsiTheme="majorBidi" w:cstheme="majorBidi"/>
                <w:kern w:val="0"/>
                <w:sz w:val="18"/>
                <w:szCs w:val="18"/>
                <w:u w:val="single"/>
                <w:lang w:val="en-GB" w:eastAsia="en-GB"/>
              </w:rPr>
            </w:pPr>
            <w:r w:rsidRPr="000339B0">
              <w:rPr>
                <w:rFonts w:asciiTheme="majorBidi" w:eastAsia="Times New Roman" w:hAnsiTheme="majorBidi" w:cstheme="majorBidi"/>
                <w:kern w:val="0"/>
                <w:sz w:val="18"/>
                <w:szCs w:val="18"/>
                <w:u w:val="single"/>
                <w:lang w:val="en-GB" w:eastAsia="en-GB"/>
              </w:rPr>
              <w:t>Coeff.</w:t>
            </w:r>
          </w:p>
        </w:tc>
        <w:tc>
          <w:tcPr>
            <w:tcW w:w="99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asciiTheme="majorBidi" w:eastAsia="Times New Roman" w:hAnsiTheme="majorBidi" w:cstheme="majorBidi"/>
                <w:kern w:val="0"/>
                <w:sz w:val="18"/>
                <w:szCs w:val="18"/>
                <w:u w:val="single"/>
                <w:lang w:val="en-GB" w:eastAsia="en-GB"/>
              </w:rPr>
            </w:pPr>
            <w:r w:rsidRPr="000339B0">
              <w:rPr>
                <w:rFonts w:asciiTheme="majorBidi" w:eastAsia="Times New Roman" w:hAnsiTheme="majorBidi" w:cstheme="majorBidi"/>
                <w:kern w:val="0"/>
                <w:sz w:val="18"/>
                <w:szCs w:val="18"/>
                <w:u w:val="single"/>
                <w:lang w:val="en-GB" w:eastAsia="en-GB"/>
              </w:rPr>
              <w:t>t-Statistic</w:t>
            </w:r>
          </w:p>
        </w:tc>
        <w:tc>
          <w:tcPr>
            <w:tcW w:w="81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asciiTheme="majorBidi" w:eastAsia="Times New Roman" w:hAnsiTheme="majorBidi" w:cstheme="majorBidi"/>
                <w:kern w:val="0"/>
                <w:sz w:val="18"/>
                <w:szCs w:val="18"/>
                <w:u w:val="single"/>
                <w:lang w:val="en-GB" w:eastAsia="en-GB"/>
              </w:rPr>
            </w:pPr>
            <w:r w:rsidRPr="000339B0">
              <w:rPr>
                <w:rFonts w:asciiTheme="majorBidi" w:eastAsia="Times New Roman" w:hAnsiTheme="majorBidi" w:cstheme="majorBidi"/>
                <w:kern w:val="0"/>
                <w:sz w:val="18"/>
                <w:szCs w:val="18"/>
                <w:u w:val="single"/>
                <w:lang w:val="en-GB" w:eastAsia="en-GB"/>
              </w:rPr>
              <w:t>Coeff.</w:t>
            </w:r>
          </w:p>
        </w:tc>
        <w:tc>
          <w:tcPr>
            <w:tcW w:w="99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asciiTheme="majorBidi" w:eastAsia="Times New Roman" w:hAnsiTheme="majorBidi" w:cstheme="majorBidi"/>
                <w:kern w:val="0"/>
                <w:sz w:val="18"/>
                <w:szCs w:val="18"/>
                <w:u w:val="single"/>
                <w:lang w:val="en-GB" w:eastAsia="en-GB"/>
              </w:rPr>
            </w:pPr>
            <w:r w:rsidRPr="000339B0">
              <w:rPr>
                <w:rFonts w:asciiTheme="majorBidi" w:eastAsia="Times New Roman" w:hAnsiTheme="majorBidi" w:cstheme="majorBidi"/>
                <w:kern w:val="0"/>
                <w:sz w:val="18"/>
                <w:szCs w:val="18"/>
                <w:u w:val="single"/>
                <w:lang w:val="en-GB" w:eastAsia="en-GB"/>
              </w:rPr>
              <w:t>t-Statistic</w:t>
            </w:r>
          </w:p>
        </w:tc>
        <w:tc>
          <w:tcPr>
            <w:tcW w:w="81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asciiTheme="majorBidi" w:eastAsia="Times New Roman" w:hAnsiTheme="majorBidi" w:cstheme="majorBidi"/>
                <w:kern w:val="0"/>
                <w:sz w:val="18"/>
                <w:szCs w:val="18"/>
                <w:u w:val="single"/>
                <w:lang w:val="en-GB" w:eastAsia="en-GB"/>
              </w:rPr>
            </w:pPr>
            <w:r w:rsidRPr="000339B0">
              <w:rPr>
                <w:rFonts w:asciiTheme="majorBidi" w:eastAsia="Times New Roman" w:hAnsiTheme="majorBidi" w:cstheme="majorBidi"/>
                <w:kern w:val="0"/>
                <w:sz w:val="18"/>
                <w:szCs w:val="18"/>
                <w:u w:val="single"/>
                <w:lang w:val="en-GB" w:eastAsia="en-GB"/>
              </w:rPr>
              <w:t>Coeff.</w:t>
            </w:r>
          </w:p>
        </w:tc>
        <w:tc>
          <w:tcPr>
            <w:tcW w:w="99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asciiTheme="majorBidi" w:eastAsia="Times New Roman" w:hAnsiTheme="majorBidi" w:cstheme="majorBidi"/>
                <w:kern w:val="0"/>
                <w:sz w:val="18"/>
                <w:szCs w:val="18"/>
                <w:u w:val="single"/>
                <w:lang w:val="en-GB" w:eastAsia="en-GB"/>
              </w:rPr>
            </w:pPr>
            <w:r w:rsidRPr="000339B0">
              <w:rPr>
                <w:rFonts w:asciiTheme="majorBidi" w:eastAsia="Times New Roman" w:hAnsiTheme="majorBidi" w:cstheme="majorBidi"/>
                <w:kern w:val="0"/>
                <w:sz w:val="18"/>
                <w:szCs w:val="18"/>
                <w:u w:val="single"/>
                <w:lang w:val="en-GB" w:eastAsia="en-GB"/>
              </w:rPr>
              <w:t>t-Statistic</w:t>
            </w:r>
          </w:p>
        </w:tc>
      </w:tr>
      <w:tr w:rsidR="00AE171B" w:rsidRPr="00B773B5" w:rsidTr="000339B0">
        <w:tblPrEx>
          <w:tblBorders>
            <w:top w:val="none" w:sz="0" w:space="0" w:color="auto"/>
            <w:bottom w:val="none" w:sz="0" w:space="0" w:color="auto"/>
          </w:tblBorders>
          <w:tblLook w:val="04A0" w:firstRow="1" w:lastRow="0" w:firstColumn="1" w:lastColumn="0" w:noHBand="0" w:noVBand="1"/>
        </w:tblPrEx>
        <w:trPr>
          <w:trHeight w:val="20"/>
        </w:trPr>
        <w:tc>
          <w:tcPr>
            <w:tcW w:w="1620" w:type="dxa"/>
            <w:tcBorders>
              <w:top w:val="nil"/>
              <w:left w:val="nil"/>
              <w:bottom w:val="nil"/>
              <w:right w:val="nil"/>
            </w:tcBorders>
            <w:shd w:val="clear" w:color="auto" w:fill="auto"/>
            <w:noWrap/>
            <w:vAlign w:val="bottom"/>
            <w:hideMark/>
          </w:tcPr>
          <w:p w:rsidR="00AE171B" w:rsidRPr="00B773B5" w:rsidRDefault="00AE171B" w:rsidP="000339B0">
            <w:pPr>
              <w:widowControl/>
              <w:spacing w:before="0" w:after="0" w:line="240" w:lineRule="auto"/>
              <w:ind w:firstLine="0"/>
              <w:jc w:val="left"/>
              <w:rPr>
                <w:rFonts w:asciiTheme="majorBidi" w:eastAsia="Times New Roman" w:hAnsiTheme="majorBidi" w:cstheme="majorBidi"/>
                <w:kern w:val="0"/>
                <w:sz w:val="20"/>
                <w:szCs w:val="20"/>
                <w:lang w:val="en-GB" w:eastAsia="en-GB"/>
              </w:rPr>
            </w:pPr>
            <w:r w:rsidRPr="00B773B5">
              <w:rPr>
                <w:rFonts w:asciiTheme="majorBidi" w:eastAsia="Times New Roman" w:hAnsiTheme="majorBidi" w:cstheme="majorBidi"/>
                <w:kern w:val="0"/>
                <w:sz w:val="20"/>
                <w:szCs w:val="20"/>
                <w:lang w:val="en-GB" w:eastAsia="en-GB"/>
              </w:rPr>
              <w:t>Intercept</w:t>
            </w:r>
          </w:p>
        </w:tc>
        <w:tc>
          <w:tcPr>
            <w:tcW w:w="108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kern w:val="0"/>
                <w:sz w:val="20"/>
                <w:szCs w:val="20"/>
                <w:lang w:val="en-GB" w:eastAsia="en-GB"/>
              </w:rPr>
            </w:pPr>
            <w:r w:rsidRPr="000339B0">
              <w:rPr>
                <w:rFonts w:eastAsia="Times New Roman"/>
                <w:kern w:val="0"/>
                <w:sz w:val="20"/>
                <w:szCs w:val="20"/>
                <w:lang w:val="en-GB" w:eastAsia="en-GB"/>
              </w:rPr>
              <w:t>-0.156</w:t>
            </w:r>
          </w:p>
        </w:tc>
        <w:tc>
          <w:tcPr>
            <w:tcW w:w="90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color w:val="000000"/>
                <w:kern w:val="0"/>
                <w:sz w:val="20"/>
                <w:szCs w:val="20"/>
                <w:lang w:val="en-GB" w:eastAsia="en-GB"/>
              </w:rPr>
            </w:pPr>
            <w:r w:rsidRPr="000339B0">
              <w:rPr>
                <w:rFonts w:eastAsia="Times New Roman"/>
                <w:color w:val="000000"/>
                <w:kern w:val="0"/>
                <w:sz w:val="20"/>
                <w:szCs w:val="20"/>
                <w:lang w:val="en-GB" w:eastAsia="en-GB"/>
              </w:rPr>
              <w:t>-0.24</w:t>
            </w:r>
          </w:p>
        </w:tc>
        <w:tc>
          <w:tcPr>
            <w:tcW w:w="81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kern w:val="0"/>
                <w:sz w:val="20"/>
                <w:szCs w:val="20"/>
                <w:lang w:val="en-GB" w:eastAsia="en-GB"/>
              </w:rPr>
            </w:pPr>
            <w:r w:rsidRPr="000339B0">
              <w:rPr>
                <w:rFonts w:eastAsia="Times New Roman"/>
                <w:kern w:val="0"/>
                <w:sz w:val="20"/>
                <w:szCs w:val="20"/>
                <w:lang w:val="en-GB" w:eastAsia="en-GB"/>
              </w:rPr>
              <w:t>-0.390</w:t>
            </w:r>
          </w:p>
        </w:tc>
        <w:tc>
          <w:tcPr>
            <w:tcW w:w="99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kern w:val="0"/>
                <w:sz w:val="20"/>
                <w:szCs w:val="20"/>
                <w:lang w:val="en-GB" w:eastAsia="en-GB"/>
              </w:rPr>
            </w:pPr>
            <w:r w:rsidRPr="000339B0">
              <w:rPr>
                <w:rFonts w:eastAsia="Times New Roman"/>
                <w:kern w:val="0"/>
                <w:sz w:val="20"/>
                <w:szCs w:val="20"/>
                <w:lang w:val="en-GB" w:eastAsia="en-GB"/>
              </w:rPr>
              <w:t>-0.610</w:t>
            </w:r>
          </w:p>
        </w:tc>
        <w:tc>
          <w:tcPr>
            <w:tcW w:w="81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kern w:val="0"/>
                <w:sz w:val="20"/>
                <w:szCs w:val="20"/>
                <w:lang w:val="en-GB" w:eastAsia="en-GB"/>
              </w:rPr>
            </w:pPr>
            <w:r w:rsidRPr="000339B0">
              <w:rPr>
                <w:rFonts w:eastAsia="Times New Roman"/>
                <w:kern w:val="0"/>
                <w:sz w:val="20"/>
                <w:szCs w:val="20"/>
                <w:lang w:val="en-GB" w:eastAsia="en-GB"/>
              </w:rPr>
              <w:t>-0.003</w:t>
            </w:r>
          </w:p>
        </w:tc>
        <w:tc>
          <w:tcPr>
            <w:tcW w:w="99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kern w:val="0"/>
                <w:sz w:val="20"/>
                <w:szCs w:val="20"/>
                <w:lang w:val="en-GB" w:eastAsia="en-GB"/>
              </w:rPr>
            </w:pPr>
            <w:r w:rsidRPr="000339B0">
              <w:rPr>
                <w:rFonts w:eastAsia="Times New Roman"/>
                <w:kern w:val="0"/>
                <w:sz w:val="20"/>
                <w:szCs w:val="20"/>
                <w:lang w:val="en-GB" w:eastAsia="en-GB"/>
              </w:rPr>
              <w:t>-0.610</w:t>
            </w:r>
          </w:p>
        </w:tc>
        <w:tc>
          <w:tcPr>
            <w:tcW w:w="81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kern w:val="0"/>
                <w:sz w:val="20"/>
                <w:szCs w:val="20"/>
                <w:lang w:val="en-GB" w:eastAsia="en-GB"/>
              </w:rPr>
            </w:pPr>
            <w:r w:rsidRPr="000339B0">
              <w:rPr>
                <w:rFonts w:eastAsia="Times New Roman"/>
                <w:kern w:val="0"/>
                <w:sz w:val="20"/>
                <w:szCs w:val="20"/>
                <w:lang w:val="en-GB" w:eastAsia="en-GB"/>
              </w:rPr>
              <w:t>-0.657</w:t>
            </w:r>
          </w:p>
        </w:tc>
        <w:tc>
          <w:tcPr>
            <w:tcW w:w="99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kern w:val="0"/>
                <w:sz w:val="20"/>
                <w:szCs w:val="20"/>
                <w:lang w:val="en-GB" w:eastAsia="en-GB"/>
              </w:rPr>
            </w:pPr>
            <w:r w:rsidRPr="000339B0">
              <w:rPr>
                <w:rFonts w:eastAsia="Times New Roman"/>
                <w:kern w:val="0"/>
                <w:sz w:val="20"/>
                <w:szCs w:val="20"/>
                <w:lang w:val="en-GB" w:eastAsia="en-GB"/>
              </w:rPr>
              <w:t>-1.030</w:t>
            </w:r>
          </w:p>
        </w:tc>
      </w:tr>
      <w:tr w:rsidR="00AE171B" w:rsidRPr="00B773B5" w:rsidTr="000339B0">
        <w:tblPrEx>
          <w:tblBorders>
            <w:top w:val="none" w:sz="0" w:space="0" w:color="auto"/>
            <w:bottom w:val="none" w:sz="0" w:space="0" w:color="auto"/>
          </w:tblBorders>
          <w:tblLook w:val="04A0" w:firstRow="1" w:lastRow="0" w:firstColumn="1" w:lastColumn="0" w:noHBand="0" w:noVBand="1"/>
        </w:tblPrEx>
        <w:trPr>
          <w:trHeight w:val="20"/>
        </w:trPr>
        <w:tc>
          <w:tcPr>
            <w:tcW w:w="1620" w:type="dxa"/>
            <w:tcBorders>
              <w:top w:val="nil"/>
              <w:left w:val="nil"/>
              <w:bottom w:val="nil"/>
              <w:right w:val="nil"/>
            </w:tcBorders>
            <w:shd w:val="clear" w:color="auto" w:fill="auto"/>
            <w:noWrap/>
            <w:vAlign w:val="bottom"/>
            <w:hideMark/>
          </w:tcPr>
          <w:p w:rsidR="00AE171B" w:rsidRPr="00B773B5" w:rsidRDefault="00AE171B" w:rsidP="000339B0">
            <w:pPr>
              <w:widowControl/>
              <w:spacing w:before="0" w:after="0" w:line="240" w:lineRule="auto"/>
              <w:ind w:firstLine="0"/>
              <w:jc w:val="left"/>
              <w:rPr>
                <w:rFonts w:asciiTheme="majorBidi" w:eastAsia="Times New Roman" w:hAnsiTheme="majorBidi" w:cstheme="majorBidi"/>
                <w:kern w:val="0"/>
                <w:sz w:val="20"/>
                <w:szCs w:val="20"/>
                <w:lang w:val="en-GB" w:eastAsia="en-GB"/>
              </w:rPr>
            </w:pPr>
          </w:p>
        </w:tc>
        <w:tc>
          <w:tcPr>
            <w:tcW w:w="108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i/>
                <w:iCs/>
                <w:kern w:val="0"/>
                <w:sz w:val="18"/>
                <w:szCs w:val="18"/>
                <w:lang w:val="en-GB" w:eastAsia="en-GB"/>
              </w:rPr>
            </w:pPr>
          </w:p>
        </w:tc>
        <w:tc>
          <w:tcPr>
            <w:tcW w:w="90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i/>
                <w:iCs/>
                <w:color w:val="000000"/>
                <w:kern w:val="0"/>
                <w:sz w:val="18"/>
                <w:szCs w:val="18"/>
                <w:lang w:val="en-GB" w:eastAsia="en-GB"/>
              </w:rPr>
            </w:pPr>
            <w:r w:rsidRPr="000339B0">
              <w:rPr>
                <w:rFonts w:eastAsia="Times New Roman"/>
                <w:i/>
                <w:iCs/>
                <w:color w:val="000000"/>
                <w:kern w:val="0"/>
                <w:sz w:val="18"/>
                <w:szCs w:val="18"/>
                <w:lang w:val="en-GB" w:eastAsia="en-GB"/>
              </w:rPr>
              <w:t>0.814</w:t>
            </w:r>
          </w:p>
        </w:tc>
        <w:tc>
          <w:tcPr>
            <w:tcW w:w="81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i/>
                <w:iCs/>
                <w:color w:val="000000"/>
                <w:kern w:val="0"/>
                <w:sz w:val="18"/>
                <w:szCs w:val="18"/>
                <w:lang w:val="en-GB" w:eastAsia="en-GB"/>
              </w:rPr>
            </w:pPr>
          </w:p>
        </w:tc>
        <w:tc>
          <w:tcPr>
            <w:tcW w:w="99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i/>
                <w:iCs/>
                <w:color w:val="000000"/>
                <w:kern w:val="0"/>
                <w:sz w:val="18"/>
                <w:szCs w:val="18"/>
                <w:lang w:val="en-GB" w:eastAsia="en-GB"/>
              </w:rPr>
            </w:pPr>
            <w:r w:rsidRPr="000339B0">
              <w:rPr>
                <w:rFonts w:eastAsia="Times New Roman"/>
                <w:i/>
                <w:iCs/>
                <w:color w:val="000000"/>
                <w:kern w:val="0"/>
                <w:sz w:val="18"/>
                <w:szCs w:val="18"/>
                <w:lang w:val="en-GB" w:eastAsia="en-GB"/>
              </w:rPr>
              <w:t>0.55</w:t>
            </w:r>
          </w:p>
        </w:tc>
        <w:tc>
          <w:tcPr>
            <w:tcW w:w="81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i/>
                <w:iCs/>
                <w:color w:val="000000"/>
                <w:kern w:val="0"/>
                <w:sz w:val="18"/>
                <w:szCs w:val="18"/>
                <w:lang w:val="en-GB" w:eastAsia="en-GB"/>
              </w:rPr>
            </w:pPr>
          </w:p>
        </w:tc>
        <w:tc>
          <w:tcPr>
            <w:tcW w:w="99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i/>
                <w:iCs/>
                <w:color w:val="000000"/>
                <w:kern w:val="0"/>
                <w:sz w:val="18"/>
                <w:szCs w:val="18"/>
                <w:lang w:val="en-GB" w:eastAsia="en-GB"/>
              </w:rPr>
            </w:pPr>
            <w:r w:rsidRPr="000339B0">
              <w:rPr>
                <w:rFonts w:eastAsia="Times New Roman"/>
                <w:i/>
                <w:iCs/>
                <w:color w:val="000000"/>
                <w:kern w:val="0"/>
                <w:sz w:val="18"/>
                <w:szCs w:val="18"/>
                <w:lang w:val="en-GB" w:eastAsia="en-GB"/>
              </w:rPr>
              <w:t>0.997</w:t>
            </w:r>
          </w:p>
        </w:tc>
        <w:tc>
          <w:tcPr>
            <w:tcW w:w="81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i/>
                <w:iCs/>
                <w:color w:val="000000"/>
                <w:kern w:val="0"/>
                <w:sz w:val="18"/>
                <w:szCs w:val="18"/>
                <w:lang w:val="en-GB" w:eastAsia="en-GB"/>
              </w:rPr>
            </w:pPr>
          </w:p>
        </w:tc>
        <w:tc>
          <w:tcPr>
            <w:tcW w:w="99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i/>
                <w:iCs/>
                <w:color w:val="000000"/>
                <w:kern w:val="0"/>
                <w:sz w:val="18"/>
                <w:szCs w:val="18"/>
                <w:lang w:val="en-GB" w:eastAsia="en-GB"/>
              </w:rPr>
            </w:pPr>
            <w:r w:rsidRPr="000339B0">
              <w:rPr>
                <w:rFonts w:eastAsia="Times New Roman"/>
                <w:i/>
                <w:iCs/>
                <w:color w:val="000000"/>
                <w:kern w:val="0"/>
                <w:sz w:val="18"/>
                <w:szCs w:val="18"/>
                <w:lang w:val="en-GB" w:eastAsia="en-GB"/>
              </w:rPr>
              <w:t>0.315</w:t>
            </w:r>
          </w:p>
        </w:tc>
      </w:tr>
      <w:tr w:rsidR="00AE171B" w:rsidRPr="00B773B5" w:rsidTr="000339B0">
        <w:tblPrEx>
          <w:tblBorders>
            <w:top w:val="none" w:sz="0" w:space="0" w:color="auto"/>
            <w:bottom w:val="none" w:sz="0" w:space="0" w:color="auto"/>
          </w:tblBorders>
          <w:tblLook w:val="04A0" w:firstRow="1" w:lastRow="0" w:firstColumn="1" w:lastColumn="0" w:noHBand="0" w:noVBand="1"/>
        </w:tblPrEx>
        <w:trPr>
          <w:trHeight w:val="20"/>
        </w:trPr>
        <w:tc>
          <w:tcPr>
            <w:tcW w:w="1620" w:type="dxa"/>
            <w:tcBorders>
              <w:top w:val="nil"/>
              <w:left w:val="nil"/>
              <w:bottom w:val="nil"/>
              <w:right w:val="nil"/>
            </w:tcBorders>
            <w:shd w:val="clear" w:color="auto" w:fill="auto"/>
            <w:noWrap/>
            <w:vAlign w:val="bottom"/>
            <w:hideMark/>
          </w:tcPr>
          <w:p w:rsidR="00AE171B" w:rsidRPr="00B773B5" w:rsidRDefault="00AE171B" w:rsidP="000339B0">
            <w:pPr>
              <w:widowControl/>
              <w:spacing w:before="0" w:after="0" w:line="240" w:lineRule="auto"/>
              <w:ind w:firstLine="0"/>
              <w:jc w:val="left"/>
              <w:rPr>
                <w:rFonts w:asciiTheme="majorBidi" w:eastAsia="Times New Roman" w:hAnsiTheme="majorBidi" w:cstheme="majorBidi"/>
                <w:kern w:val="0"/>
                <w:sz w:val="20"/>
                <w:szCs w:val="20"/>
                <w:lang w:val="en-GB" w:eastAsia="en-GB"/>
              </w:rPr>
            </w:pPr>
            <w:r w:rsidRPr="00B773B5">
              <w:rPr>
                <w:rFonts w:asciiTheme="majorBidi" w:eastAsia="Times New Roman" w:hAnsiTheme="majorBidi" w:cstheme="majorBidi"/>
                <w:kern w:val="0"/>
                <w:sz w:val="20"/>
                <w:szCs w:val="20"/>
                <w:lang w:val="en-GB" w:eastAsia="en-GB"/>
              </w:rPr>
              <w:t>RNOA</w:t>
            </w:r>
          </w:p>
        </w:tc>
        <w:tc>
          <w:tcPr>
            <w:tcW w:w="108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kern w:val="0"/>
                <w:sz w:val="20"/>
                <w:szCs w:val="20"/>
                <w:lang w:val="en-GB" w:eastAsia="en-GB"/>
              </w:rPr>
            </w:pPr>
            <w:r w:rsidRPr="000339B0">
              <w:rPr>
                <w:rFonts w:eastAsia="Times New Roman"/>
                <w:kern w:val="0"/>
                <w:sz w:val="20"/>
                <w:szCs w:val="20"/>
                <w:lang w:val="en-GB" w:eastAsia="en-GB"/>
              </w:rPr>
              <w:t>-0.418</w:t>
            </w:r>
          </w:p>
        </w:tc>
        <w:tc>
          <w:tcPr>
            <w:tcW w:w="90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b/>
                <w:bCs/>
                <w:kern w:val="0"/>
                <w:sz w:val="20"/>
                <w:szCs w:val="20"/>
                <w:lang w:val="en-GB" w:eastAsia="en-GB"/>
              </w:rPr>
            </w:pPr>
            <w:r w:rsidRPr="000339B0">
              <w:rPr>
                <w:rFonts w:eastAsia="Times New Roman"/>
                <w:b/>
                <w:bCs/>
                <w:kern w:val="0"/>
                <w:sz w:val="20"/>
                <w:szCs w:val="20"/>
                <w:lang w:val="en-GB" w:eastAsia="en-GB"/>
              </w:rPr>
              <w:t>-3.300</w:t>
            </w:r>
          </w:p>
        </w:tc>
        <w:tc>
          <w:tcPr>
            <w:tcW w:w="81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kern w:val="0"/>
                <w:sz w:val="20"/>
                <w:szCs w:val="20"/>
                <w:lang w:val="en-GB" w:eastAsia="en-GB"/>
              </w:rPr>
            </w:pPr>
            <w:r w:rsidRPr="000339B0">
              <w:rPr>
                <w:rFonts w:eastAsia="Times New Roman"/>
                <w:kern w:val="0"/>
                <w:sz w:val="20"/>
                <w:szCs w:val="20"/>
                <w:lang w:val="en-GB" w:eastAsia="en-GB"/>
              </w:rPr>
              <w:t>-0.423</w:t>
            </w:r>
          </w:p>
        </w:tc>
        <w:tc>
          <w:tcPr>
            <w:tcW w:w="99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b/>
                <w:bCs/>
                <w:kern w:val="0"/>
                <w:sz w:val="20"/>
                <w:szCs w:val="20"/>
                <w:lang w:val="en-GB" w:eastAsia="en-GB"/>
              </w:rPr>
            </w:pPr>
            <w:r w:rsidRPr="000339B0">
              <w:rPr>
                <w:rFonts w:eastAsia="Times New Roman"/>
                <w:b/>
                <w:bCs/>
                <w:kern w:val="0"/>
                <w:sz w:val="20"/>
                <w:szCs w:val="20"/>
                <w:lang w:val="en-GB" w:eastAsia="en-GB"/>
              </w:rPr>
              <w:t>-3.480</w:t>
            </w:r>
          </w:p>
        </w:tc>
        <w:tc>
          <w:tcPr>
            <w:tcW w:w="81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kern w:val="0"/>
                <w:sz w:val="20"/>
                <w:szCs w:val="20"/>
                <w:lang w:val="en-GB" w:eastAsia="en-GB"/>
              </w:rPr>
            </w:pPr>
            <w:r w:rsidRPr="000339B0">
              <w:rPr>
                <w:rFonts w:eastAsia="Times New Roman"/>
                <w:kern w:val="0"/>
                <w:sz w:val="20"/>
                <w:szCs w:val="20"/>
                <w:lang w:val="en-GB" w:eastAsia="en-GB"/>
              </w:rPr>
              <w:t>-0.408</w:t>
            </w:r>
          </w:p>
        </w:tc>
        <w:tc>
          <w:tcPr>
            <w:tcW w:w="99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kern w:val="0"/>
                <w:sz w:val="20"/>
                <w:szCs w:val="20"/>
                <w:lang w:val="en-GB" w:eastAsia="en-GB"/>
              </w:rPr>
            </w:pPr>
            <w:r w:rsidRPr="000339B0">
              <w:rPr>
                <w:rFonts w:eastAsia="Times New Roman"/>
                <w:kern w:val="0"/>
                <w:sz w:val="20"/>
                <w:szCs w:val="20"/>
                <w:lang w:val="en-GB" w:eastAsia="en-GB"/>
              </w:rPr>
              <w:t>-3.150</w:t>
            </w:r>
          </w:p>
        </w:tc>
        <w:tc>
          <w:tcPr>
            <w:tcW w:w="81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kern w:val="0"/>
                <w:sz w:val="20"/>
                <w:szCs w:val="20"/>
                <w:lang w:val="en-GB" w:eastAsia="en-GB"/>
              </w:rPr>
            </w:pPr>
            <w:r w:rsidRPr="000339B0">
              <w:rPr>
                <w:rFonts w:eastAsia="Times New Roman"/>
                <w:kern w:val="0"/>
                <w:sz w:val="20"/>
                <w:szCs w:val="20"/>
                <w:lang w:val="en-GB" w:eastAsia="en-GB"/>
              </w:rPr>
              <w:t>-3.810</w:t>
            </w:r>
          </w:p>
        </w:tc>
        <w:tc>
          <w:tcPr>
            <w:tcW w:w="99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b/>
                <w:bCs/>
                <w:kern w:val="0"/>
                <w:sz w:val="20"/>
                <w:szCs w:val="20"/>
                <w:lang w:val="en-GB" w:eastAsia="en-GB"/>
              </w:rPr>
            </w:pPr>
            <w:r w:rsidRPr="000339B0">
              <w:rPr>
                <w:rFonts w:eastAsia="Times New Roman"/>
                <w:b/>
                <w:bCs/>
                <w:kern w:val="0"/>
                <w:sz w:val="20"/>
                <w:szCs w:val="20"/>
                <w:lang w:val="en-GB" w:eastAsia="en-GB"/>
              </w:rPr>
              <w:t>-4.440</w:t>
            </w:r>
          </w:p>
        </w:tc>
      </w:tr>
      <w:tr w:rsidR="00AE171B" w:rsidRPr="00B773B5" w:rsidTr="000339B0">
        <w:tblPrEx>
          <w:tblBorders>
            <w:top w:val="none" w:sz="0" w:space="0" w:color="auto"/>
            <w:bottom w:val="none" w:sz="0" w:space="0" w:color="auto"/>
          </w:tblBorders>
          <w:tblLook w:val="04A0" w:firstRow="1" w:lastRow="0" w:firstColumn="1" w:lastColumn="0" w:noHBand="0" w:noVBand="1"/>
        </w:tblPrEx>
        <w:trPr>
          <w:trHeight w:val="20"/>
        </w:trPr>
        <w:tc>
          <w:tcPr>
            <w:tcW w:w="1620" w:type="dxa"/>
            <w:tcBorders>
              <w:top w:val="nil"/>
              <w:left w:val="nil"/>
              <w:bottom w:val="nil"/>
              <w:right w:val="nil"/>
            </w:tcBorders>
            <w:shd w:val="clear" w:color="auto" w:fill="auto"/>
            <w:noWrap/>
            <w:vAlign w:val="bottom"/>
            <w:hideMark/>
          </w:tcPr>
          <w:p w:rsidR="00AE171B" w:rsidRPr="00B773B5" w:rsidRDefault="00AE171B" w:rsidP="000339B0">
            <w:pPr>
              <w:widowControl/>
              <w:spacing w:before="0" w:after="0" w:line="240" w:lineRule="auto"/>
              <w:ind w:firstLine="0"/>
              <w:jc w:val="left"/>
              <w:rPr>
                <w:rFonts w:asciiTheme="majorBidi" w:eastAsia="Times New Roman" w:hAnsiTheme="majorBidi" w:cstheme="majorBidi"/>
                <w:kern w:val="0"/>
                <w:sz w:val="20"/>
                <w:szCs w:val="20"/>
                <w:lang w:val="en-GB" w:eastAsia="en-GB"/>
              </w:rPr>
            </w:pPr>
          </w:p>
        </w:tc>
        <w:tc>
          <w:tcPr>
            <w:tcW w:w="108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kern w:val="0"/>
                <w:sz w:val="20"/>
                <w:szCs w:val="20"/>
                <w:lang w:val="en-GB" w:eastAsia="en-GB"/>
              </w:rPr>
            </w:pPr>
          </w:p>
        </w:tc>
        <w:tc>
          <w:tcPr>
            <w:tcW w:w="90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b/>
                <w:bCs/>
                <w:i/>
                <w:iCs/>
                <w:color w:val="000000"/>
                <w:kern w:val="0"/>
                <w:sz w:val="18"/>
                <w:szCs w:val="18"/>
                <w:lang w:val="en-GB" w:eastAsia="en-GB"/>
              </w:rPr>
            </w:pPr>
            <w:r w:rsidRPr="000339B0">
              <w:rPr>
                <w:rFonts w:eastAsia="Times New Roman"/>
                <w:b/>
                <w:bCs/>
                <w:i/>
                <w:iCs/>
                <w:color w:val="000000"/>
                <w:kern w:val="0"/>
                <w:sz w:val="18"/>
                <w:szCs w:val="18"/>
                <w:lang w:val="en-GB" w:eastAsia="en-GB"/>
              </w:rPr>
              <w:t>0.003</w:t>
            </w:r>
          </w:p>
        </w:tc>
        <w:tc>
          <w:tcPr>
            <w:tcW w:w="81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i/>
                <w:iCs/>
                <w:color w:val="000000"/>
                <w:kern w:val="0"/>
                <w:sz w:val="18"/>
                <w:szCs w:val="18"/>
                <w:lang w:val="en-GB" w:eastAsia="en-GB"/>
              </w:rPr>
            </w:pPr>
          </w:p>
        </w:tc>
        <w:tc>
          <w:tcPr>
            <w:tcW w:w="99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b/>
                <w:bCs/>
                <w:i/>
                <w:iCs/>
                <w:color w:val="000000"/>
                <w:kern w:val="0"/>
                <w:sz w:val="18"/>
                <w:szCs w:val="18"/>
                <w:lang w:val="en-GB" w:eastAsia="en-GB"/>
              </w:rPr>
            </w:pPr>
            <w:r w:rsidRPr="000339B0">
              <w:rPr>
                <w:rFonts w:eastAsia="Times New Roman"/>
                <w:b/>
                <w:bCs/>
                <w:i/>
                <w:iCs/>
                <w:color w:val="000000"/>
                <w:kern w:val="0"/>
                <w:sz w:val="18"/>
                <w:szCs w:val="18"/>
                <w:lang w:val="en-GB" w:eastAsia="en-GB"/>
              </w:rPr>
              <w:t>0.002</w:t>
            </w:r>
          </w:p>
        </w:tc>
        <w:tc>
          <w:tcPr>
            <w:tcW w:w="81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i/>
                <w:iCs/>
                <w:color w:val="000000"/>
                <w:kern w:val="0"/>
                <w:sz w:val="18"/>
                <w:szCs w:val="18"/>
                <w:lang w:val="en-GB" w:eastAsia="en-GB"/>
              </w:rPr>
            </w:pPr>
          </w:p>
        </w:tc>
        <w:tc>
          <w:tcPr>
            <w:tcW w:w="99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i/>
                <w:iCs/>
                <w:color w:val="000000"/>
                <w:kern w:val="0"/>
                <w:sz w:val="18"/>
                <w:szCs w:val="18"/>
                <w:lang w:val="en-GB" w:eastAsia="en-GB"/>
              </w:rPr>
            </w:pPr>
            <w:r w:rsidRPr="000339B0">
              <w:rPr>
                <w:rFonts w:eastAsia="Times New Roman"/>
                <w:i/>
                <w:iCs/>
                <w:color w:val="000000"/>
                <w:kern w:val="0"/>
                <w:sz w:val="18"/>
                <w:szCs w:val="18"/>
                <w:lang w:val="en-GB" w:eastAsia="en-GB"/>
              </w:rPr>
              <w:t>0.004</w:t>
            </w:r>
          </w:p>
        </w:tc>
        <w:tc>
          <w:tcPr>
            <w:tcW w:w="81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i/>
                <w:iCs/>
                <w:kern w:val="0"/>
                <w:sz w:val="18"/>
                <w:szCs w:val="18"/>
                <w:lang w:val="en-GB" w:eastAsia="en-GB"/>
              </w:rPr>
            </w:pPr>
          </w:p>
        </w:tc>
        <w:tc>
          <w:tcPr>
            <w:tcW w:w="99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b/>
                <w:bCs/>
                <w:i/>
                <w:iCs/>
                <w:kern w:val="0"/>
                <w:sz w:val="18"/>
                <w:szCs w:val="18"/>
                <w:lang w:val="en-GB" w:eastAsia="en-GB"/>
              </w:rPr>
            </w:pPr>
            <w:r w:rsidRPr="000339B0">
              <w:rPr>
                <w:rFonts w:eastAsia="Times New Roman"/>
                <w:b/>
                <w:bCs/>
                <w:i/>
                <w:iCs/>
                <w:color w:val="000000"/>
                <w:kern w:val="0"/>
                <w:sz w:val="18"/>
                <w:szCs w:val="18"/>
                <w:lang w:val="en-GB" w:eastAsia="en-GB"/>
              </w:rPr>
              <w:t>0.001</w:t>
            </w:r>
          </w:p>
        </w:tc>
      </w:tr>
      <w:tr w:rsidR="00AE171B" w:rsidRPr="00B773B5" w:rsidTr="000339B0">
        <w:tblPrEx>
          <w:tblBorders>
            <w:top w:val="none" w:sz="0" w:space="0" w:color="auto"/>
            <w:bottom w:val="none" w:sz="0" w:space="0" w:color="auto"/>
          </w:tblBorders>
          <w:tblLook w:val="04A0" w:firstRow="1" w:lastRow="0" w:firstColumn="1" w:lastColumn="0" w:noHBand="0" w:noVBand="1"/>
        </w:tblPrEx>
        <w:trPr>
          <w:trHeight w:val="20"/>
        </w:trPr>
        <w:tc>
          <w:tcPr>
            <w:tcW w:w="1620" w:type="dxa"/>
            <w:tcBorders>
              <w:top w:val="nil"/>
              <w:left w:val="nil"/>
              <w:bottom w:val="nil"/>
              <w:right w:val="nil"/>
            </w:tcBorders>
            <w:shd w:val="clear" w:color="auto" w:fill="auto"/>
            <w:noWrap/>
            <w:vAlign w:val="bottom"/>
            <w:hideMark/>
          </w:tcPr>
          <w:p w:rsidR="00AE171B" w:rsidRPr="00B773B5" w:rsidRDefault="00AE171B" w:rsidP="000339B0">
            <w:pPr>
              <w:widowControl/>
              <w:spacing w:before="0" w:after="0" w:line="240" w:lineRule="auto"/>
              <w:ind w:firstLine="0"/>
              <w:jc w:val="left"/>
              <w:rPr>
                <w:rFonts w:asciiTheme="majorBidi" w:eastAsia="Times New Roman" w:hAnsiTheme="majorBidi" w:cstheme="majorBidi"/>
                <w:kern w:val="0"/>
                <w:sz w:val="20"/>
                <w:szCs w:val="20"/>
                <w:lang w:val="en-GB" w:eastAsia="en-GB"/>
              </w:rPr>
            </w:pPr>
            <w:r w:rsidRPr="00B773B5">
              <w:rPr>
                <w:rFonts w:asciiTheme="majorBidi" w:eastAsia="Times New Roman" w:hAnsiTheme="majorBidi" w:cstheme="majorBidi"/>
                <w:kern w:val="0"/>
                <w:sz w:val="20"/>
                <w:szCs w:val="20"/>
                <w:lang w:val="en-GB" w:eastAsia="en-GB"/>
              </w:rPr>
              <w:t>SG</w:t>
            </w:r>
          </w:p>
        </w:tc>
        <w:tc>
          <w:tcPr>
            <w:tcW w:w="108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kern w:val="0"/>
                <w:sz w:val="20"/>
                <w:szCs w:val="20"/>
                <w:lang w:val="en-GB" w:eastAsia="en-GB"/>
              </w:rPr>
            </w:pPr>
          </w:p>
        </w:tc>
        <w:tc>
          <w:tcPr>
            <w:tcW w:w="90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b/>
                <w:bCs/>
                <w:kern w:val="0"/>
                <w:sz w:val="20"/>
                <w:szCs w:val="20"/>
                <w:lang w:val="en-GB" w:eastAsia="en-GB"/>
              </w:rPr>
            </w:pPr>
          </w:p>
        </w:tc>
        <w:tc>
          <w:tcPr>
            <w:tcW w:w="81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kern w:val="0"/>
                <w:sz w:val="20"/>
                <w:szCs w:val="20"/>
                <w:lang w:val="en-GB" w:eastAsia="en-GB"/>
              </w:rPr>
            </w:pPr>
            <w:r w:rsidRPr="000339B0">
              <w:rPr>
                <w:rFonts w:eastAsia="Times New Roman"/>
                <w:kern w:val="0"/>
                <w:sz w:val="20"/>
                <w:szCs w:val="20"/>
                <w:lang w:val="en-GB" w:eastAsia="en-GB"/>
              </w:rPr>
              <w:t>0.237</w:t>
            </w:r>
          </w:p>
        </w:tc>
        <w:tc>
          <w:tcPr>
            <w:tcW w:w="99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kern w:val="0"/>
                <w:sz w:val="20"/>
                <w:szCs w:val="20"/>
                <w:lang w:val="en-GB" w:eastAsia="en-GB"/>
              </w:rPr>
            </w:pPr>
            <w:r w:rsidRPr="000339B0">
              <w:rPr>
                <w:rFonts w:eastAsia="Times New Roman"/>
                <w:kern w:val="0"/>
                <w:sz w:val="20"/>
                <w:szCs w:val="20"/>
                <w:lang w:val="en-GB" w:eastAsia="en-GB"/>
              </w:rPr>
              <w:t>1.800</w:t>
            </w:r>
          </w:p>
        </w:tc>
        <w:tc>
          <w:tcPr>
            <w:tcW w:w="81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kern w:val="0"/>
                <w:sz w:val="20"/>
                <w:szCs w:val="20"/>
                <w:lang w:val="en-GB" w:eastAsia="en-GB"/>
              </w:rPr>
            </w:pPr>
          </w:p>
        </w:tc>
        <w:tc>
          <w:tcPr>
            <w:tcW w:w="99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kern w:val="0"/>
                <w:sz w:val="20"/>
                <w:szCs w:val="20"/>
                <w:lang w:val="en-GB" w:eastAsia="en-GB"/>
              </w:rPr>
            </w:pPr>
          </w:p>
        </w:tc>
        <w:tc>
          <w:tcPr>
            <w:tcW w:w="81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kern w:val="0"/>
                <w:sz w:val="20"/>
                <w:szCs w:val="20"/>
                <w:lang w:val="en-GB" w:eastAsia="en-GB"/>
              </w:rPr>
            </w:pPr>
          </w:p>
        </w:tc>
        <w:tc>
          <w:tcPr>
            <w:tcW w:w="99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color w:val="000000"/>
                <w:kern w:val="0"/>
                <w:sz w:val="20"/>
                <w:szCs w:val="20"/>
                <w:lang w:val="en-GB" w:eastAsia="en-GB"/>
              </w:rPr>
            </w:pPr>
          </w:p>
        </w:tc>
      </w:tr>
      <w:tr w:rsidR="00AE171B" w:rsidRPr="00B773B5" w:rsidTr="000339B0">
        <w:tblPrEx>
          <w:tblBorders>
            <w:top w:val="none" w:sz="0" w:space="0" w:color="auto"/>
            <w:bottom w:val="none" w:sz="0" w:space="0" w:color="auto"/>
          </w:tblBorders>
          <w:tblLook w:val="04A0" w:firstRow="1" w:lastRow="0" w:firstColumn="1" w:lastColumn="0" w:noHBand="0" w:noVBand="1"/>
        </w:tblPrEx>
        <w:trPr>
          <w:trHeight w:val="20"/>
        </w:trPr>
        <w:tc>
          <w:tcPr>
            <w:tcW w:w="1620" w:type="dxa"/>
            <w:tcBorders>
              <w:top w:val="nil"/>
              <w:left w:val="nil"/>
              <w:bottom w:val="nil"/>
              <w:right w:val="nil"/>
            </w:tcBorders>
            <w:shd w:val="clear" w:color="auto" w:fill="auto"/>
            <w:noWrap/>
            <w:vAlign w:val="bottom"/>
            <w:hideMark/>
          </w:tcPr>
          <w:p w:rsidR="00AE171B" w:rsidRPr="00B773B5" w:rsidRDefault="00AE171B" w:rsidP="000339B0">
            <w:pPr>
              <w:widowControl/>
              <w:spacing w:before="0" w:after="0" w:line="240" w:lineRule="auto"/>
              <w:ind w:firstLine="0"/>
              <w:jc w:val="left"/>
              <w:rPr>
                <w:rFonts w:asciiTheme="majorBidi" w:eastAsia="Times New Roman" w:hAnsiTheme="majorBidi" w:cstheme="majorBidi"/>
                <w:color w:val="000000"/>
                <w:kern w:val="0"/>
                <w:sz w:val="20"/>
                <w:szCs w:val="20"/>
                <w:lang w:val="en-GB" w:eastAsia="en-GB"/>
              </w:rPr>
            </w:pPr>
          </w:p>
        </w:tc>
        <w:tc>
          <w:tcPr>
            <w:tcW w:w="108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kern w:val="0"/>
                <w:sz w:val="20"/>
                <w:szCs w:val="20"/>
                <w:lang w:val="en-GB" w:eastAsia="en-GB"/>
              </w:rPr>
            </w:pPr>
          </w:p>
        </w:tc>
        <w:tc>
          <w:tcPr>
            <w:tcW w:w="90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kern w:val="0"/>
                <w:sz w:val="20"/>
                <w:szCs w:val="20"/>
                <w:lang w:val="en-GB" w:eastAsia="en-GB"/>
              </w:rPr>
            </w:pPr>
          </w:p>
        </w:tc>
        <w:tc>
          <w:tcPr>
            <w:tcW w:w="81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i/>
                <w:iCs/>
                <w:kern w:val="0"/>
                <w:sz w:val="18"/>
                <w:szCs w:val="18"/>
                <w:lang w:val="en-GB" w:eastAsia="en-GB"/>
              </w:rPr>
            </w:pPr>
          </w:p>
        </w:tc>
        <w:tc>
          <w:tcPr>
            <w:tcW w:w="99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i/>
                <w:iCs/>
                <w:color w:val="000000"/>
                <w:kern w:val="0"/>
                <w:sz w:val="18"/>
                <w:szCs w:val="18"/>
                <w:lang w:val="en-GB" w:eastAsia="en-GB"/>
              </w:rPr>
            </w:pPr>
            <w:r w:rsidRPr="000339B0">
              <w:rPr>
                <w:rFonts w:eastAsia="Times New Roman"/>
                <w:i/>
                <w:iCs/>
                <w:color w:val="000000"/>
                <w:kern w:val="0"/>
                <w:sz w:val="18"/>
                <w:szCs w:val="18"/>
                <w:lang w:val="en-GB" w:eastAsia="en-GB"/>
              </w:rPr>
              <w:t>0.085</w:t>
            </w:r>
          </w:p>
        </w:tc>
        <w:tc>
          <w:tcPr>
            <w:tcW w:w="81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i/>
                <w:iCs/>
                <w:color w:val="000000"/>
                <w:kern w:val="0"/>
                <w:sz w:val="18"/>
                <w:szCs w:val="18"/>
                <w:lang w:val="en-GB" w:eastAsia="en-GB"/>
              </w:rPr>
            </w:pPr>
          </w:p>
        </w:tc>
        <w:tc>
          <w:tcPr>
            <w:tcW w:w="99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i/>
                <w:iCs/>
                <w:kern w:val="0"/>
                <w:sz w:val="18"/>
                <w:szCs w:val="18"/>
                <w:lang w:val="en-GB" w:eastAsia="en-GB"/>
              </w:rPr>
            </w:pPr>
          </w:p>
        </w:tc>
        <w:tc>
          <w:tcPr>
            <w:tcW w:w="81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kern w:val="0"/>
                <w:sz w:val="20"/>
                <w:szCs w:val="20"/>
                <w:lang w:val="en-GB" w:eastAsia="en-GB"/>
              </w:rPr>
            </w:pPr>
          </w:p>
        </w:tc>
        <w:tc>
          <w:tcPr>
            <w:tcW w:w="99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kern w:val="0"/>
                <w:sz w:val="20"/>
                <w:szCs w:val="20"/>
                <w:lang w:val="en-GB" w:eastAsia="en-GB"/>
              </w:rPr>
            </w:pPr>
          </w:p>
        </w:tc>
      </w:tr>
      <w:tr w:rsidR="00AE171B" w:rsidRPr="00B773B5" w:rsidTr="000339B0">
        <w:tblPrEx>
          <w:tblBorders>
            <w:top w:val="none" w:sz="0" w:space="0" w:color="auto"/>
            <w:bottom w:val="none" w:sz="0" w:space="0" w:color="auto"/>
          </w:tblBorders>
          <w:tblLook w:val="04A0" w:firstRow="1" w:lastRow="0" w:firstColumn="1" w:lastColumn="0" w:noHBand="0" w:noVBand="1"/>
        </w:tblPrEx>
        <w:trPr>
          <w:trHeight w:val="20"/>
        </w:trPr>
        <w:tc>
          <w:tcPr>
            <w:tcW w:w="1620" w:type="dxa"/>
            <w:tcBorders>
              <w:top w:val="nil"/>
              <w:left w:val="nil"/>
              <w:bottom w:val="nil"/>
              <w:right w:val="nil"/>
            </w:tcBorders>
            <w:shd w:val="clear" w:color="auto" w:fill="auto"/>
            <w:noWrap/>
            <w:vAlign w:val="bottom"/>
            <w:hideMark/>
          </w:tcPr>
          <w:p w:rsidR="00AE171B" w:rsidRPr="00B773B5" w:rsidRDefault="00AE171B" w:rsidP="000339B0">
            <w:pPr>
              <w:widowControl/>
              <w:spacing w:before="0" w:after="0" w:line="240" w:lineRule="auto"/>
              <w:ind w:firstLine="0"/>
              <w:jc w:val="left"/>
              <w:rPr>
                <w:rFonts w:asciiTheme="majorBidi" w:eastAsia="Times New Roman" w:hAnsiTheme="majorBidi" w:cstheme="majorBidi"/>
                <w:kern w:val="0"/>
                <w:sz w:val="20"/>
                <w:szCs w:val="20"/>
                <w:lang w:val="en-GB" w:eastAsia="en-GB"/>
              </w:rPr>
            </w:pPr>
            <w:r w:rsidRPr="00B773B5">
              <w:rPr>
                <w:rFonts w:asciiTheme="majorBidi" w:eastAsia="Times New Roman" w:hAnsiTheme="majorBidi" w:cstheme="majorBidi"/>
                <w:kern w:val="0"/>
                <w:sz w:val="20"/>
                <w:szCs w:val="20"/>
                <w:lang w:val="en-GB" w:eastAsia="en-GB"/>
              </w:rPr>
              <w:t>AD</w:t>
            </w:r>
          </w:p>
        </w:tc>
        <w:tc>
          <w:tcPr>
            <w:tcW w:w="108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kern w:val="0"/>
                <w:sz w:val="20"/>
                <w:szCs w:val="20"/>
                <w:lang w:val="en-GB" w:eastAsia="en-GB"/>
              </w:rPr>
            </w:pPr>
          </w:p>
        </w:tc>
        <w:tc>
          <w:tcPr>
            <w:tcW w:w="90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kern w:val="0"/>
                <w:sz w:val="20"/>
                <w:szCs w:val="20"/>
                <w:lang w:val="en-GB" w:eastAsia="en-GB"/>
              </w:rPr>
            </w:pPr>
          </w:p>
        </w:tc>
        <w:tc>
          <w:tcPr>
            <w:tcW w:w="81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kern w:val="0"/>
                <w:sz w:val="20"/>
                <w:szCs w:val="20"/>
                <w:lang w:val="en-GB" w:eastAsia="en-GB"/>
              </w:rPr>
            </w:pPr>
          </w:p>
        </w:tc>
        <w:tc>
          <w:tcPr>
            <w:tcW w:w="99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kern w:val="0"/>
                <w:sz w:val="20"/>
                <w:szCs w:val="20"/>
                <w:lang w:val="en-GB" w:eastAsia="en-GB"/>
              </w:rPr>
            </w:pPr>
          </w:p>
        </w:tc>
        <w:tc>
          <w:tcPr>
            <w:tcW w:w="81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kern w:val="0"/>
                <w:sz w:val="20"/>
                <w:szCs w:val="20"/>
                <w:lang w:val="en-GB" w:eastAsia="en-GB"/>
              </w:rPr>
            </w:pPr>
            <w:r w:rsidRPr="000339B0">
              <w:rPr>
                <w:rFonts w:eastAsia="Times New Roman"/>
                <w:kern w:val="0"/>
                <w:sz w:val="20"/>
                <w:szCs w:val="20"/>
                <w:lang w:val="en-GB" w:eastAsia="en-GB"/>
              </w:rPr>
              <w:t>0.793</w:t>
            </w:r>
          </w:p>
        </w:tc>
        <w:tc>
          <w:tcPr>
            <w:tcW w:w="99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kern w:val="0"/>
                <w:sz w:val="20"/>
                <w:szCs w:val="20"/>
                <w:lang w:val="en-GB" w:eastAsia="en-GB"/>
              </w:rPr>
            </w:pPr>
            <w:r w:rsidRPr="000339B0">
              <w:rPr>
                <w:rFonts w:eastAsia="Times New Roman"/>
                <w:kern w:val="0"/>
                <w:sz w:val="20"/>
                <w:szCs w:val="20"/>
                <w:lang w:val="en-GB" w:eastAsia="en-GB"/>
              </w:rPr>
              <w:t>0.610</w:t>
            </w:r>
          </w:p>
        </w:tc>
        <w:tc>
          <w:tcPr>
            <w:tcW w:w="81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kern w:val="0"/>
                <w:sz w:val="20"/>
                <w:szCs w:val="20"/>
                <w:lang w:val="en-GB" w:eastAsia="en-GB"/>
              </w:rPr>
            </w:pPr>
          </w:p>
        </w:tc>
        <w:tc>
          <w:tcPr>
            <w:tcW w:w="99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kern w:val="0"/>
                <w:sz w:val="20"/>
                <w:szCs w:val="20"/>
                <w:lang w:val="en-GB" w:eastAsia="en-GB"/>
              </w:rPr>
            </w:pPr>
          </w:p>
        </w:tc>
      </w:tr>
      <w:tr w:rsidR="00AE171B" w:rsidRPr="00B773B5" w:rsidTr="000339B0">
        <w:tblPrEx>
          <w:tblBorders>
            <w:top w:val="none" w:sz="0" w:space="0" w:color="auto"/>
            <w:bottom w:val="none" w:sz="0" w:space="0" w:color="auto"/>
          </w:tblBorders>
          <w:tblLook w:val="04A0" w:firstRow="1" w:lastRow="0" w:firstColumn="1" w:lastColumn="0" w:noHBand="0" w:noVBand="1"/>
        </w:tblPrEx>
        <w:trPr>
          <w:trHeight w:val="20"/>
        </w:trPr>
        <w:tc>
          <w:tcPr>
            <w:tcW w:w="1620" w:type="dxa"/>
            <w:tcBorders>
              <w:top w:val="nil"/>
              <w:left w:val="nil"/>
              <w:bottom w:val="nil"/>
              <w:right w:val="nil"/>
            </w:tcBorders>
            <w:shd w:val="clear" w:color="auto" w:fill="auto"/>
            <w:noWrap/>
            <w:vAlign w:val="bottom"/>
            <w:hideMark/>
          </w:tcPr>
          <w:p w:rsidR="00AE171B" w:rsidRPr="00B773B5" w:rsidRDefault="00AE171B" w:rsidP="000339B0">
            <w:pPr>
              <w:widowControl/>
              <w:spacing w:before="0" w:after="0" w:line="240" w:lineRule="auto"/>
              <w:ind w:firstLine="0"/>
              <w:jc w:val="left"/>
              <w:rPr>
                <w:rFonts w:asciiTheme="majorBidi" w:eastAsia="Times New Roman" w:hAnsiTheme="majorBidi" w:cstheme="majorBidi"/>
                <w:kern w:val="0"/>
                <w:sz w:val="20"/>
                <w:szCs w:val="20"/>
                <w:lang w:val="en-GB" w:eastAsia="en-GB"/>
              </w:rPr>
            </w:pPr>
          </w:p>
        </w:tc>
        <w:tc>
          <w:tcPr>
            <w:tcW w:w="108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kern w:val="0"/>
                <w:sz w:val="20"/>
                <w:szCs w:val="20"/>
                <w:lang w:val="en-GB" w:eastAsia="en-GB"/>
              </w:rPr>
            </w:pPr>
          </w:p>
        </w:tc>
        <w:tc>
          <w:tcPr>
            <w:tcW w:w="90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kern w:val="0"/>
                <w:sz w:val="20"/>
                <w:szCs w:val="20"/>
                <w:lang w:val="en-GB" w:eastAsia="en-GB"/>
              </w:rPr>
            </w:pPr>
          </w:p>
        </w:tc>
        <w:tc>
          <w:tcPr>
            <w:tcW w:w="81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kern w:val="0"/>
                <w:sz w:val="20"/>
                <w:szCs w:val="20"/>
                <w:lang w:val="en-GB" w:eastAsia="en-GB"/>
              </w:rPr>
            </w:pPr>
          </w:p>
        </w:tc>
        <w:tc>
          <w:tcPr>
            <w:tcW w:w="99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kern w:val="0"/>
                <w:sz w:val="20"/>
                <w:szCs w:val="20"/>
                <w:lang w:val="en-GB" w:eastAsia="en-GB"/>
              </w:rPr>
            </w:pPr>
          </w:p>
        </w:tc>
        <w:tc>
          <w:tcPr>
            <w:tcW w:w="81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kern w:val="0"/>
                <w:sz w:val="20"/>
                <w:szCs w:val="20"/>
                <w:lang w:val="en-GB" w:eastAsia="en-GB"/>
              </w:rPr>
            </w:pPr>
          </w:p>
        </w:tc>
        <w:tc>
          <w:tcPr>
            <w:tcW w:w="99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i/>
                <w:iCs/>
                <w:color w:val="000000"/>
                <w:kern w:val="0"/>
                <w:sz w:val="18"/>
                <w:szCs w:val="18"/>
                <w:lang w:val="en-GB" w:eastAsia="en-GB"/>
              </w:rPr>
            </w:pPr>
            <w:r w:rsidRPr="000339B0">
              <w:rPr>
                <w:rFonts w:eastAsia="Times New Roman"/>
                <w:i/>
                <w:iCs/>
                <w:color w:val="000000"/>
                <w:kern w:val="0"/>
                <w:sz w:val="18"/>
                <w:szCs w:val="18"/>
                <w:lang w:val="en-GB" w:eastAsia="en-GB"/>
              </w:rPr>
              <w:t>0.55</w:t>
            </w:r>
          </w:p>
        </w:tc>
        <w:tc>
          <w:tcPr>
            <w:tcW w:w="81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color w:val="000000"/>
                <w:kern w:val="0"/>
                <w:sz w:val="20"/>
                <w:szCs w:val="20"/>
                <w:lang w:val="en-GB" w:eastAsia="en-GB"/>
              </w:rPr>
            </w:pPr>
          </w:p>
        </w:tc>
        <w:tc>
          <w:tcPr>
            <w:tcW w:w="99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kern w:val="0"/>
                <w:sz w:val="20"/>
                <w:szCs w:val="20"/>
                <w:lang w:val="en-GB" w:eastAsia="en-GB"/>
              </w:rPr>
            </w:pPr>
          </w:p>
        </w:tc>
      </w:tr>
      <w:tr w:rsidR="00AE171B" w:rsidRPr="00231C06" w:rsidTr="000339B0">
        <w:tblPrEx>
          <w:tblBorders>
            <w:top w:val="none" w:sz="0" w:space="0" w:color="auto"/>
            <w:bottom w:val="none" w:sz="0" w:space="0" w:color="auto"/>
          </w:tblBorders>
          <w:tblLook w:val="04A0" w:firstRow="1" w:lastRow="0" w:firstColumn="1" w:lastColumn="0" w:noHBand="0" w:noVBand="1"/>
        </w:tblPrEx>
        <w:trPr>
          <w:trHeight w:val="20"/>
        </w:trPr>
        <w:tc>
          <w:tcPr>
            <w:tcW w:w="1620" w:type="dxa"/>
            <w:tcBorders>
              <w:top w:val="nil"/>
              <w:left w:val="nil"/>
              <w:bottom w:val="nil"/>
              <w:right w:val="nil"/>
            </w:tcBorders>
            <w:shd w:val="clear" w:color="auto" w:fill="auto"/>
            <w:noWrap/>
            <w:vAlign w:val="bottom"/>
            <w:hideMark/>
          </w:tcPr>
          <w:p w:rsidR="00AE171B" w:rsidRPr="00B773B5" w:rsidRDefault="00AE171B" w:rsidP="000339B0">
            <w:pPr>
              <w:widowControl/>
              <w:spacing w:before="0" w:after="0" w:line="240" w:lineRule="auto"/>
              <w:ind w:firstLine="0"/>
              <w:jc w:val="left"/>
              <w:rPr>
                <w:rFonts w:asciiTheme="majorBidi" w:eastAsia="Times New Roman" w:hAnsiTheme="majorBidi" w:cstheme="majorBidi"/>
                <w:kern w:val="0"/>
                <w:sz w:val="20"/>
                <w:szCs w:val="20"/>
                <w:lang w:val="en-GB" w:eastAsia="en-GB"/>
              </w:rPr>
            </w:pPr>
            <w:r w:rsidRPr="00B773B5">
              <w:rPr>
                <w:rFonts w:asciiTheme="majorBidi" w:eastAsia="Times New Roman" w:hAnsiTheme="majorBidi" w:cstheme="majorBidi"/>
                <w:kern w:val="0"/>
                <w:sz w:val="20"/>
                <w:szCs w:val="20"/>
                <w:lang w:val="en-GB" w:eastAsia="en-GB"/>
              </w:rPr>
              <w:t>ACC</w:t>
            </w:r>
          </w:p>
        </w:tc>
        <w:tc>
          <w:tcPr>
            <w:tcW w:w="108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kern w:val="0"/>
                <w:sz w:val="20"/>
                <w:szCs w:val="20"/>
                <w:lang w:val="en-GB" w:eastAsia="en-GB"/>
              </w:rPr>
            </w:pPr>
          </w:p>
        </w:tc>
        <w:tc>
          <w:tcPr>
            <w:tcW w:w="90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kern w:val="0"/>
                <w:sz w:val="20"/>
                <w:szCs w:val="20"/>
                <w:lang w:val="en-GB" w:eastAsia="en-GB"/>
              </w:rPr>
            </w:pPr>
          </w:p>
        </w:tc>
        <w:tc>
          <w:tcPr>
            <w:tcW w:w="81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kern w:val="0"/>
                <w:sz w:val="20"/>
                <w:szCs w:val="20"/>
                <w:lang w:val="en-GB" w:eastAsia="en-GB"/>
              </w:rPr>
            </w:pPr>
          </w:p>
        </w:tc>
        <w:tc>
          <w:tcPr>
            <w:tcW w:w="99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kern w:val="0"/>
                <w:sz w:val="20"/>
                <w:szCs w:val="20"/>
                <w:lang w:val="en-GB" w:eastAsia="en-GB"/>
              </w:rPr>
            </w:pPr>
          </w:p>
        </w:tc>
        <w:tc>
          <w:tcPr>
            <w:tcW w:w="81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kern w:val="0"/>
                <w:sz w:val="20"/>
                <w:szCs w:val="20"/>
                <w:lang w:val="en-GB" w:eastAsia="en-GB"/>
              </w:rPr>
            </w:pPr>
          </w:p>
        </w:tc>
        <w:tc>
          <w:tcPr>
            <w:tcW w:w="99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kern w:val="0"/>
                <w:sz w:val="20"/>
                <w:szCs w:val="20"/>
                <w:lang w:val="en-GB" w:eastAsia="en-GB"/>
              </w:rPr>
            </w:pPr>
          </w:p>
        </w:tc>
        <w:tc>
          <w:tcPr>
            <w:tcW w:w="81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kern w:val="0"/>
                <w:sz w:val="20"/>
                <w:szCs w:val="20"/>
                <w:lang w:val="en-GB" w:eastAsia="en-GB"/>
              </w:rPr>
            </w:pPr>
            <w:r w:rsidRPr="000339B0">
              <w:rPr>
                <w:rFonts w:eastAsia="Times New Roman"/>
                <w:kern w:val="0"/>
                <w:sz w:val="20"/>
                <w:szCs w:val="20"/>
                <w:lang w:val="en-GB" w:eastAsia="en-GB"/>
              </w:rPr>
              <w:t>-0.297</w:t>
            </w:r>
          </w:p>
        </w:tc>
        <w:tc>
          <w:tcPr>
            <w:tcW w:w="99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b/>
                <w:bCs/>
                <w:kern w:val="0"/>
                <w:sz w:val="20"/>
                <w:szCs w:val="20"/>
                <w:lang w:val="en-GB" w:eastAsia="en-GB"/>
              </w:rPr>
            </w:pPr>
            <w:r w:rsidRPr="000339B0">
              <w:rPr>
                <w:rFonts w:eastAsia="Times New Roman"/>
                <w:b/>
                <w:bCs/>
                <w:kern w:val="0"/>
                <w:sz w:val="20"/>
                <w:szCs w:val="20"/>
                <w:lang w:val="en-GB" w:eastAsia="en-GB"/>
              </w:rPr>
              <w:t>-5.460</w:t>
            </w:r>
          </w:p>
        </w:tc>
      </w:tr>
      <w:tr w:rsidR="00AE171B" w:rsidRPr="00B773B5" w:rsidTr="000339B0">
        <w:tblPrEx>
          <w:tblBorders>
            <w:top w:val="none" w:sz="0" w:space="0" w:color="auto"/>
            <w:bottom w:val="none" w:sz="0" w:space="0" w:color="auto"/>
          </w:tblBorders>
          <w:tblLook w:val="04A0" w:firstRow="1" w:lastRow="0" w:firstColumn="1" w:lastColumn="0" w:noHBand="0" w:noVBand="1"/>
        </w:tblPrEx>
        <w:trPr>
          <w:trHeight w:val="20"/>
        </w:trPr>
        <w:tc>
          <w:tcPr>
            <w:tcW w:w="1620" w:type="dxa"/>
            <w:tcBorders>
              <w:top w:val="nil"/>
              <w:left w:val="nil"/>
              <w:bottom w:val="nil"/>
              <w:right w:val="nil"/>
            </w:tcBorders>
            <w:shd w:val="clear" w:color="auto" w:fill="auto"/>
            <w:noWrap/>
            <w:vAlign w:val="bottom"/>
            <w:hideMark/>
          </w:tcPr>
          <w:p w:rsidR="00AE171B" w:rsidRPr="00B773B5" w:rsidRDefault="00AE171B" w:rsidP="000339B0">
            <w:pPr>
              <w:widowControl/>
              <w:spacing w:before="0" w:after="0" w:line="240" w:lineRule="auto"/>
              <w:ind w:firstLine="0"/>
              <w:jc w:val="left"/>
              <w:rPr>
                <w:rFonts w:asciiTheme="majorBidi" w:eastAsia="Times New Roman" w:hAnsiTheme="majorBidi" w:cstheme="majorBidi"/>
                <w:kern w:val="0"/>
                <w:sz w:val="20"/>
                <w:szCs w:val="20"/>
                <w:lang w:val="en-GB" w:eastAsia="en-GB"/>
              </w:rPr>
            </w:pPr>
          </w:p>
        </w:tc>
        <w:tc>
          <w:tcPr>
            <w:tcW w:w="108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kern w:val="0"/>
                <w:sz w:val="20"/>
                <w:szCs w:val="20"/>
                <w:lang w:val="en-GB" w:eastAsia="en-GB"/>
              </w:rPr>
            </w:pPr>
          </w:p>
        </w:tc>
        <w:tc>
          <w:tcPr>
            <w:tcW w:w="90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kern w:val="0"/>
                <w:sz w:val="20"/>
                <w:szCs w:val="20"/>
                <w:lang w:val="en-GB" w:eastAsia="en-GB"/>
              </w:rPr>
            </w:pPr>
          </w:p>
        </w:tc>
        <w:tc>
          <w:tcPr>
            <w:tcW w:w="81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kern w:val="0"/>
                <w:sz w:val="20"/>
                <w:szCs w:val="20"/>
                <w:lang w:val="en-GB" w:eastAsia="en-GB"/>
              </w:rPr>
            </w:pPr>
          </w:p>
        </w:tc>
        <w:tc>
          <w:tcPr>
            <w:tcW w:w="99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kern w:val="0"/>
                <w:sz w:val="20"/>
                <w:szCs w:val="20"/>
                <w:lang w:val="en-GB" w:eastAsia="en-GB"/>
              </w:rPr>
            </w:pPr>
          </w:p>
        </w:tc>
        <w:tc>
          <w:tcPr>
            <w:tcW w:w="81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kern w:val="0"/>
                <w:sz w:val="20"/>
                <w:szCs w:val="20"/>
                <w:lang w:val="en-GB" w:eastAsia="en-GB"/>
              </w:rPr>
            </w:pPr>
          </w:p>
        </w:tc>
        <w:tc>
          <w:tcPr>
            <w:tcW w:w="99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kern w:val="0"/>
                <w:sz w:val="20"/>
                <w:szCs w:val="20"/>
                <w:lang w:val="en-GB" w:eastAsia="en-GB"/>
              </w:rPr>
            </w:pPr>
          </w:p>
        </w:tc>
        <w:tc>
          <w:tcPr>
            <w:tcW w:w="81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kern w:val="0"/>
                <w:sz w:val="20"/>
                <w:szCs w:val="20"/>
                <w:lang w:val="en-GB" w:eastAsia="en-GB"/>
              </w:rPr>
            </w:pPr>
          </w:p>
        </w:tc>
        <w:tc>
          <w:tcPr>
            <w:tcW w:w="990" w:type="dxa"/>
            <w:tcBorders>
              <w:top w:val="nil"/>
              <w:left w:val="nil"/>
              <w:bottom w:val="nil"/>
              <w:right w:val="nil"/>
            </w:tcBorders>
            <w:shd w:val="clear" w:color="auto" w:fill="auto"/>
            <w:noWrap/>
            <w:vAlign w:val="bottom"/>
            <w:hideMark/>
          </w:tcPr>
          <w:p w:rsidR="00AE171B" w:rsidRPr="000339B0" w:rsidRDefault="00AE171B" w:rsidP="000339B0">
            <w:pPr>
              <w:widowControl/>
              <w:spacing w:before="0" w:after="0" w:line="240" w:lineRule="auto"/>
              <w:ind w:firstLine="0"/>
              <w:jc w:val="center"/>
              <w:rPr>
                <w:rFonts w:eastAsia="Times New Roman"/>
                <w:b/>
                <w:bCs/>
                <w:i/>
                <w:iCs/>
                <w:color w:val="000000"/>
                <w:kern w:val="0"/>
                <w:sz w:val="18"/>
                <w:szCs w:val="18"/>
                <w:lang w:val="en-GB" w:eastAsia="en-GB"/>
              </w:rPr>
            </w:pPr>
            <w:r w:rsidRPr="000339B0">
              <w:rPr>
                <w:rFonts w:eastAsia="Times New Roman"/>
                <w:b/>
                <w:bCs/>
                <w:i/>
                <w:iCs/>
                <w:color w:val="000000"/>
                <w:kern w:val="0"/>
                <w:sz w:val="18"/>
                <w:szCs w:val="18"/>
                <w:lang w:val="en-GB" w:eastAsia="en-GB"/>
              </w:rPr>
              <w:t>0.002</w:t>
            </w:r>
          </w:p>
        </w:tc>
      </w:tr>
      <w:tr w:rsidR="00AE171B" w:rsidRPr="00B773B5" w:rsidTr="000339B0">
        <w:tblPrEx>
          <w:tblBorders>
            <w:top w:val="none" w:sz="0" w:space="0" w:color="auto"/>
            <w:bottom w:val="none" w:sz="0" w:space="0" w:color="auto"/>
          </w:tblBorders>
          <w:tblLook w:val="04A0" w:firstRow="1" w:lastRow="0" w:firstColumn="1" w:lastColumn="0" w:noHBand="0" w:noVBand="1"/>
        </w:tblPrEx>
        <w:trPr>
          <w:trHeight w:val="188"/>
        </w:trPr>
        <w:tc>
          <w:tcPr>
            <w:tcW w:w="1620" w:type="dxa"/>
            <w:tcBorders>
              <w:top w:val="single" w:sz="4" w:space="0" w:color="auto"/>
              <w:left w:val="nil"/>
              <w:bottom w:val="single" w:sz="4" w:space="0" w:color="auto"/>
              <w:right w:val="nil"/>
            </w:tcBorders>
            <w:shd w:val="clear" w:color="auto" w:fill="auto"/>
            <w:vAlign w:val="center"/>
            <w:hideMark/>
          </w:tcPr>
          <w:p w:rsidR="00AE171B" w:rsidRPr="00B773B5" w:rsidRDefault="00AE171B" w:rsidP="000339B0">
            <w:pPr>
              <w:widowControl/>
              <w:spacing w:before="0" w:after="0" w:line="240" w:lineRule="auto"/>
              <w:ind w:firstLine="0"/>
              <w:jc w:val="left"/>
              <w:rPr>
                <w:rFonts w:eastAsia="Times New Roman"/>
                <w:i/>
                <w:iCs/>
                <w:kern w:val="0"/>
                <w:sz w:val="16"/>
                <w:szCs w:val="16"/>
                <w:lang w:val="en-GB" w:eastAsia="en-GB"/>
              </w:rPr>
            </w:pPr>
            <w:r w:rsidRPr="00B773B5">
              <w:rPr>
                <w:rFonts w:eastAsia="Times New Roman"/>
                <w:i/>
                <w:iCs/>
                <w:kern w:val="0"/>
                <w:sz w:val="16"/>
                <w:szCs w:val="16"/>
                <w:lang w:val="en-GB" w:eastAsia="en-GB"/>
              </w:rPr>
              <w:t>Adj. R-squared</w:t>
            </w:r>
          </w:p>
        </w:tc>
        <w:tc>
          <w:tcPr>
            <w:tcW w:w="1080" w:type="dxa"/>
            <w:tcBorders>
              <w:top w:val="single" w:sz="4" w:space="0" w:color="auto"/>
              <w:left w:val="nil"/>
              <w:bottom w:val="single" w:sz="4" w:space="0" w:color="auto"/>
              <w:right w:val="nil"/>
            </w:tcBorders>
            <w:shd w:val="clear" w:color="auto" w:fill="auto"/>
            <w:noWrap/>
            <w:vAlign w:val="center"/>
            <w:hideMark/>
          </w:tcPr>
          <w:p w:rsidR="00AE171B" w:rsidRPr="00B773B5" w:rsidRDefault="00AE171B" w:rsidP="000339B0">
            <w:pPr>
              <w:widowControl/>
              <w:spacing w:before="0" w:after="0" w:line="240" w:lineRule="auto"/>
              <w:ind w:firstLine="0"/>
              <w:jc w:val="left"/>
              <w:rPr>
                <w:rFonts w:ascii="Calibri" w:eastAsia="Times New Roman" w:hAnsi="Calibri" w:cs="Calibri"/>
                <w:i/>
                <w:iCs/>
                <w:kern w:val="0"/>
                <w:sz w:val="16"/>
                <w:szCs w:val="16"/>
                <w:lang w:val="en-GB" w:eastAsia="en-GB"/>
              </w:rPr>
            </w:pPr>
            <w:r w:rsidRPr="00B773B5">
              <w:rPr>
                <w:rFonts w:ascii="Calibri" w:eastAsia="Times New Roman" w:hAnsi="Calibri" w:cs="Calibri"/>
                <w:i/>
                <w:iCs/>
                <w:kern w:val="0"/>
                <w:sz w:val="16"/>
                <w:szCs w:val="16"/>
                <w:lang w:val="en-GB" w:eastAsia="en-GB"/>
              </w:rPr>
              <w:t> </w:t>
            </w:r>
          </w:p>
        </w:tc>
        <w:tc>
          <w:tcPr>
            <w:tcW w:w="900" w:type="dxa"/>
            <w:tcBorders>
              <w:top w:val="single" w:sz="4" w:space="0" w:color="auto"/>
              <w:left w:val="nil"/>
              <w:bottom w:val="single" w:sz="4" w:space="0" w:color="auto"/>
              <w:right w:val="nil"/>
            </w:tcBorders>
            <w:shd w:val="clear" w:color="auto" w:fill="auto"/>
            <w:noWrap/>
            <w:vAlign w:val="center"/>
            <w:hideMark/>
          </w:tcPr>
          <w:p w:rsidR="00AE171B" w:rsidRPr="00B773B5" w:rsidRDefault="00AE171B" w:rsidP="000339B0">
            <w:pPr>
              <w:widowControl/>
              <w:spacing w:before="0" w:after="0" w:line="240" w:lineRule="auto"/>
              <w:ind w:firstLine="0"/>
              <w:jc w:val="center"/>
              <w:rPr>
                <w:rFonts w:eastAsia="Times New Roman"/>
                <w:i/>
                <w:iCs/>
                <w:kern w:val="0"/>
                <w:sz w:val="16"/>
                <w:szCs w:val="16"/>
                <w:lang w:val="en-GB" w:eastAsia="en-GB"/>
              </w:rPr>
            </w:pPr>
            <w:r w:rsidRPr="00B773B5">
              <w:rPr>
                <w:rFonts w:eastAsia="Times New Roman"/>
                <w:i/>
                <w:iCs/>
                <w:kern w:val="0"/>
                <w:sz w:val="16"/>
                <w:szCs w:val="16"/>
                <w:lang w:val="en-GB" w:eastAsia="en-GB"/>
              </w:rPr>
              <w:t>0.275</w:t>
            </w:r>
          </w:p>
        </w:tc>
        <w:tc>
          <w:tcPr>
            <w:tcW w:w="810" w:type="dxa"/>
            <w:tcBorders>
              <w:top w:val="single" w:sz="4" w:space="0" w:color="auto"/>
              <w:left w:val="nil"/>
              <w:bottom w:val="single" w:sz="4" w:space="0" w:color="auto"/>
              <w:right w:val="nil"/>
            </w:tcBorders>
            <w:shd w:val="clear" w:color="auto" w:fill="auto"/>
            <w:noWrap/>
            <w:vAlign w:val="center"/>
            <w:hideMark/>
          </w:tcPr>
          <w:p w:rsidR="00AE171B" w:rsidRPr="00B773B5" w:rsidRDefault="00AE171B" w:rsidP="000339B0">
            <w:pPr>
              <w:widowControl/>
              <w:spacing w:before="0" w:after="0" w:line="240" w:lineRule="auto"/>
              <w:ind w:firstLine="0"/>
              <w:jc w:val="center"/>
              <w:rPr>
                <w:rFonts w:eastAsia="Times New Roman"/>
                <w:i/>
                <w:iCs/>
                <w:kern w:val="0"/>
                <w:sz w:val="16"/>
                <w:szCs w:val="16"/>
                <w:lang w:val="en-GB" w:eastAsia="en-GB"/>
              </w:rPr>
            </w:pPr>
          </w:p>
        </w:tc>
        <w:tc>
          <w:tcPr>
            <w:tcW w:w="990" w:type="dxa"/>
            <w:tcBorders>
              <w:top w:val="single" w:sz="4" w:space="0" w:color="auto"/>
              <w:left w:val="nil"/>
              <w:bottom w:val="single" w:sz="4" w:space="0" w:color="auto"/>
              <w:right w:val="nil"/>
            </w:tcBorders>
            <w:shd w:val="clear" w:color="auto" w:fill="auto"/>
            <w:noWrap/>
            <w:vAlign w:val="center"/>
            <w:hideMark/>
          </w:tcPr>
          <w:p w:rsidR="00AE171B" w:rsidRPr="00B773B5" w:rsidRDefault="00AE171B" w:rsidP="000339B0">
            <w:pPr>
              <w:widowControl/>
              <w:spacing w:before="0" w:after="0" w:line="240" w:lineRule="auto"/>
              <w:ind w:firstLine="0"/>
              <w:jc w:val="center"/>
              <w:rPr>
                <w:rFonts w:eastAsia="Times New Roman"/>
                <w:i/>
                <w:iCs/>
                <w:kern w:val="0"/>
                <w:sz w:val="16"/>
                <w:szCs w:val="16"/>
                <w:lang w:val="en-GB" w:eastAsia="en-GB"/>
              </w:rPr>
            </w:pPr>
            <w:r w:rsidRPr="00B773B5">
              <w:rPr>
                <w:rFonts w:eastAsia="Times New Roman"/>
                <w:i/>
                <w:iCs/>
                <w:kern w:val="0"/>
                <w:sz w:val="16"/>
                <w:szCs w:val="16"/>
                <w:lang w:val="en-GB" w:eastAsia="en-GB"/>
              </w:rPr>
              <w:t>0.334</w:t>
            </w:r>
          </w:p>
        </w:tc>
        <w:tc>
          <w:tcPr>
            <w:tcW w:w="810" w:type="dxa"/>
            <w:tcBorders>
              <w:top w:val="single" w:sz="4" w:space="0" w:color="auto"/>
              <w:left w:val="nil"/>
              <w:bottom w:val="single" w:sz="4" w:space="0" w:color="auto"/>
              <w:right w:val="nil"/>
            </w:tcBorders>
            <w:shd w:val="clear" w:color="auto" w:fill="auto"/>
            <w:noWrap/>
            <w:vAlign w:val="center"/>
            <w:hideMark/>
          </w:tcPr>
          <w:p w:rsidR="00AE171B" w:rsidRPr="00B773B5" w:rsidRDefault="00AE171B" w:rsidP="000339B0">
            <w:pPr>
              <w:widowControl/>
              <w:spacing w:before="0" w:after="0" w:line="240" w:lineRule="auto"/>
              <w:ind w:firstLine="0"/>
              <w:jc w:val="center"/>
              <w:rPr>
                <w:rFonts w:eastAsia="Times New Roman"/>
                <w:i/>
                <w:iCs/>
                <w:kern w:val="0"/>
                <w:sz w:val="16"/>
                <w:szCs w:val="16"/>
                <w:lang w:val="en-GB" w:eastAsia="en-GB"/>
              </w:rPr>
            </w:pPr>
          </w:p>
        </w:tc>
        <w:tc>
          <w:tcPr>
            <w:tcW w:w="990" w:type="dxa"/>
            <w:tcBorders>
              <w:top w:val="single" w:sz="4" w:space="0" w:color="auto"/>
              <w:left w:val="nil"/>
              <w:bottom w:val="single" w:sz="4" w:space="0" w:color="auto"/>
              <w:right w:val="nil"/>
            </w:tcBorders>
            <w:shd w:val="clear" w:color="auto" w:fill="auto"/>
            <w:noWrap/>
            <w:vAlign w:val="center"/>
            <w:hideMark/>
          </w:tcPr>
          <w:p w:rsidR="00AE171B" w:rsidRPr="00B773B5" w:rsidRDefault="00AE171B" w:rsidP="000339B0">
            <w:pPr>
              <w:widowControl/>
              <w:spacing w:before="0" w:after="0" w:line="240" w:lineRule="auto"/>
              <w:ind w:firstLine="0"/>
              <w:jc w:val="center"/>
              <w:rPr>
                <w:rFonts w:eastAsia="Times New Roman"/>
                <w:i/>
                <w:iCs/>
                <w:kern w:val="0"/>
                <w:sz w:val="16"/>
                <w:szCs w:val="16"/>
                <w:lang w:val="en-GB" w:eastAsia="en-GB"/>
              </w:rPr>
            </w:pPr>
            <w:r w:rsidRPr="00B773B5">
              <w:rPr>
                <w:rFonts w:eastAsia="Times New Roman"/>
                <w:i/>
                <w:iCs/>
                <w:kern w:val="0"/>
                <w:sz w:val="16"/>
                <w:szCs w:val="16"/>
                <w:lang w:val="en-GB" w:eastAsia="en-GB"/>
              </w:rPr>
              <w:t>0.256</w:t>
            </w:r>
          </w:p>
        </w:tc>
        <w:tc>
          <w:tcPr>
            <w:tcW w:w="810" w:type="dxa"/>
            <w:tcBorders>
              <w:top w:val="single" w:sz="4" w:space="0" w:color="auto"/>
              <w:left w:val="nil"/>
              <w:bottom w:val="single" w:sz="4" w:space="0" w:color="auto"/>
              <w:right w:val="nil"/>
            </w:tcBorders>
            <w:shd w:val="clear" w:color="auto" w:fill="auto"/>
            <w:noWrap/>
            <w:vAlign w:val="center"/>
            <w:hideMark/>
          </w:tcPr>
          <w:p w:rsidR="00AE171B" w:rsidRPr="00B773B5" w:rsidRDefault="00AE171B" w:rsidP="000339B0">
            <w:pPr>
              <w:widowControl/>
              <w:spacing w:before="0" w:after="0" w:line="240" w:lineRule="auto"/>
              <w:ind w:firstLine="0"/>
              <w:jc w:val="center"/>
              <w:rPr>
                <w:rFonts w:eastAsia="Times New Roman"/>
                <w:i/>
                <w:iCs/>
                <w:kern w:val="0"/>
                <w:sz w:val="16"/>
                <w:szCs w:val="16"/>
                <w:lang w:val="en-GB" w:eastAsia="en-GB"/>
              </w:rPr>
            </w:pPr>
          </w:p>
        </w:tc>
        <w:tc>
          <w:tcPr>
            <w:tcW w:w="990" w:type="dxa"/>
            <w:tcBorders>
              <w:top w:val="single" w:sz="4" w:space="0" w:color="auto"/>
              <w:left w:val="nil"/>
              <w:bottom w:val="single" w:sz="4" w:space="0" w:color="auto"/>
              <w:right w:val="nil"/>
            </w:tcBorders>
            <w:shd w:val="clear" w:color="auto" w:fill="auto"/>
            <w:noWrap/>
            <w:vAlign w:val="center"/>
            <w:hideMark/>
          </w:tcPr>
          <w:p w:rsidR="00AE171B" w:rsidRPr="00B773B5" w:rsidRDefault="00AE171B" w:rsidP="000339B0">
            <w:pPr>
              <w:widowControl/>
              <w:spacing w:before="0" w:after="0" w:line="240" w:lineRule="auto"/>
              <w:ind w:firstLine="0"/>
              <w:jc w:val="center"/>
              <w:rPr>
                <w:rFonts w:eastAsia="Times New Roman"/>
                <w:i/>
                <w:iCs/>
                <w:kern w:val="0"/>
                <w:sz w:val="16"/>
                <w:szCs w:val="16"/>
                <w:lang w:val="en-GB" w:eastAsia="en-GB"/>
              </w:rPr>
            </w:pPr>
            <w:r w:rsidRPr="00B773B5">
              <w:rPr>
                <w:rFonts w:eastAsia="Times New Roman"/>
                <w:i/>
                <w:iCs/>
                <w:kern w:val="0"/>
                <w:sz w:val="16"/>
                <w:szCs w:val="16"/>
                <w:lang w:val="en-GB" w:eastAsia="en-GB"/>
              </w:rPr>
              <w:t>0.244</w:t>
            </w:r>
          </w:p>
        </w:tc>
      </w:tr>
    </w:tbl>
    <w:p w:rsidR="00AE171B" w:rsidRDefault="00AE171B" w:rsidP="00AE171B">
      <w:pPr>
        <w:tabs>
          <w:tab w:val="left" w:pos="8789"/>
        </w:tabs>
        <w:spacing w:line="240" w:lineRule="auto"/>
        <w:ind w:right="-90" w:firstLine="0"/>
        <w:rPr>
          <w:sz w:val="20"/>
          <w:szCs w:val="20"/>
        </w:rPr>
      </w:pPr>
      <w:r w:rsidRPr="00306A47">
        <w:rPr>
          <w:i/>
          <w:iCs/>
          <w:sz w:val="20"/>
          <w:szCs w:val="20"/>
        </w:rPr>
        <w:t>Note:</w:t>
      </w:r>
      <w:r>
        <w:rPr>
          <w:sz w:val="20"/>
          <w:szCs w:val="20"/>
        </w:rPr>
        <w:t xml:space="preserve"> </w:t>
      </w:r>
      <w:r>
        <w:rPr>
          <w:i/>
          <w:iCs/>
          <w:szCs w:val="22"/>
        </w:rPr>
        <w:t>RT</w:t>
      </w:r>
      <w:r w:rsidRPr="00D460B4">
        <w:rPr>
          <w:i/>
          <w:iCs/>
          <w:szCs w:val="22"/>
          <w:vertAlign w:val="subscript"/>
        </w:rPr>
        <w:t>t</w:t>
      </w:r>
      <w:r>
        <w:rPr>
          <w:i/>
          <w:iCs/>
          <w:szCs w:val="22"/>
          <w:vertAlign w:val="subscript"/>
        </w:rPr>
        <w:t>+</w:t>
      </w:r>
      <w:r w:rsidRPr="00D460B4">
        <w:rPr>
          <w:i/>
          <w:iCs/>
          <w:szCs w:val="22"/>
          <w:vertAlign w:val="subscript"/>
        </w:rPr>
        <w:t>1</w:t>
      </w:r>
      <w:r>
        <w:rPr>
          <w:i/>
          <w:iCs/>
          <w:szCs w:val="22"/>
          <w:vertAlign w:val="subscript"/>
        </w:rPr>
        <w:t xml:space="preserve"> </w:t>
      </w:r>
      <w:r w:rsidRPr="00F73193">
        <w:rPr>
          <w:i/>
          <w:iCs/>
          <w:szCs w:val="22"/>
        </w:rPr>
        <w:t xml:space="preserve">is </w:t>
      </w:r>
      <w:r w:rsidRPr="000339B0">
        <w:rPr>
          <w:sz w:val="20"/>
          <w:szCs w:val="20"/>
        </w:rPr>
        <w:t>the one-year-ahead size and book to market adjusted return.</w:t>
      </w:r>
      <w:r>
        <w:rPr>
          <w:i/>
          <w:iCs/>
          <w:szCs w:val="22"/>
        </w:rPr>
        <w:t xml:space="preserve"> </w:t>
      </w:r>
      <w:r w:rsidRPr="008378F3">
        <w:rPr>
          <w:rFonts w:eastAsia="Times New Roman"/>
          <w:i/>
          <w:iCs/>
          <w:color w:val="000000"/>
          <w:kern w:val="0"/>
          <w:sz w:val="20"/>
          <w:szCs w:val="20"/>
          <w:lang w:val="en-GB" w:eastAsia="en-GB"/>
        </w:rPr>
        <w:t>RNOA</w:t>
      </w:r>
      <w:r w:rsidRPr="008378F3">
        <w:rPr>
          <w:rFonts w:eastAsia="Times New Roman"/>
          <w:i/>
          <w:iCs/>
          <w:color w:val="000000"/>
          <w:kern w:val="0"/>
          <w:sz w:val="20"/>
          <w:szCs w:val="20"/>
          <w:vertAlign w:val="subscript"/>
          <w:lang w:val="en-GB" w:eastAsia="en-GB"/>
        </w:rPr>
        <w:t>t</w:t>
      </w:r>
      <w:r w:rsidRPr="003C62B7">
        <w:rPr>
          <w:sz w:val="20"/>
          <w:szCs w:val="20"/>
        </w:rPr>
        <w:t xml:space="preserve"> is the operating profitability</w:t>
      </w:r>
      <w:r>
        <w:rPr>
          <w:sz w:val="20"/>
          <w:szCs w:val="20"/>
        </w:rPr>
        <w:t xml:space="preserve"> (income)</w:t>
      </w:r>
      <w:r w:rsidRPr="003C62B7">
        <w:rPr>
          <w:sz w:val="20"/>
          <w:szCs w:val="20"/>
        </w:rPr>
        <w:t>, measured as operating income deflated</w:t>
      </w:r>
      <w:r>
        <w:rPr>
          <w:sz w:val="20"/>
          <w:szCs w:val="20"/>
        </w:rPr>
        <w:t xml:space="preserve"> </w:t>
      </w:r>
      <w:r w:rsidRPr="003C62B7">
        <w:rPr>
          <w:sz w:val="20"/>
          <w:szCs w:val="20"/>
        </w:rPr>
        <w:t xml:space="preserve">by lagged </w:t>
      </w:r>
      <w:r w:rsidRPr="008378F3">
        <w:rPr>
          <w:rFonts w:eastAsia="Times New Roman"/>
          <w:i/>
          <w:iCs/>
          <w:color w:val="000000"/>
          <w:kern w:val="0"/>
          <w:sz w:val="20"/>
          <w:szCs w:val="20"/>
          <w:lang w:val="en-GB" w:eastAsia="en-GB"/>
        </w:rPr>
        <w:t>O</w:t>
      </w:r>
      <w:r>
        <w:rPr>
          <w:rFonts w:eastAsia="Times New Roman"/>
          <w:i/>
          <w:iCs/>
          <w:color w:val="000000"/>
          <w:kern w:val="0"/>
          <w:sz w:val="20"/>
          <w:szCs w:val="20"/>
          <w:lang w:val="en-GB" w:eastAsia="en-GB"/>
        </w:rPr>
        <w:t>I</w:t>
      </w:r>
      <w:r w:rsidRPr="008378F3">
        <w:rPr>
          <w:rFonts w:eastAsia="Times New Roman"/>
          <w:i/>
          <w:iCs/>
          <w:color w:val="000000"/>
          <w:kern w:val="0"/>
          <w:sz w:val="20"/>
          <w:szCs w:val="20"/>
          <w:vertAlign w:val="subscript"/>
          <w:lang w:val="en-GB" w:eastAsia="en-GB"/>
        </w:rPr>
        <w:t>t</w:t>
      </w:r>
      <w:r w:rsidRPr="003C62B7">
        <w:rPr>
          <w:sz w:val="20"/>
          <w:szCs w:val="20"/>
        </w:rPr>
        <w:t>/</w:t>
      </w:r>
      <w:r w:rsidRPr="008378F3">
        <w:rPr>
          <w:rFonts w:eastAsia="Times New Roman"/>
          <w:i/>
          <w:iCs/>
          <w:color w:val="000000"/>
          <w:kern w:val="0"/>
          <w:sz w:val="20"/>
          <w:szCs w:val="20"/>
          <w:lang w:val="en-GB" w:eastAsia="en-GB"/>
        </w:rPr>
        <w:t>NOA</w:t>
      </w:r>
      <w:r>
        <w:rPr>
          <w:rFonts w:eastAsia="Times New Roman"/>
          <w:i/>
          <w:iCs/>
          <w:color w:val="000000"/>
          <w:kern w:val="0"/>
          <w:sz w:val="20"/>
          <w:szCs w:val="20"/>
          <w:vertAlign w:val="subscript"/>
          <w:lang w:val="en-GB" w:eastAsia="en-GB"/>
        </w:rPr>
        <w:t xml:space="preserve">t-1. </w:t>
      </w:r>
      <w:r w:rsidRPr="00F73193">
        <w:rPr>
          <w:i/>
          <w:iCs/>
          <w:szCs w:val="22"/>
        </w:rPr>
        <w:t>the</w:t>
      </w:r>
      <w:r>
        <w:rPr>
          <w:i/>
          <w:iCs/>
          <w:szCs w:val="22"/>
          <w:vertAlign w:val="subscript"/>
        </w:rPr>
        <w:t xml:space="preserve"> </w:t>
      </w:r>
      <w:r w:rsidRPr="003C62B7">
        <w:rPr>
          <w:sz w:val="20"/>
          <w:szCs w:val="20"/>
        </w:rPr>
        <w:t>Sales growth (</w:t>
      </w:r>
      <w:r w:rsidRPr="008378F3">
        <w:rPr>
          <w:rFonts w:eastAsia="Times New Roman"/>
          <w:i/>
          <w:iCs/>
          <w:color w:val="000000"/>
          <w:kern w:val="0"/>
          <w:sz w:val="20"/>
          <w:szCs w:val="20"/>
          <w:lang w:val="en-GB" w:eastAsia="en-GB"/>
        </w:rPr>
        <w:t>SG</w:t>
      </w:r>
      <w:r w:rsidRPr="008378F3">
        <w:rPr>
          <w:rFonts w:eastAsia="Times New Roman"/>
          <w:i/>
          <w:iCs/>
          <w:color w:val="000000"/>
          <w:kern w:val="0"/>
          <w:sz w:val="20"/>
          <w:szCs w:val="20"/>
          <w:vertAlign w:val="subscript"/>
          <w:lang w:val="en-GB" w:eastAsia="en-GB"/>
        </w:rPr>
        <w:t>t</w:t>
      </w:r>
      <w:r w:rsidRPr="003C62B7">
        <w:rPr>
          <w:sz w:val="20"/>
          <w:szCs w:val="20"/>
        </w:rPr>
        <w:t>) is calculated as the percentage change in sales</w:t>
      </w:r>
      <w:r>
        <w:rPr>
          <w:sz w:val="20"/>
          <w:szCs w:val="20"/>
        </w:rPr>
        <w:t xml:space="preserve">. </w:t>
      </w:r>
      <w:r w:rsidRPr="008378F3">
        <w:rPr>
          <w:rFonts w:eastAsia="Times New Roman"/>
          <w:i/>
          <w:iCs/>
          <w:color w:val="000000"/>
          <w:kern w:val="0"/>
          <w:sz w:val="20"/>
          <w:szCs w:val="20"/>
          <w:lang w:val="en-GB" w:eastAsia="en-GB"/>
        </w:rPr>
        <w:t>AD</w:t>
      </w:r>
      <w:r w:rsidRPr="008378F3">
        <w:rPr>
          <w:rFonts w:eastAsia="Times New Roman"/>
          <w:i/>
          <w:iCs/>
          <w:color w:val="000000"/>
          <w:kern w:val="0"/>
          <w:sz w:val="20"/>
          <w:szCs w:val="20"/>
          <w:vertAlign w:val="subscript"/>
          <w:lang w:val="en-GB" w:eastAsia="en-GB"/>
        </w:rPr>
        <w:t>t</w:t>
      </w:r>
      <w:r w:rsidRPr="003C62B7">
        <w:rPr>
          <w:sz w:val="20"/>
          <w:szCs w:val="20"/>
        </w:rPr>
        <w:t xml:space="preserve"> is the change in which is measured as: </w:t>
      </w:r>
      <w:r>
        <w:rPr>
          <w:sz w:val="20"/>
          <w:szCs w:val="20"/>
        </w:rPr>
        <w:t>(</w:t>
      </w:r>
      <w:r w:rsidRPr="003C62B7">
        <w:rPr>
          <w:sz w:val="20"/>
          <w:szCs w:val="20"/>
        </w:rPr>
        <w:t>Salest/</w:t>
      </w:r>
      <w:r w:rsidRPr="008378F3">
        <w:rPr>
          <w:rFonts w:eastAsia="Times New Roman"/>
          <w:i/>
          <w:iCs/>
          <w:color w:val="000000"/>
          <w:kern w:val="0"/>
          <w:sz w:val="20"/>
          <w:szCs w:val="20"/>
          <w:lang w:val="en-GB" w:eastAsia="en-GB"/>
        </w:rPr>
        <w:t>NOA</w:t>
      </w:r>
      <w:r w:rsidRPr="008378F3">
        <w:rPr>
          <w:rFonts w:eastAsia="Times New Roman"/>
          <w:i/>
          <w:iCs/>
          <w:color w:val="000000"/>
          <w:kern w:val="0"/>
          <w:sz w:val="20"/>
          <w:szCs w:val="20"/>
          <w:vertAlign w:val="subscript"/>
          <w:lang w:val="en-GB" w:eastAsia="en-GB"/>
        </w:rPr>
        <w:t>t</w:t>
      </w:r>
      <w:r>
        <w:rPr>
          <w:sz w:val="20"/>
          <w:szCs w:val="20"/>
        </w:rPr>
        <w:t>)</w:t>
      </w:r>
      <w:r w:rsidRPr="003C62B7">
        <w:rPr>
          <w:sz w:val="20"/>
          <w:szCs w:val="20"/>
        </w:rPr>
        <w:t>− (Salest</w:t>
      </w:r>
      <w:r>
        <w:rPr>
          <w:sz w:val="20"/>
          <w:szCs w:val="20"/>
          <w:vertAlign w:val="subscript"/>
        </w:rPr>
        <w:t>-1</w:t>
      </w:r>
      <w:r w:rsidRPr="003C62B7">
        <w:rPr>
          <w:sz w:val="20"/>
          <w:szCs w:val="20"/>
        </w:rPr>
        <w:t>/</w:t>
      </w:r>
      <w:r w:rsidRPr="008378F3">
        <w:rPr>
          <w:rFonts w:eastAsia="Times New Roman"/>
          <w:i/>
          <w:iCs/>
          <w:color w:val="000000"/>
          <w:kern w:val="0"/>
          <w:sz w:val="20"/>
          <w:szCs w:val="20"/>
          <w:lang w:val="en-GB" w:eastAsia="en-GB"/>
        </w:rPr>
        <w:t>NOA</w:t>
      </w:r>
      <w:r w:rsidRPr="008378F3">
        <w:rPr>
          <w:rFonts w:eastAsia="Times New Roman"/>
          <w:i/>
          <w:iCs/>
          <w:color w:val="000000"/>
          <w:kern w:val="0"/>
          <w:sz w:val="20"/>
          <w:szCs w:val="20"/>
          <w:vertAlign w:val="subscript"/>
          <w:lang w:val="en-GB" w:eastAsia="en-GB"/>
        </w:rPr>
        <w:t>t</w:t>
      </w:r>
      <w:r>
        <w:rPr>
          <w:rFonts w:eastAsia="Times New Roman"/>
          <w:i/>
          <w:iCs/>
          <w:color w:val="000000"/>
          <w:kern w:val="0"/>
          <w:sz w:val="20"/>
          <w:szCs w:val="20"/>
          <w:vertAlign w:val="subscript"/>
          <w:lang w:val="en-GB" w:eastAsia="en-GB"/>
        </w:rPr>
        <w:t>-1</w:t>
      </w:r>
      <w:r w:rsidRPr="003C62B7">
        <w:rPr>
          <w:sz w:val="20"/>
          <w:szCs w:val="20"/>
        </w:rPr>
        <w:t>)/(Salest/</w:t>
      </w:r>
      <w:r w:rsidRPr="008378F3">
        <w:rPr>
          <w:rFonts w:eastAsia="Times New Roman"/>
          <w:i/>
          <w:iCs/>
          <w:color w:val="000000"/>
          <w:kern w:val="0"/>
          <w:sz w:val="20"/>
          <w:szCs w:val="20"/>
          <w:lang w:val="en-GB" w:eastAsia="en-GB"/>
        </w:rPr>
        <w:t>NOA</w:t>
      </w:r>
      <w:r w:rsidRPr="008378F3">
        <w:rPr>
          <w:rFonts w:eastAsia="Times New Roman"/>
          <w:i/>
          <w:iCs/>
          <w:color w:val="000000"/>
          <w:kern w:val="0"/>
          <w:sz w:val="20"/>
          <w:szCs w:val="20"/>
          <w:vertAlign w:val="subscript"/>
          <w:lang w:val="en-GB" w:eastAsia="en-GB"/>
        </w:rPr>
        <w:t>t</w:t>
      </w:r>
      <w:r w:rsidRPr="003C62B7">
        <w:rPr>
          <w:sz w:val="20"/>
          <w:szCs w:val="20"/>
        </w:rPr>
        <w:t xml:space="preserve">). </w:t>
      </w:r>
      <w:r w:rsidRPr="008378F3">
        <w:rPr>
          <w:rFonts w:eastAsia="Times New Roman"/>
          <w:i/>
          <w:iCs/>
          <w:color w:val="000000"/>
          <w:kern w:val="0"/>
          <w:sz w:val="20"/>
          <w:szCs w:val="20"/>
          <w:lang w:val="en-GB" w:eastAsia="en-GB"/>
        </w:rPr>
        <w:t>NOA</w:t>
      </w:r>
      <w:r w:rsidRPr="008378F3">
        <w:rPr>
          <w:rFonts w:eastAsia="Times New Roman"/>
          <w:i/>
          <w:iCs/>
          <w:color w:val="000000"/>
          <w:kern w:val="0"/>
          <w:sz w:val="20"/>
          <w:szCs w:val="20"/>
          <w:vertAlign w:val="subscript"/>
          <w:lang w:val="en-GB" w:eastAsia="en-GB"/>
        </w:rPr>
        <w:t>t</w:t>
      </w:r>
      <w:r w:rsidRPr="003C62B7">
        <w:rPr>
          <w:sz w:val="20"/>
          <w:szCs w:val="20"/>
        </w:rPr>
        <w:t xml:space="preserve"> are net operating assets</w:t>
      </w:r>
      <w:r>
        <w:rPr>
          <w:sz w:val="20"/>
          <w:szCs w:val="20"/>
        </w:rPr>
        <w:t xml:space="preserve"> </w:t>
      </w:r>
      <w:r w:rsidRPr="003C62B7">
        <w:rPr>
          <w:sz w:val="20"/>
          <w:szCs w:val="20"/>
        </w:rPr>
        <w:t>and non-debt liabilities</w:t>
      </w:r>
      <w:r>
        <w:rPr>
          <w:sz w:val="20"/>
          <w:szCs w:val="20"/>
        </w:rPr>
        <w:t xml:space="preserve">. </w:t>
      </w:r>
      <w:r w:rsidRPr="008378F3">
        <w:rPr>
          <w:rFonts w:eastAsia="Times New Roman"/>
          <w:i/>
          <w:iCs/>
          <w:color w:val="000000"/>
          <w:kern w:val="0"/>
          <w:sz w:val="20"/>
          <w:szCs w:val="20"/>
          <w:lang w:val="en-GB" w:eastAsia="en-GB"/>
        </w:rPr>
        <w:t>ACC</w:t>
      </w:r>
      <w:r w:rsidRPr="008378F3">
        <w:rPr>
          <w:rFonts w:eastAsia="Times New Roman"/>
          <w:i/>
          <w:iCs/>
          <w:color w:val="000000"/>
          <w:kern w:val="0"/>
          <w:sz w:val="20"/>
          <w:szCs w:val="20"/>
          <w:vertAlign w:val="subscript"/>
          <w:lang w:val="en-GB" w:eastAsia="en-GB"/>
        </w:rPr>
        <w:t>t</w:t>
      </w:r>
      <w:r w:rsidRPr="003C62B7">
        <w:rPr>
          <w:sz w:val="20"/>
          <w:szCs w:val="20"/>
        </w:rPr>
        <w:t xml:space="preserve"> is total accruals, measured as the percentage change in </w:t>
      </w:r>
      <w:r w:rsidRPr="008378F3">
        <w:rPr>
          <w:rFonts w:eastAsia="Times New Roman"/>
          <w:i/>
          <w:iCs/>
          <w:color w:val="000000"/>
          <w:kern w:val="0"/>
          <w:sz w:val="20"/>
          <w:szCs w:val="20"/>
          <w:lang w:val="en-GB" w:eastAsia="en-GB"/>
        </w:rPr>
        <w:t>NOA</w:t>
      </w:r>
      <w:r w:rsidRPr="008378F3">
        <w:rPr>
          <w:rFonts w:eastAsia="Times New Roman"/>
          <w:i/>
          <w:iCs/>
          <w:color w:val="000000"/>
          <w:kern w:val="0"/>
          <w:sz w:val="20"/>
          <w:szCs w:val="20"/>
          <w:vertAlign w:val="subscript"/>
          <w:lang w:val="en-GB" w:eastAsia="en-GB"/>
        </w:rPr>
        <w:t>t</w:t>
      </w:r>
      <w:r w:rsidRPr="003C62B7">
        <w:rPr>
          <w:sz w:val="20"/>
          <w:szCs w:val="20"/>
        </w:rPr>
        <w:t>:(</w:t>
      </w:r>
      <w:r w:rsidRPr="00F31B5B">
        <w:rPr>
          <w:rFonts w:eastAsia="Times New Roman"/>
          <w:i/>
          <w:iCs/>
          <w:color w:val="000000"/>
          <w:kern w:val="0"/>
          <w:sz w:val="20"/>
          <w:szCs w:val="20"/>
          <w:lang w:val="en-GB" w:eastAsia="en-GB"/>
        </w:rPr>
        <w:t xml:space="preserve"> </w:t>
      </w:r>
      <w:r w:rsidRPr="008378F3">
        <w:rPr>
          <w:rFonts w:eastAsia="Times New Roman"/>
          <w:i/>
          <w:iCs/>
          <w:color w:val="000000"/>
          <w:kern w:val="0"/>
          <w:sz w:val="20"/>
          <w:szCs w:val="20"/>
          <w:lang w:val="en-GB" w:eastAsia="en-GB"/>
        </w:rPr>
        <w:t>NOA</w:t>
      </w:r>
      <w:r w:rsidRPr="008378F3">
        <w:rPr>
          <w:rFonts w:eastAsia="Times New Roman"/>
          <w:i/>
          <w:iCs/>
          <w:color w:val="000000"/>
          <w:kern w:val="0"/>
          <w:sz w:val="20"/>
          <w:szCs w:val="20"/>
          <w:vertAlign w:val="subscript"/>
          <w:lang w:val="en-GB" w:eastAsia="en-GB"/>
        </w:rPr>
        <w:t>t</w:t>
      </w:r>
      <w:r w:rsidRPr="003C62B7">
        <w:rPr>
          <w:sz w:val="20"/>
          <w:szCs w:val="20"/>
        </w:rPr>
        <w:t>/</w:t>
      </w:r>
      <w:r w:rsidRPr="008378F3">
        <w:rPr>
          <w:rFonts w:eastAsia="Times New Roman"/>
          <w:i/>
          <w:iCs/>
          <w:color w:val="000000"/>
          <w:kern w:val="0"/>
          <w:sz w:val="20"/>
          <w:szCs w:val="20"/>
          <w:lang w:val="en-GB" w:eastAsia="en-GB"/>
        </w:rPr>
        <w:t>NOA</w:t>
      </w:r>
      <w:r w:rsidRPr="008378F3">
        <w:rPr>
          <w:rFonts w:eastAsia="Times New Roman"/>
          <w:i/>
          <w:iCs/>
          <w:color w:val="000000"/>
          <w:kern w:val="0"/>
          <w:sz w:val="20"/>
          <w:szCs w:val="20"/>
          <w:vertAlign w:val="subscript"/>
          <w:lang w:val="en-GB" w:eastAsia="en-GB"/>
        </w:rPr>
        <w:t>t</w:t>
      </w:r>
      <w:r>
        <w:rPr>
          <w:rFonts w:eastAsia="Times New Roman"/>
          <w:i/>
          <w:iCs/>
          <w:color w:val="000000"/>
          <w:kern w:val="0"/>
          <w:sz w:val="20"/>
          <w:szCs w:val="20"/>
          <w:vertAlign w:val="subscript"/>
          <w:lang w:val="en-GB" w:eastAsia="en-GB"/>
        </w:rPr>
        <w:t>-1</w:t>
      </w:r>
      <w:r>
        <w:rPr>
          <w:sz w:val="20"/>
          <w:szCs w:val="20"/>
        </w:rPr>
        <w:t>)</w:t>
      </w:r>
      <w:r w:rsidRPr="003C62B7">
        <w:rPr>
          <w:sz w:val="20"/>
          <w:szCs w:val="20"/>
        </w:rPr>
        <w:t xml:space="preserve">−1. </w:t>
      </w:r>
      <w:r w:rsidRPr="00BB4E00">
        <w:rPr>
          <w:sz w:val="20"/>
          <w:szCs w:val="20"/>
        </w:rPr>
        <w:t>This table presents the results of cross-sectional regressions of the one-year-ahead abnormal returns on current operating profitability, lagged stock returns, total accruals and accruals due to sales growth and accounting distortion over the period 200</w:t>
      </w:r>
      <w:r>
        <w:rPr>
          <w:sz w:val="20"/>
          <w:szCs w:val="20"/>
        </w:rPr>
        <w:t>8</w:t>
      </w:r>
      <w:r w:rsidRPr="00BB4E00">
        <w:rPr>
          <w:sz w:val="20"/>
          <w:szCs w:val="20"/>
        </w:rPr>
        <w:t>-20</w:t>
      </w:r>
      <w:r>
        <w:rPr>
          <w:sz w:val="20"/>
          <w:szCs w:val="20"/>
        </w:rPr>
        <w:t>17</w:t>
      </w:r>
      <w:r w:rsidRPr="00BB4E00">
        <w:rPr>
          <w:sz w:val="20"/>
          <w:szCs w:val="20"/>
        </w:rPr>
        <w:t xml:space="preserve">. </w:t>
      </w:r>
      <w:r>
        <w:rPr>
          <w:sz w:val="20"/>
          <w:szCs w:val="20"/>
        </w:rPr>
        <w:t>It</w:t>
      </w:r>
      <w:r w:rsidRPr="00BB4E00">
        <w:rPr>
          <w:sz w:val="20"/>
          <w:szCs w:val="20"/>
        </w:rPr>
        <w:t xml:space="preserve"> shows the time-series averages of the parameters coefficients and t-statistics in italics and p-value in italics with parentheses of all independent variables. </w:t>
      </w:r>
    </w:p>
    <w:p w:rsidR="00AE171B" w:rsidRDefault="00AE171B" w:rsidP="00AE171B">
      <w:pPr>
        <w:tabs>
          <w:tab w:val="left" w:pos="8222"/>
        </w:tabs>
        <w:spacing w:line="240" w:lineRule="auto"/>
        <w:ind w:right="-483" w:firstLine="0"/>
        <w:rPr>
          <w:sz w:val="20"/>
          <w:szCs w:val="20"/>
        </w:rPr>
      </w:pPr>
    </w:p>
    <w:p w:rsidR="00AE171B" w:rsidRDefault="00AE171B" w:rsidP="00D64C8F">
      <w:pPr>
        <w:spacing w:line="240" w:lineRule="auto"/>
        <w:ind w:left="440" w:hangingChars="200" w:hanging="440"/>
        <w:rPr>
          <w:szCs w:val="22"/>
        </w:rPr>
      </w:pPr>
    </w:p>
    <w:p w:rsidR="00495529" w:rsidRDefault="00495529" w:rsidP="00D64C8F">
      <w:pPr>
        <w:spacing w:line="240" w:lineRule="auto"/>
        <w:ind w:left="440" w:hangingChars="200" w:hanging="440"/>
        <w:rPr>
          <w:szCs w:val="22"/>
        </w:rPr>
      </w:pPr>
    </w:p>
    <w:p w:rsidR="00495529" w:rsidRDefault="00495529" w:rsidP="00D64C8F">
      <w:pPr>
        <w:spacing w:line="240" w:lineRule="auto"/>
        <w:ind w:left="440" w:hangingChars="200" w:hanging="440"/>
        <w:rPr>
          <w:szCs w:val="22"/>
        </w:rPr>
      </w:pPr>
    </w:p>
    <w:p w:rsidR="00495529" w:rsidRDefault="00495529" w:rsidP="00D64C8F">
      <w:pPr>
        <w:spacing w:line="240" w:lineRule="auto"/>
        <w:ind w:left="440" w:hangingChars="200" w:hanging="440"/>
        <w:rPr>
          <w:szCs w:val="22"/>
        </w:rPr>
      </w:pPr>
    </w:p>
    <w:p w:rsidR="00495529" w:rsidRDefault="00495529" w:rsidP="00D64C8F">
      <w:pPr>
        <w:spacing w:line="240" w:lineRule="auto"/>
        <w:ind w:left="440" w:hangingChars="200" w:hanging="440"/>
        <w:rPr>
          <w:szCs w:val="22"/>
        </w:rPr>
      </w:pPr>
    </w:p>
    <w:p w:rsidR="00495529" w:rsidRDefault="00495529" w:rsidP="00D64C8F">
      <w:pPr>
        <w:spacing w:line="240" w:lineRule="auto"/>
        <w:ind w:left="440" w:hangingChars="200" w:hanging="440"/>
        <w:rPr>
          <w:szCs w:val="22"/>
        </w:rPr>
      </w:pPr>
    </w:p>
    <w:p w:rsidR="00495529" w:rsidRDefault="00495529" w:rsidP="00D64C8F">
      <w:pPr>
        <w:spacing w:line="240" w:lineRule="auto"/>
        <w:ind w:left="440" w:hangingChars="200" w:hanging="440"/>
        <w:rPr>
          <w:szCs w:val="22"/>
        </w:rPr>
      </w:pPr>
    </w:p>
    <w:p w:rsidR="00495529" w:rsidRDefault="00495529" w:rsidP="00D64C8F">
      <w:pPr>
        <w:spacing w:line="240" w:lineRule="auto"/>
        <w:ind w:left="440" w:hangingChars="200" w:hanging="440"/>
        <w:rPr>
          <w:szCs w:val="22"/>
        </w:rPr>
      </w:pPr>
    </w:p>
    <w:p w:rsidR="00495529" w:rsidRDefault="00495529" w:rsidP="00D64C8F">
      <w:pPr>
        <w:spacing w:line="240" w:lineRule="auto"/>
        <w:ind w:left="440" w:hangingChars="200" w:hanging="440"/>
        <w:rPr>
          <w:szCs w:val="22"/>
        </w:rPr>
      </w:pPr>
    </w:p>
    <w:p w:rsidR="00495529" w:rsidRDefault="00495529" w:rsidP="00D64C8F">
      <w:pPr>
        <w:spacing w:line="240" w:lineRule="auto"/>
        <w:ind w:left="440" w:hangingChars="200" w:hanging="440"/>
        <w:rPr>
          <w:szCs w:val="22"/>
        </w:rPr>
      </w:pPr>
    </w:p>
    <w:p w:rsidR="00495529" w:rsidRDefault="00495529" w:rsidP="00D64C8F">
      <w:pPr>
        <w:spacing w:line="240" w:lineRule="auto"/>
        <w:ind w:left="440" w:hangingChars="200" w:hanging="440"/>
        <w:rPr>
          <w:szCs w:val="22"/>
        </w:rPr>
      </w:pPr>
    </w:p>
    <w:p w:rsidR="00495529" w:rsidRDefault="00495529" w:rsidP="00D64C8F">
      <w:pPr>
        <w:spacing w:line="240" w:lineRule="auto"/>
        <w:ind w:left="440" w:hangingChars="200" w:hanging="440"/>
        <w:rPr>
          <w:szCs w:val="22"/>
        </w:rPr>
      </w:pPr>
    </w:p>
    <w:p w:rsidR="00495529" w:rsidRDefault="00495529" w:rsidP="00D64C8F">
      <w:pPr>
        <w:spacing w:line="240" w:lineRule="auto"/>
        <w:ind w:left="440" w:hangingChars="200" w:hanging="440"/>
        <w:rPr>
          <w:szCs w:val="22"/>
        </w:rPr>
      </w:pPr>
    </w:p>
    <w:p w:rsidR="00495529" w:rsidRDefault="00495529" w:rsidP="00D64C8F">
      <w:pPr>
        <w:spacing w:line="240" w:lineRule="auto"/>
        <w:ind w:left="440" w:hangingChars="200" w:hanging="440"/>
        <w:rPr>
          <w:szCs w:val="22"/>
        </w:rPr>
      </w:pPr>
    </w:p>
    <w:p w:rsidR="00495529" w:rsidRDefault="00495529" w:rsidP="00D64C8F">
      <w:pPr>
        <w:spacing w:line="240" w:lineRule="auto"/>
        <w:ind w:left="440" w:hangingChars="200" w:hanging="440"/>
        <w:rPr>
          <w:szCs w:val="22"/>
        </w:rPr>
      </w:pPr>
    </w:p>
    <w:p w:rsidR="00495529" w:rsidRDefault="00495529" w:rsidP="00D64C8F">
      <w:pPr>
        <w:spacing w:line="240" w:lineRule="auto"/>
        <w:ind w:left="440" w:hangingChars="200" w:hanging="440"/>
        <w:rPr>
          <w:szCs w:val="22"/>
        </w:rPr>
      </w:pPr>
    </w:p>
    <w:p w:rsidR="00495529" w:rsidRDefault="00495529" w:rsidP="00D64C8F">
      <w:pPr>
        <w:spacing w:line="240" w:lineRule="auto"/>
        <w:ind w:left="440" w:hangingChars="200" w:hanging="440"/>
        <w:rPr>
          <w:szCs w:val="22"/>
        </w:rPr>
      </w:pPr>
    </w:p>
    <w:p w:rsidR="00495529" w:rsidRDefault="00495529" w:rsidP="00D64C8F">
      <w:pPr>
        <w:spacing w:line="240" w:lineRule="auto"/>
        <w:ind w:left="440" w:hangingChars="200" w:hanging="440"/>
        <w:rPr>
          <w:szCs w:val="22"/>
        </w:rPr>
      </w:pPr>
    </w:p>
    <w:p w:rsidR="00495529" w:rsidRDefault="00495529" w:rsidP="00D64C8F">
      <w:pPr>
        <w:spacing w:line="240" w:lineRule="auto"/>
        <w:ind w:left="440" w:hangingChars="200" w:hanging="440"/>
        <w:rPr>
          <w:szCs w:val="22"/>
        </w:rPr>
      </w:pPr>
    </w:p>
    <w:p w:rsidR="00495529" w:rsidRPr="00905ACC" w:rsidRDefault="00495529" w:rsidP="00B52BA2">
      <w:pPr>
        <w:spacing w:line="240" w:lineRule="auto"/>
        <w:ind w:firstLine="0"/>
        <w:rPr>
          <w:szCs w:val="22"/>
        </w:rPr>
      </w:pPr>
    </w:p>
    <w:sectPr w:rsidR="00495529" w:rsidRPr="00905ACC" w:rsidSect="007D75D2">
      <w:headerReference w:type="default" r:id="rId15"/>
      <w:footerReference w:type="default" r:id="rId16"/>
      <w:pgSz w:w="11906" w:h="16838"/>
      <w:pgMar w:top="1440" w:right="1196" w:bottom="1440" w:left="1800" w:header="851" w:footer="992" w:gutter="0"/>
      <w:pgNumType w:start="1"/>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757" w:rsidRDefault="00D00757">
      <w:r>
        <w:separator/>
      </w:r>
    </w:p>
  </w:endnote>
  <w:endnote w:type="continuationSeparator" w:id="0">
    <w:p w:rsidR="00D00757" w:rsidRDefault="00D00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TKaiti">
    <w:altName w:val="Arial Unicode MS"/>
    <w:charset w:val="86"/>
    <w:family w:val="auto"/>
    <w:pitch w:val="variable"/>
    <w:sig w:usb0="00000000"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5D2" w:rsidRDefault="007D75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2262803"/>
      <w:docPartObj>
        <w:docPartGallery w:val="Page Numbers (Bottom of Page)"/>
        <w:docPartUnique/>
      </w:docPartObj>
    </w:sdtPr>
    <w:sdtEndPr>
      <w:rPr>
        <w:color w:val="7F7F7F" w:themeColor="background1" w:themeShade="7F"/>
        <w:spacing w:val="60"/>
      </w:rPr>
    </w:sdtEndPr>
    <w:sdtContent>
      <w:p w:rsidR="000D3A01" w:rsidRDefault="000D3A0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3525F" w:rsidRPr="0053525F">
          <w:rPr>
            <w:b/>
            <w:bCs/>
            <w:noProof/>
          </w:rPr>
          <w:t>11</w:t>
        </w:r>
        <w:r>
          <w:rPr>
            <w:b/>
            <w:bCs/>
            <w:noProof/>
          </w:rPr>
          <w:fldChar w:fldCharType="end"/>
        </w:r>
        <w:r>
          <w:rPr>
            <w:b/>
            <w:bCs/>
          </w:rPr>
          <w:t xml:space="preserve"> | </w:t>
        </w:r>
        <w:r>
          <w:rPr>
            <w:color w:val="7F7F7F" w:themeColor="background1" w:themeShade="7F"/>
            <w:spacing w:val="60"/>
          </w:rPr>
          <w:t>Page</w:t>
        </w:r>
      </w:p>
    </w:sdtContent>
  </w:sdt>
  <w:p w:rsidR="000D3A01" w:rsidRDefault="000D3A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5D2" w:rsidRDefault="007D75D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A01" w:rsidRDefault="000D3A01" w:rsidP="003D1736">
    <w:pPr>
      <w:pStyle w:val="Footer"/>
      <w:framePr w:wrap="around" w:vAnchor="text" w:hAnchor="page" w:x="5938" w:yAlign="center"/>
      <w:rPr>
        <w:rStyle w:val="PageNumber"/>
      </w:rPr>
    </w:pPr>
    <w:r>
      <w:rPr>
        <w:rStyle w:val="PageNumber"/>
      </w:rPr>
      <w:fldChar w:fldCharType="begin"/>
    </w:r>
    <w:r>
      <w:rPr>
        <w:rStyle w:val="PageNumber"/>
      </w:rPr>
      <w:instrText xml:space="preserve">PAGE  </w:instrText>
    </w:r>
    <w:r>
      <w:rPr>
        <w:rStyle w:val="PageNumber"/>
      </w:rPr>
      <w:fldChar w:fldCharType="separate"/>
    </w:r>
    <w:r w:rsidR="0053525F">
      <w:rPr>
        <w:rStyle w:val="PageNumber"/>
        <w:noProof/>
      </w:rPr>
      <w:t>8</w:t>
    </w:r>
    <w:r>
      <w:rPr>
        <w:rStyle w:val="PageNumber"/>
      </w:rPr>
      <w:fldChar w:fldCharType="end"/>
    </w:r>
  </w:p>
  <w:p w:rsidR="000D3A01" w:rsidRDefault="000D3A01" w:rsidP="003D17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757" w:rsidRDefault="00D00757">
      <w:r>
        <w:separator/>
      </w:r>
    </w:p>
  </w:footnote>
  <w:footnote w:type="continuationSeparator" w:id="0">
    <w:p w:rsidR="00D00757" w:rsidRDefault="00D00757">
      <w:r>
        <w:continuationSeparator/>
      </w:r>
    </w:p>
  </w:footnote>
  <w:footnote w:id="1">
    <w:p w:rsidR="006220C1" w:rsidRPr="00A45AD3" w:rsidRDefault="006220C1" w:rsidP="006220C1">
      <w:pPr>
        <w:spacing w:line="240" w:lineRule="auto"/>
        <w:ind w:firstLine="0"/>
        <w:contextualSpacing/>
        <w:rPr>
          <w:sz w:val="20"/>
          <w:szCs w:val="20"/>
        </w:rPr>
      </w:pPr>
      <w:r w:rsidRPr="00A45AD3">
        <w:rPr>
          <w:rStyle w:val="FootnoteReference"/>
          <w:sz w:val="20"/>
          <w:szCs w:val="20"/>
        </w:rPr>
        <w:footnoteRef/>
      </w:r>
      <w:r w:rsidRPr="00A45AD3">
        <w:rPr>
          <w:sz w:val="20"/>
          <w:szCs w:val="20"/>
        </w:rPr>
        <w:t>) Javad Izadi, the Claude Littner Business School. University of West London (United Kingdom).</w:t>
      </w:r>
    </w:p>
    <w:p w:rsidR="006220C1" w:rsidRPr="00A45AD3" w:rsidRDefault="006220C1" w:rsidP="006220C1">
      <w:pPr>
        <w:spacing w:line="240" w:lineRule="auto"/>
        <w:ind w:firstLine="0"/>
        <w:contextualSpacing/>
        <w:rPr>
          <w:rFonts w:ascii="Cambria" w:hAnsi="Cambria"/>
          <w:sz w:val="20"/>
          <w:szCs w:val="20"/>
          <w:shd w:val="clear" w:color="auto" w:fill="FFFFFF"/>
        </w:rPr>
      </w:pPr>
      <w:r w:rsidRPr="00A45AD3">
        <w:rPr>
          <w:rFonts w:ascii="Cambria" w:hAnsi="Cambria"/>
          <w:sz w:val="20"/>
          <w:szCs w:val="20"/>
          <w:shd w:val="clear" w:color="auto" w:fill="FFFFFF"/>
        </w:rPr>
        <w:t xml:space="preserve">   </w:t>
      </w:r>
    </w:p>
    <w:p w:rsidR="006220C1" w:rsidRPr="00A45AD3" w:rsidRDefault="006220C1" w:rsidP="006220C1">
      <w:pPr>
        <w:spacing w:line="240" w:lineRule="auto"/>
        <w:ind w:firstLine="0"/>
        <w:contextualSpacing/>
        <w:rPr>
          <w:sz w:val="20"/>
          <w:szCs w:val="20"/>
        </w:rPr>
      </w:pPr>
      <w:r w:rsidRPr="00A45AD3">
        <w:rPr>
          <w:rFonts w:ascii="Cambria" w:hAnsi="Cambria"/>
          <w:sz w:val="20"/>
          <w:szCs w:val="20"/>
          <w:shd w:val="clear" w:color="auto" w:fill="FFFFFF"/>
        </w:rPr>
        <w:t xml:space="preserve">  Corresponding author: </w:t>
      </w:r>
      <w:r w:rsidRPr="00A45AD3">
        <w:rPr>
          <w:sz w:val="20"/>
          <w:szCs w:val="20"/>
        </w:rPr>
        <w:t>Javad Izadi</w:t>
      </w:r>
    </w:p>
    <w:p w:rsidR="006220C1" w:rsidRPr="00A45AD3" w:rsidRDefault="006220C1" w:rsidP="006220C1">
      <w:pPr>
        <w:spacing w:line="240" w:lineRule="auto"/>
        <w:ind w:firstLine="0"/>
        <w:contextualSpacing/>
        <w:rPr>
          <w:sz w:val="20"/>
          <w:szCs w:val="20"/>
        </w:rPr>
      </w:pPr>
      <w:r w:rsidRPr="00A45AD3">
        <w:rPr>
          <w:sz w:val="20"/>
          <w:szCs w:val="20"/>
        </w:rPr>
        <w:t xml:space="preserve">  University of West London, London, TW8 9GA, E-Mail: </w:t>
      </w:r>
      <w:hyperlink r:id="rId1" w:history="1">
        <w:r w:rsidRPr="00A45AD3">
          <w:rPr>
            <w:sz w:val="20"/>
            <w:szCs w:val="20"/>
          </w:rPr>
          <w:t>Javad.Izadi@uwl.ac.uk</w:t>
        </w:r>
      </w:hyperlink>
    </w:p>
    <w:p w:rsidR="006220C1" w:rsidRPr="00A45AD3" w:rsidRDefault="006220C1" w:rsidP="006220C1">
      <w:pPr>
        <w:spacing w:line="240" w:lineRule="auto"/>
        <w:ind w:firstLine="0"/>
        <w:contextualSpacing/>
        <w:rPr>
          <w:sz w:val="20"/>
          <w:szCs w:val="20"/>
        </w:rPr>
      </w:pPr>
    </w:p>
  </w:footnote>
  <w:footnote w:id="2">
    <w:p w:rsidR="006220C1" w:rsidRPr="00A45AD3" w:rsidRDefault="006220C1" w:rsidP="006220C1">
      <w:pPr>
        <w:spacing w:line="240" w:lineRule="auto"/>
        <w:ind w:firstLine="0"/>
        <w:contextualSpacing/>
        <w:rPr>
          <w:sz w:val="20"/>
          <w:szCs w:val="20"/>
        </w:rPr>
      </w:pPr>
      <w:r w:rsidRPr="006220C1">
        <w:rPr>
          <w:sz w:val="20"/>
          <w:szCs w:val="20"/>
        </w:rPr>
        <w:footnoteRef/>
      </w:r>
      <w:r w:rsidRPr="006220C1">
        <w:rPr>
          <w:sz w:val="20"/>
          <w:szCs w:val="20"/>
        </w:rPr>
        <w:t xml:space="preserve"> ) </w:t>
      </w:r>
      <w:r w:rsidRPr="00A45AD3">
        <w:rPr>
          <w:sz w:val="20"/>
          <w:szCs w:val="20"/>
        </w:rPr>
        <w:t>Jinfeng Ye, the Claude Littner Business School. University of West London (United Kingdom).</w:t>
      </w:r>
    </w:p>
    <w:p w:rsidR="006220C1" w:rsidRPr="006220C1" w:rsidRDefault="006220C1" w:rsidP="006220C1">
      <w:pPr>
        <w:spacing w:line="240" w:lineRule="auto"/>
        <w:ind w:firstLine="0"/>
        <w:contextualSpacing/>
        <w:rPr>
          <w:sz w:val="20"/>
          <w:szCs w:val="20"/>
        </w:rPr>
      </w:pPr>
      <w:r w:rsidRPr="006220C1">
        <w:rPr>
          <w:sz w:val="20"/>
          <w:szCs w:val="20"/>
        </w:rPr>
        <w:t xml:space="preserve">  University of West London, London, TW8 9GA, E-Mail: yjfphoenix@gmail.com </w:t>
      </w:r>
    </w:p>
  </w:footnote>
  <w:footnote w:id="3">
    <w:p w:rsidR="006220C1" w:rsidRPr="006220C1" w:rsidRDefault="006220C1" w:rsidP="006220C1">
      <w:pPr>
        <w:spacing w:line="240" w:lineRule="auto"/>
        <w:ind w:firstLine="0"/>
        <w:contextualSpacing/>
        <w:rPr>
          <w:sz w:val="20"/>
          <w:szCs w:val="20"/>
        </w:rPr>
      </w:pPr>
      <w:r w:rsidRPr="006220C1">
        <w:footnoteRef/>
      </w:r>
      <w:r w:rsidRPr="00A45AD3">
        <w:rPr>
          <w:sz w:val="20"/>
          <w:szCs w:val="20"/>
        </w:rPr>
        <w:t>)</w:t>
      </w:r>
      <w:r w:rsidRPr="006220C1">
        <w:t xml:space="preserve"> </w:t>
      </w:r>
      <w:r w:rsidRPr="006220C1">
        <w:rPr>
          <w:sz w:val="20"/>
          <w:szCs w:val="20"/>
        </w:rPr>
        <w:t>Alireza Nazarian, 232 Queen's Building, Southlands, London (United Kingdom).University of Roehampton, alireza.nazarian@roehampton.ac.uk</w:t>
      </w:r>
    </w:p>
  </w:footnote>
  <w:footnote w:id="4">
    <w:p w:rsidR="006220C1" w:rsidRPr="006220C1" w:rsidRDefault="006220C1" w:rsidP="006220C1">
      <w:pPr>
        <w:spacing w:line="240" w:lineRule="auto"/>
        <w:ind w:firstLine="0"/>
        <w:contextualSpacing/>
        <w:rPr>
          <w:sz w:val="20"/>
          <w:szCs w:val="20"/>
        </w:rPr>
      </w:pPr>
      <w:r w:rsidRPr="006220C1">
        <w:rPr>
          <w:sz w:val="20"/>
          <w:szCs w:val="20"/>
        </w:rPr>
        <w:footnoteRef/>
      </w:r>
      <w:r w:rsidRPr="006220C1">
        <w:rPr>
          <w:sz w:val="20"/>
          <w:szCs w:val="20"/>
        </w:rPr>
        <w:t xml:space="preserve"> ) </w:t>
      </w:r>
      <w:r>
        <w:rPr>
          <w:sz w:val="20"/>
          <w:szCs w:val="20"/>
        </w:rPr>
        <w:t>Ali Shahzad,</w:t>
      </w:r>
      <w:r w:rsidRPr="006220C1">
        <w:rPr>
          <w:sz w:val="20"/>
          <w:szCs w:val="20"/>
        </w:rPr>
        <w:t xml:space="preserve"> </w:t>
      </w:r>
      <w:r>
        <w:rPr>
          <w:sz w:val="20"/>
          <w:szCs w:val="20"/>
        </w:rPr>
        <w:t>t</w:t>
      </w:r>
      <w:r w:rsidRPr="006220C1">
        <w:rPr>
          <w:sz w:val="20"/>
          <w:szCs w:val="20"/>
        </w:rPr>
        <w:t>he Claude Littner Business School, University of West London, United Kingdom</w:t>
      </w:r>
      <w:r>
        <w:rPr>
          <w:sz w:val="20"/>
          <w:szCs w:val="20"/>
        </w:rPr>
        <w:t xml:space="preserve">, </w:t>
      </w:r>
      <w:r w:rsidRPr="006220C1">
        <w:rPr>
          <w:sz w:val="20"/>
          <w:szCs w:val="20"/>
        </w:rPr>
        <w:t>E-Mail:</w:t>
      </w:r>
      <w:r w:rsidR="00BC7707" w:rsidRPr="00BC7707">
        <w:rPr>
          <w:sz w:val="20"/>
          <w:szCs w:val="20"/>
        </w:rPr>
        <w:t xml:space="preserve"> shahzad_ali363@hotmail.com</w:t>
      </w:r>
    </w:p>
    <w:p w:rsidR="006220C1" w:rsidRPr="006E0C31" w:rsidRDefault="006220C1" w:rsidP="006220C1">
      <w:pPr>
        <w:pStyle w:val="NormalWeb"/>
        <w:shd w:val="clear" w:color="auto" w:fill="FFFFFF"/>
        <w:contextualSpacing/>
        <w:jc w:val="center"/>
        <w:rPr>
          <w:rFonts w:eastAsia="STKaiti"/>
          <w:bCs/>
          <w:i/>
          <w:iCs/>
          <w:sz w:val="22"/>
          <w:szCs w:val="22"/>
        </w:rPr>
      </w:pPr>
    </w:p>
    <w:p w:rsidR="006220C1" w:rsidRPr="002F36BE" w:rsidRDefault="006220C1" w:rsidP="006220C1">
      <w:pPr>
        <w:pStyle w:val="FootnoteText"/>
        <w:rPr>
          <w:lang w:val="en-US"/>
        </w:rPr>
      </w:pPr>
    </w:p>
  </w:footnote>
  <w:footnote w:id="5">
    <w:p w:rsidR="000D3A01" w:rsidRDefault="000D3A01" w:rsidP="00BF545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5D2" w:rsidRDefault="007D75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5D2" w:rsidRDefault="007D75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5D2" w:rsidRDefault="007D75D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A01" w:rsidRPr="0034072D" w:rsidRDefault="000D3A01" w:rsidP="0034072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70353"/>
    <w:multiLevelType w:val="hybridMultilevel"/>
    <w:tmpl w:val="ED6CF9CC"/>
    <w:lvl w:ilvl="0" w:tplc="C87CF5AA">
      <w:start w:val="1"/>
      <w:numFmt w:val="decimal"/>
      <w:lvlText w:val="%1."/>
      <w:lvlJc w:val="left"/>
      <w:pPr>
        <w:ind w:left="928"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014FC"/>
    <w:multiLevelType w:val="hybridMultilevel"/>
    <w:tmpl w:val="53BA8E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537400"/>
    <w:multiLevelType w:val="hybridMultilevel"/>
    <w:tmpl w:val="40FA27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074A5C"/>
    <w:multiLevelType w:val="hybridMultilevel"/>
    <w:tmpl w:val="7AA481C4"/>
    <w:lvl w:ilvl="0" w:tplc="0809000F">
      <w:start w:val="1"/>
      <w:numFmt w:val="decimal"/>
      <w:lvlText w:val="%1."/>
      <w:lvlJc w:val="left"/>
      <w:pPr>
        <w:ind w:left="5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6E08F2"/>
    <w:multiLevelType w:val="hybridMultilevel"/>
    <w:tmpl w:val="BADAE576"/>
    <w:lvl w:ilvl="0" w:tplc="92AEC8F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E18"/>
    <w:rsid w:val="0000025A"/>
    <w:rsid w:val="0000193C"/>
    <w:rsid w:val="00001BB6"/>
    <w:rsid w:val="0000476E"/>
    <w:rsid w:val="00004DD0"/>
    <w:rsid w:val="00006317"/>
    <w:rsid w:val="000076EF"/>
    <w:rsid w:val="000135A2"/>
    <w:rsid w:val="00014D17"/>
    <w:rsid w:val="000179CA"/>
    <w:rsid w:val="000207F4"/>
    <w:rsid w:val="000210DC"/>
    <w:rsid w:val="0002122D"/>
    <w:rsid w:val="00021A8B"/>
    <w:rsid w:val="000247D3"/>
    <w:rsid w:val="000253D6"/>
    <w:rsid w:val="0002653C"/>
    <w:rsid w:val="00026DEA"/>
    <w:rsid w:val="000300D5"/>
    <w:rsid w:val="000301D4"/>
    <w:rsid w:val="00035B7B"/>
    <w:rsid w:val="00036D54"/>
    <w:rsid w:val="0003772F"/>
    <w:rsid w:val="000379D9"/>
    <w:rsid w:val="00040289"/>
    <w:rsid w:val="00043D92"/>
    <w:rsid w:val="0004576E"/>
    <w:rsid w:val="00047194"/>
    <w:rsid w:val="00047EEB"/>
    <w:rsid w:val="000516BA"/>
    <w:rsid w:val="000526C7"/>
    <w:rsid w:val="00055B70"/>
    <w:rsid w:val="00061A14"/>
    <w:rsid w:val="00064390"/>
    <w:rsid w:val="0006527E"/>
    <w:rsid w:val="000667F2"/>
    <w:rsid w:val="00066F85"/>
    <w:rsid w:val="00067604"/>
    <w:rsid w:val="000714A3"/>
    <w:rsid w:val="00071B64"/>
    <w:rsid w:val="00073040"/>
    <w:rsid w:val="0007367A"/>
    <w:rsid w:val="000742E7"/>
    <w:rsid w:val="00075580"/>
    <w:rsid w:val="0007609E"/>
    <w:rsid w:val="00077F6B"/>
    <w:rsid w:val="00080853"/>
    <w:rsid w:val="00082A7F"/>
    <w:rsid w:val="00082D6E"/>
    <w:rsid w:val="000850DC"/>
    <w:rsid w:val="000852C8"/>
    <w:rsid w:val="0008596E"/>
    <w:rsid w:val="00090461"/>
    <w:rsid w:val="000952C0"/>
    <w:rsid w:val="000972EB"/>
    <w:rsid w:val="000A41EE"/>
    <w:rsid w:val="000A4343"/>
    <w:rsid w:val="000A4A1F"/>
    <w:rsid w:val="000A5507"/>
    <w:rsid w:val="000A5AF2"/>
    <w:rsid w:val="000B0A83"/>
    <w:rsid w:val="000B3D04"/>
    <w:rsid w:val="000B6947"/>
    <w:rsid w:val="000C139E"/>
    <w:rsid w:val="000C1833"/>
    <w:rsid w:val="000C1D25"/>
    <w:rsid w:val="000C3543"/>
    <w:rsid w:val="000C5815"/>
    <w:rsid w:val="000C6998"/>
    <w:rsid w:val="000D179C"/>
    <w:rsid w:val="000D242E"/>
    <w:rsid w:val="000D33B7"/>
    <w:rsid w:val="000D3A01"/>
    <w:rsid w:val="000D45BA"/>
    <w:rsid w:val="000D59A9"/>
    <w:rsid w:val="000D5DC5"/>
    <w:rsid w:val="000D63A1"/>
    <w:rsid w:val="000E0C5F"/>
    <w:rsid w:val="000E2A30"/>
    <w:rsid w:val="000E2AE5"/>
    <w:rsid w:val="000E3269"/>
    <w:rsid w:val="000E3BF5"/>
    <w:rsid w:val="000E4ED0"/>
    <w:rsid w:val="000E7043"/>
    <w:rsid w:val="000F6518"/>
    <w:rsid w:val="001026A0"/>
    <w:rsid w:val="0010284A"/>
    <w:rsid w:val="00104418"/>
    <w:rsid w:val="00105EB1"/>
    <w:rsid w:val="00106494"/>
    <w:rsid w:val="001101FE"/>
    <w:rsid w:val="00110ED2"/>
    <w:rsid w:val="00112F64"/>
    <w:rsid w:val="00113604"/>
    <w:rsid w:val="0011570B"/>
    <w:rsid w:val="00115B86"/>
    <w:rsid w:val="001171AC"/>
    <w:rsid w:val="00117CFC"/>
    <w:rsid w:val="00117D37"/>
    <w:rsid w:val="00122E44"/>
    <w:rsid w:val="00123FE4"/>
    <w:rsid w:val="0012434B"/>
    <w:rsid w:val="00126E0C"/>
    <w:rsid w:val="00135075"/>
    <w:rsid w:val="001358C9"/>
    <w:rsid w:val="001358F2"/>
    <w:rsid w:val="00137542"/>
    <w:rsid w:val="00137C0B"/>
    <w:rsid w:val="001405B3"/>
    <w:rsid w:val="00141788"/>
    <w:rsid w:val="00142551"/>
    <w:rsid w:val="00142C53"/>
    <w:rsid w:val="0014401F"/>
    <w:rsid w:val="00144F5D"/>
    <w:rsid w:val="001463C2"/>
    <w:rsid w:val="00146594"/>
    <w:rsid w:val="0014758C"/>
    <w:rsid w:val="00153305"/>
    <w:rsid w:val="00153DD5"/>
    <w:rsid w:val="0015466A"/>
    <w:rsid w:val="0015548F"/>
    <w:rsid w:val="00157C9D"/>
    <w:rsid w:val="00157E5F"/>
    <w:rsid w:val="001601FF"/>
    <w:rsid w:val="0016028A"/>
    <w:rsid w:val="0016190C"/>
    <w:rsid w:val="001620DC"/>
    <w:rsid w:val="00162521"/>
    <w:rsid w:val="001653D5"/>
    <w:rsid w:val="00167443"/>
    <w:rsid w:val="00170D00"/>
    <w:rsid w:val="00172254"/>
    <w:rsid w:val="00172763"/>
    <w:rsid w:val="001734CD"/>
    <w:rsid w:val="00173AAB"/>
    <w:rsid w:val="00174CB2"/>
    <w:rsid w:val="00177434"/>
    <w:rsid w:val="001819FB"/>
    <w:rsid w:val="00181E52"/>
    <w:rsid w:val="0018393C"/>
    <w:rsid w:val="001851D6"/>
    <w:rsid w:val="0019029C"/>
    <w:rsid w:val="0019122F"/>
    <w:rsid w:val="00191574"/>
    <w:rsid w:val="00192AF1"/>
    <w:rsid w:val="0019707D"/>
    <w:rsid w:val="001A27B4"/>
    <w:rsid w:val="001A3CEC"/>
    <w:rsid w:val="001A45A7"/>
    <w:rsid w:val="001B0F89"/>
    <w:rsid w:val="001B1F13"/>
    <w:rsid w:val="001C0FC5"/>
    <w:rsid w:val="001C2777"/>
    <w:rsid w:val="001C4BB0"/>
    <w:rsid w:val="001C4C3D"/>
    <w:rsid w:val="001C57D4"/>
    <w:rsid w:val="001C6398"/>
    <w:rsid w:val="001D135A"/>
    <w:rsid w:val="001D5417"/>
    <w:rsid w:val="001D6DEF"/>
    <w:rsid w:val="001E3AD0"/>
    <w:rsid w:val="001E6157"/>
    <w:rsid w:val="001E683C"/>
    <w:rsid w:val="001E6B1B"/>
    <w:rsid w:val="001E6B32"/>
    <w:rsid w:val="001E79EE"/>
    <w:rsid w:val="001E7A6B"/>
    <w:rsid w:val="001E7EDC"/>
    <w:rsid w:val="001F1108"/>
    <w:rsid w:val="001F162E"/>
    <w:rsid w:val="001F2832"/>
    <w:rsid w:val="001F5727"/>
    <w:rsid w:val="001F6247"/>
    <w:rsid w:val="001F66D1"/>
    <w:rsid w:val="001F6B8B"/>
    <w:rsid w:val="0020098C"/>
    <w:rsid w:val="0020129B"/>
    <w:rsid w:val="0020187A"/>
    <w:rsid w:val="00201DC3"/>
    <w:rsid w:val="00204E94"/>
    <w:rsid w:val="002056E0"/>
    <w:rsid w:val="00206A9A"/>
    <w:rsid w:val="00210902"/>
    <w:rsid w:val="00210D09"/>
    <w:rsid w:val="00212EE1"/>
    <w:rsid w:val="00213C0D"/>
    <w:rsid w:val="002205F4"/>
    <w:rsid w:val="00221052"/>
    <w:rsid w:val="0022566A"/>
    <w:rsid w:val="00225F93"/>
    <w:rsid w:val="0022699C"/>
    <w:rsid w:val="00226A40"/>
    <w:rsid w:val="00231785"/>
    <w:rsid w:val="00231C06"/>
    <w:rsid w:val="00235E66"/>
    <w:rsid w:val="00241369"/>
    <w:rsid w:val="00241455"/>
    <w:rsid w:val="00242D5B"/>
    <w:rsid w:val="00246AD9"/>
    <w:rsid w:val="002505BF"/>
    <w:rsid w:val="0025066E"/>
    <w:rsid w:val="00251A2C"/>
    <w:rsid w:val="00252027"/>
    <w:rsid w:val="0025272D"/>
    <w:rsid w:val="00253216"/>
    <w:rsid w:val="00255BAF"/>
    <w:rsid w:val="00256385"/>
    <w:rsid w:val="00256723"/>
    <w:rsid w:val="002568DA"/>
    <w:rsid w:val="0025776B"/>
    <w:rsid w:val="00257A71"/>
    <w:rsid w:val="00257F74"/>
    <w:rsid w:val="00260523"/>
    <w:rsid w:val="002605F0"/>
    <w:rsid w:val="00260E93"/>
    <w:rsid w:val="00263391"/>
    <w:rsid w:val="00263E66"/>
    <w:rsid w:val="00264251"/>
    <w:rsid w:val="00267215"/>
    <w:rsid w:val="00267D0D"/>
    <w:rsid w:val="0027433E"/>
    <w:rsid w:val="00274C40"/>
    <w:rsid w:val="00275B64"/>
    <w:rsid w:val="002762F8"/>
    <w:rsid w:val="00276668"/>
    <w:rsid w:val="00276F2A"/>
    <w:rsid w:val="00277085"/>
    <w:rsid w:val="00281C62"/>
    <w:rsid w:val="002822D9"/>
    <w:rsid w:val="00282871"/>
    <w:rsid w:val="00282899"/>
    <w:rsid w:val="00283023"/>
    <w:rsid w:val="00283E20"/>
    <w:rsid w:val="002901AC"/>
    <w:rsid w:val="002904BC"/>
    <w:rsid w:val="00290883"/>
    <w:rsid w:val="0029140C"/>
    <w:rsid w:val="002928B5"/>
    <w:rsid w:val="002953BF"/>
    <w:rsid w:val="00295E0C"/>
    <w:rsid w:val="00296C84"/>
    <w:rsid w:val="002A075F"/>
    <w:rsid w:val="002A0B79"/>
    <w:rsid w:val="002A1462"/>
    <w:rsid w:val="002A2C6A"/>
    <w:rsid w:val="002A4EDC"/>
    <w:rsid w:val="002A6E46"/>
    <w:rsid w:val="002B1522"/>
    <w:rsid w:val="002B3F56"/>
    <w:rsid w:val="002B7B80"/>
    <w:rsid w:val="002C029F"/>
    <w:rsid w:val="002C2BF7"/>
    <w:rsid w:val="002C47C7"/>
    <w:rsid w:val="002C55D7"/>
    <w:rsid w:val="002C59BF"/>
    <w:rsid w:val="002C7105"/>
    <w:rsid w:val="002C7854"/>
    <w:rsid w:val="002D011D"/>
    <w:rsid w:val="002D03B5"/>
    <w:rsid w:val="002D2734"/>
    <w:rsid w:val="002D36F7"/>
    <w:rsid w:val="002D69B9"/>
    <w:rsid w:val="002D7A09"/>
    <w:rsid w:val="002E1DB8"/>
    <w:rsid w:val="002E4684"/>
    <w:rsid w:val="002E525B"/>
    <w:rsid w:val="002E61EA"/>
    <w:rsid w:val="002F0BB1"/>
    <w:rsid w:val="002F253B"/>
    <w:rsid w:val="002F3353"/>
    <w:rsid w:val="002F3585"/>
    <w:rsid w:val="002F47E5"/>
    <w:rsid w:val="002F5232"/>
    <w:rsid w:val="002F5E20"/>
    <w:rsid w:val="002F5FC0"/>
    <w:rsid w:val="002F6368"/>
    <w:rsid w:val="002F7A0A"/>
    <w:rsid w:val="00300771"/>
    <w:rsid w:val="0030124D"/>
    <w:rsid w:val="00301FCB"/>
    <w:rsid w:val="00303BC8"/>
    <w:rsid w:val="0030421D"/>
    <w:rsid w:val="00305200"/>
    <w:rsid w:val="00306072"/>
    <w:rsid w:val="00306A47"/>
    <w:rsid w:val="003073E7"/>
    <w:rsid w:val="00312171"/>
    <w:rsid w:val="00312DBA"/>
    <w:rsid w:val="00312F13"/>
    <w:rsid w:val="00314F32"/>
    <w:rsid w:val="00315C4D"/>
    <w:rsid w:val="0031603B"/>
    <w:rsid w:val="00320B12"/>
    <w:rsid w:val="00323474"/>
    <w:rsid w:val="00323817"/>
    <w:rsid w:val="00325DE3"/>
    <w:rsid w:val="00326B84"/>
    <w:rsid w:val="00327FC9"/>
    <w:rsid w:val="00331FEA"/>
    <w:rsid w:val="003329C9"/>
    <w:rsid w:val="00333246"/>
    <w:rsid w:val="00335B66"/>
    <w:rsid w:val="003366C4"/>
    <w:rsid w:val="00340409"/>
    <w:rsid w:val="0034072D"/>
    <w:rsid w:val="00342C61"/>
    <w:rsid w:val="00345A6F"/>
    <w:rsid w:val="00347BAA"/>
    <w:rsid w:val="0035243E"/>
    <w:rsid w:val="00353EE6"/>
    <w:rsid w:val="003561BB"/>
    <w:rsid w:val="00362051"/>
    <w:rsid w:val="003625C2"/>
    <w:rsid w:val="003634A0"/>
    <w:rsid w:val="00363D3C"/>
    <w:rsid w:val="00367C3B"/>
    <w:rsid w:val="00367F9E"/>
    <w:rsid w:val="00373D11"/>
    <w:rsid w:val="003770C9"/>
    <w:rsid w:val="00380276"/>
    <w:rsid w:val="00381AFC"/>
    <w:rsid w:val="00381B4E"/>
    <w:rsid w:val="003824C0"/>
    <w:rsid w:val="0038403E"/>
    <w:rsid w:val="00384F9B"/>
    <w:rsid w:val="00386529"/>
    <w:rsid w:val="00391E12"/>
    <w:rsid w:val="003922B5"/>
    <w:rsid w:val="003925EA"/>
    <w:rsid w:val="00392CA5"/>
    <w:rsid w:val="00392E7C"/>
    <w:rsid w:val="003947E2"/>
    <w:rsid w:val="00394A5F"/>
    <w:rsid w:val="00394B50"/>
    <w:rsid w:val="0039776D"/>
    <w:rsid w:val="003A05B3"/>
    <w:rsid w:val="003A27F4"/>
    <w:rsid w:val="003A4F5F"/>
    <w:rsid w:val="003A66D7"/>
    <w:rsid w:val="003A6822"/>
    <w:rsid w:val="003A7568"/>
    <w:rsid w:val="003B04E6"/>
    <w:rsid w:val="003B20EE"/>
    <w:rsid w:val="003B2AF4"/>
    <w:rsid w:val="003B2CF3"/>
    <w:rsid w:val="003B41EC"/>
    <w:rsid w:val="003B5175"/>
    <w:rsid w:val="003B6F21"/>
    <w:rsid w:val="003B79BA"/>
    <w:rsid w:val="003C20E1"/>
    <w:rsid w:val="003C2304"/>
    <w:rsid w:val="003C4BB0"/>
    <w:rsid w:val="003C592B"/>
    <w:rsid w:val="003C62B7"/>
    <w:rsid w:val="003C7D3E"/>
    <w:rsid w:val="003D1736"/>
    <w:rsid w:val="003D316A"/>
    <w:rsid w:val="003D32A4"/>
    <w:rsid w:val="003D4C12"/>
    <w:rsid w:val="003D4F71"/>
    <w:rsid w:val="003D7465"/>
    <w:rsid w:val="003D76AF"/>
    <w:rsid w:val="003D778C"/>
    <w:rsid w:val="003E1B75"/>
    <w:rsid w:val="003E28A8"/>
    <w:rsid w:val="003E5C32"/>
    <w:rsid w:val="003E65DF"/>
    <w:rsid w:val="003E75B1"/>
    <w:rsid w:val="003F1849"/>
    <w:rsid w:val="003F2F90"/>
    <w:rsid w:val="003F3312"/>
    <w:rsid w:val="003F3B94"/>
    <w:rsid w:val="003F3F72"/>
    <w:rsid w:val="003F4157"/>
    <w:rsid w:val="003F41A2"/>
    <w:rsid w:val="003F44F7"/>
    <w:rsid w:val="003F640B"/>
    <w:rsid w:val="003F7B17"/>
    <w:rsid w:val="004026F8"/>
    <w:rsid w:val="0040338E"/>
    <w:rsid w:val="004041BC"/>
    <w:rsid w:val="00404F20"/>
    <w:rsid w:val="004065C2"/>
    <w:rsid w:val="00406736"/>
    <w:rsid w:val="004075B3"/>
    <w:rsid w:val="00410D45"/>
    <w:rsid w:val="00412457"/>
    <w:rsid w:val="0041282E"/>
    <w:rsid w:val="00413095"/>
    <w:rsid w:val="004144F0"/>
    <w:rsid w:val="00416C85"/>
    <w:rsid w:val="00420477"/>
    <w:rsid w:val="00420B7A"/>
    <w:rsid w:val="00421E73"/>
    <w:rsid w:val="0043045F"/>
    <w:rsid w:val="00430D58"/>
    <w:rsid w:val="004311AC"/>
    <w:rsid w:val="00432642"/>
    <w:rsid w:val="0043327E"/>
    <w:rsid w:val="0043501A"/>
    <w:rsid w:val="0044063D"/>
    <w:rsid w:val="00444499"/>
    <w:rsid w:val="004444FA"/>
    <w:rsid w:val="00444BF0"/>
    <w:rsid w:val="00447F65"/>
    <w:rsid w:val="00451B53"/>
    <w:rsid w:val="004532A7"/>
    <w:rsid w:val="00453C81"/>
    <w:rsid w:val="0045761E"/>
    <w:rsid w:val="00460287"/>
    <w:rsid w:val="00460630"/>
    <w:rsid w:val="00461312"/>
    <w:rsid w:val="0046162E"/>
    <w:rsid w:val="004617E8"/>
    <w:rsid w:val="0046198B"/>
    <w:rsid w:val="00463221"/>
    <w:rsid w:val="00463C07"/>
    <w:rsid w:val="00464E56"/>
    <w:rsid w:val="004664CA"/>
    <w:rsid w:val="0047051C"/>
    <w:rsid w:val="0047431C"/>
    <w:rsid w:val="0047452C"/>
    <w:rsid w:val="004747B7"/>
    <w:rsid w:val="00477FE3"/>
    <w:rsid w:val="00482716"/>
    <w:rsid w:val="0048431C"/>
    <w:rsid w:val="004844D1"/>
    <w:rsid w:val="004904B7"/>
    <w:rsid w:val="0049423A"/>
    <w:rsid w:val="00495529"/>
    <w:rsid w:val="00496602"/>
    <w:rsid w:val="004968A2"/>
    <w:rsid w:val="00497895"/>
    <w:rsid w:val="004A0063"/>
    <w:rsid w:val="004A17BD"/>
    <w:rsid w:val="004A2897"/>
    <w:rsid w:val="004A369A"/>
    <w:rsid w:val="004A3CD1"/>
    <w:rsid w:val="004A3ED6"/>
    <w:rsid w:val="004A72D1"/>
    <w:rsid w:val="004B10DA"/>
    <w:rsid w:val="004B274A"/>
    <w:rsid w:val="004B317B"/>
    <w:rsid w:val="004B5C1B"/>
    <w:rsid w:val="004B663A"/>
    <w:rsid w:val="004B6777"/>
    <w:rsid w:val="004B69BF"/>
    <w:rsid w:val="004C0261"/>
    <w:rsid w:val="004C0BFD"/>
    <w:rsid w:val="004C3F61"/>
    <w:rsid w:val="004C4171"/>
    <w:rsid w:val="004C597E"/>
    <w:rsid w:val="004C60DE"/>
    <w:rsid w:val="004C6CBB"/>
    <w:rsid w:val="004C6EBD"/>
    <w:rsid w:val="004D0C30"/>
    <w:rsid w:val="004D0FE3"/>
    <w:rsid w:val="004D1685"/>
    <w:rsid w:val="004D1AEB"/>
    <w:rsid w:val="004D588D"/>
    <w:rsid w:val="004D6FF5"/>
    <w:rsid w:val="004D7BB1"/>
    <w:rsid w:val="004D7F5B"/>
    <w:rsid w:val="004E1673"/>
    <w:rsid w:val="004E2771"/>
    <w:rsid w:val="004E2E3F"/>
    <w:rsid w:val="004E3A02"/>
    <w:rsid w:val="004E5A3A"/>
    <w:rsid w:val="004E6074"/>
    <w:rsid w:val="004E7A2B"/>
    <w:rsid w:val="004F0B81"/>
    <w:rsid w:val="004F0E50"/>
    <w:rsid w:val="004F288F"/>
    <w:rsid w:val="004F4B60"/>
    <w:rsid w:val="004F67CD"/>
    <w:rsid w:val="004F7DB0"/>
    <w:rsid w:val="00501333"/>
    <w:rsid w:val="00503D9A"/>
    <w:rsid w:val="00506377"/>
    <w:rsid w:val="00507E02"/>
    <w:rsid w:val="0051148A"/>
    <w:rsid w:val="00511BF1"/>
    <w:rsid w:val="0051376B"/>
    <w:rsid w:val="00513C66"/>
    <w:rsid w:val="00513FF3"/>
    <w:rsid w:val="005141FC"/>
    <w:rsid w:val="0051449F"/>
    <w:rsid w:val="00515040"/>
    <w:rsid w:val="00515C66"/>
    <w:rsid w:val="00517287"/>
    <w:rsid w:val="00517CEF"/>
    <w:rsid w:val="00517FC2"/>
    <w:rsid w:val="00520041"/>
    <w:rsid w:val="00523DFE"/>
    <w:rsid w:val="005255FE"/>
    <w:rsid w:val="00525B9A"/>
    <w:rsid w:val="00525F92"/>
    <w:rsid w:val="00526DD0"/>
    <w:rsid w:val="005275E8"/>
    <w:rsid w:val="00530141"/>
    <w:rsid w:val="005322C2"/>
    <w:rsid w:val="005335D4"/>
    <w:rsid w:val="00534219"/>
    <w:rsid w:val="0053525F"/>
    <w:rsid w:val="00535323"/>
    <w:rsid w:val="00536768"/>
    <w:rsid w:val="005424EA"/>
    <w:rsid w:val="00544F09"/>
    <w:rsid w:val="00546423"/>
    <w:rsid w:val="00547BF8"/>
    <w:rsid w:val="00550B29"/>
    <w:rsid w:val="0055188E"/>
    <w:rsid w:val="00551C20"/>
    <w:rsid w:val="00556001"/>
    <w:rsid w:val="0055605A"/>
    <w:rsid w:val="00556147"/>
    <w:rsid w:val="00556A9A"/>
    <w:rsid w:val="005574AE"/>
    <w:rsid w:val="005606EF"/>
    <w:rsid w:val="005616E5"/>
    <w:rsid w:val="00561E8C"/>
    <w:rsid w:val="0056474F"/>
    <w:rsid w:val="00565999"/>
    <w:rsid w:val="00566A42"/>
    <w:rsid w:val="00571ABF"/>
    <w:rsid w:val="00572A27"/>
    <w:rsid w:val="005748E9"/>
    <w:rsid w:val="00577FFA"/>
    <w:rsid w:val="00584DA0"/>
    <w:rsid w:val="0058578D"/>
    <w:rsid w:val="005874B7"/>
    <w:rsid w:val="00592820"/>
    <w:rsid w:val="00592A67"/>
    <w:rsid w:val="00592B9F"/>
    <w:rsid w:val="005955D2"/>
    <w:rsid w:val="00596AB5"/>
    <w:rsid w:val="00597905"/>
    <w:rsid w:val="005A01E6"/>
    <w:rsid w:val="005A2EAF"/>
    <w:rsid w:val="005A3A94"/>
    <w:rsid w:val="005A40E8"/>
    <w:rsid w:val="005A445C"/>
    <w:rsid w:val="005A4634"/>
    <w:rsid w:val="005A6040"/>
    <w:rsid w:val="005A69EF"/>
    <w:rsid w:val="005A6FC7"/>
    <w:rsid w:val="005B11B7"/>
    <w:rsid w:val="005B194F"/>
    <w:rsid w:val="005B2A55"/>
    <w:rsid w:val="005B2BD7"/>
    <w:rsid w:val="005B3C71"/>
    <w:rsid w:val="005B7669"/>
    <w:rsid w:val="005C05FE"/>
    <w:rsid w:val="005C0EE7"/>
    <w:rsid w:val="005C1CDC"/>
    <w:rsid w:val="005C33F5"/>
    <w:rsid w:val="005C34F1"/>
    <w:rsid w:val="005C43DD"/>
    <w:rsid w:val="005C5174"/>
    <w:rsid w:val="005C633A"/>
    <w:rsid w:val="005C6922"/>
    <w:rsid w:val="005C6AC3"/>
    <w:rsid w:val="005D040B"/>
    <w:rsid w:val="005D279F"/>
    <w:rsid w:val="005D47C5"/>
    <w:rsid w:val="005D61E5"/>
    <w:rsid w:val="005D6D6A"/>
    <w:rsid w:val="005D7724"/>
    <w:rsid w:val="005E0FC4"/>
    <w:rsid w:val="005E1FE7"/>
    <w:rsid w:val="005E6A63"/>
    <w:rsid w:val="005F01AB"/>
    <w:rsid w:val="005F182E"/>
    <w:rsid w:val="005F2C08"/>
    <w:rsid w:val="005F7F24"/>
    <w:rsid w:val="0060200B"/>
    <w:rsid w:val="00603023"/>
    <w:rsid w:val="006030BE"/>
    <w:rsid w:val="00603657"/>
    <w:rsid w:val="00603783"/>
    <w:rsid w:val="0060484F"/>
    <w:rsid w:val="0060615F"/>
    <w:rsid w:val="00607EB7"/>
    <w:rsid w:val="00615A53"/>
    <w:rsid w:val="0061694C"/>
    <w:rsid w:val="00616DEF"/>
    <w:rsid w:val="00617637"/>
    <w:rsid w:val="006220C1"/>
    <w:rsid w:val="00623ED7"/>
    <w:rsid w:val="0062497F"/>
    <w:rsid w:val="006254F2"/>
    <w:rsid w:val="00626431"/>
    <w:rsid w:val="0063010A"/>
    <w:rsid w:val="0063015E"/>
    <w:rsid w:val="00630477"/>
    <w:rsid w:val="00630B5C"/>
    <w:rsid w:val="0063245E"/>
    <w:rsid w:val="00633C73"/>
    <w:rsid w:val="00633C94"/>
    <w:rsid w:val="00636239"/>
    <w:rsid w:val="00637C2C"/>
    <w:rsid w:val="0064037B"/>
    <w:rsid w:val="006415F0"/>
    <w:rsid w:val="00644F02"/>
    <w:rsid w:val="00645474"/>
    <w:rsid w:val="006468F2"/>
    <w:rsid w:val="0065304C"/>
    <w:rsid w:val="00653278"/>
    <w:rsid w:val="0065528A"/>
    <w:rsid w:val="006552EF"/>
    <w:rsid w:val="006559DB"/>
    <w:rsid w:val="00656D8B"/>
    <w:rsid w:val="00656E5C"/>
    <w:rsid w:val="00657732"/>
    <w:rsid w:val="006630B3"/>
    <w:rsid w:val="0066373F"/>
    <w:rsid w:val="00663783"/>
    <w:rsid w:val="006651C4"/>
    <w:rsid w:val="006652D9"/>
    <w:rsid w:val="00665B19"/>
    <w:rsid w:val="00665F3F"/>
    <w:rsid w:val="00666253"/>
    <w:rsid w:val="0066694E"/>
    <w:rsid w:val="00666E15"/>
    <w:rsid w:val="00670E8A"/>
    <w:rsid w:val="00671604"/>
    <w:rsid w:val="006736C0"/>
    <w:rsid w:val="0068052A"/>
    <w:rsid w:val="00681357"/>
    <w:rsid w:val="006816B9"/>
    <w:rsid w:val="00682B81"/>
    <w:rsid w:val="00683B4F"/>
    <w:rsid w:val="00683FAA"/>
    <w:rsid w:val="006840FB"/>
    <w:rsid w:val="00686078"/>
    <w:rsid w:val="006906F9"/>
    <w:rsid w:val="00692858"/>
    <w:rsid w:val="0069333C"/>
    <w:rsid w:val="006A0C22"/>
    <w:rsid w:val="006A2587"/>
    <w:rsid w:val="006A4B28"/>
    <w:rsid w:val="006A5AD2"/>
    <w:rsid w:val="006A5F91"/>
    <w:rsid w:val="006A70CC"/>
    <w:rsid w:val="006A7ADC"/>
    <w:rsid w:val="006B04D2"/>
    <w:rsid w:val="006B0BA3"/>
    <w:rsid w:val="006B284A"/>
    <w:rsid w:val="006B3148"/>
    <w:rsid w:val="006B3FB3"/>
    <w:rsid w:val="006B524C"/>
    <w:rsid w:val="006B754C"/>
    <w:rsid w:val="006B7A98"/>
    <w:rsid w:val="006C0272"/>
    <w:rsid w:val="006C0A7A"/>
    <w:rsid w:val="006C13B0"/>
    <w:rsid w:val="006C1B73"/>
    <w:rsid w:val="006C4A83"/>
    <w:rsid w:val="006C56F1"/>
    <w:rsid w:val="006C7270"/>
    <w:rsid w:val="006D12CB"/>
    <w:rsid w:val="006D138E"/>
    <w:rsid w:val="006D165C"/>
    <w:rsid w:val="006D257A"/>
    <w:rsid w:val="006D305F"/>
    <w:rsid w:val="006D5987"/>
    <w:rsid w:val="006E0463"/>
    <w:rsid w:val="006E0C31"/>
    <w:rsid w:val="006E2E02"/>
    <w:rsid w:val="006E3516"/>
    <w:rsid w:val="006E427C"/>
    <w:rsid w:val="006E55F2"/>
    <w:rsid w:val="006E5D61"/>
    <w:rsid w:val="006E68AE"/>
    <w:rsid w:val="006E6CFB"/>
    <w:rsid w:val="006F01B6"/>
    <w:rsid w:val="006F0FC5"/>
    <w:rsid w:val="006F57A9"/>
    <w:rsid w:val="006F61FB"/>
    <w:rsid w:val="006F70E4"/>
    <w:rsid w:val="0070052E"/>
    <w:rsid w:val="0070172E"/>
    <w:rsid w:val="00701A64"/>
    <w:rsid w:val="00701C15"/>
    <w:rsid w:val="00703098"/>
    <w:rsid w:val="007124A1"/>
    <w:rsid w:val="0071578F"/>
    <w:rsid w:val="00716B4A"/>
    <w:rsid w:val="0071722C"/>
    <w:rsid w:val="00717B82"/>
    <w:rsid w:val="0072067B"/>
    <w:rsid w:val="00720B54"/>
    <w:rsid w:val="0072109D"/>
    <w:rsid w:val="00722F03"/>
    <w:rsid w:val="007240C6"/>
    <w:rsid w:val="00724CAE"/>
    <w:rsid w:val="0073403D"/>
    <w:rsid w:val="0073437A"/>
    <w:rsid w:val="00734C4D"/>
    <w:rsid w:val="00735030"/>
    <w:rsid w:val="00736E15"/>
    <w:rsid w:val="00740E04"/>
    <w:rsid w:val="00741220"/>
    <w:rsid w:val="00741E46"/>
    <w:rsid w:val="00742735"/>
    <w:rsid w:val="00743EDF"/>
    <w:rsid w:val="00744192"/>
    <w:rsid w:val="007457EE"/>
    <w:rsid w:val="007459DE"/>
    <w:rsid w:val="00747495"/>
    <w:rsid w:val="007510A2"/>
    <w:rsid w:val="00752B8C"/>
    <w:rsid w:val="00755D2E"/>
    <w:rsid w:val="007567FE"/>
    <w:rsid w:val="0076027C"/>
    <w:rsid w:val="00760B34"/>
    <w:rsid w:val="00762462"/>
    <w:rsid w:val="0076347E"/>
    <w:rsid w:val="00763739"/>
    <w:rsid w:val="00763C30"/>
    <w:rsid w:val="007648EC"/>
    <w:rsid w:val="00765B78"/>
    <w:rsid w:val="00765C4F"/>
    <w:rsid w:val="0076654F"/>
    <w:rsid w:val="00766A06"/>
    <w:rsid w:val="00767572"/>
    <w:rsid w:val="00767CAD"/>
    <w:rsid w:val="00770882"/>
    <w:rsid w:val="00770EB4"/>
    <w:rsid w:val="00771B71"/>
    <w:rsid w:val="00775AA2"/>
    <w:rsid w:val="0077642E"/>
    <w:rsid w:val="0078051C"/>
    <w:rsid w:val="00781772"/>
    <w:rsid w:val="00781C33"/>
    <w:rsid w:val="00783AED"/>
    <w:rsid w:val="00783B4E"/>
    <w:rsid w:val="0078479B"/>
    <w:rsid w:val="00785E04"/>
    <w:rsid w:val="007874E1"/>
    <w:rsid w:val="00790C6A"/>
    <w:rsid w:val="00792053"/>
    <w:rsid w:val="00793D78"/>
    <w:rsid w:val="00793E82"/>
    <w:rsid w:val="007941C7"/>
    <w:rsid w:val="00795440"/>
    <w:rsid w:val="007A0805"/>
    <w:rsid w:val="007A0BCB"/>
    <w:rsid w:val="007A0DA2"/>
    <w:rsid w:val="007A129E"/>
    <w:rsid w:val="007A30AC"/>
    <w:rsid w:val="007A43FB"/>
    <w:rsid w:val="007A7295"/>
    <w:rsid w:val="007B1D06"/>
    <w:rsid w:val="007B1F52"/>
    <w:rsid w:val="007B20D6"/>
    <w:rsid w:val="007B540C"/>
    <w:rsid w:val="007B6558"/>
    <w:rsid w:val="007C2113"/>
    <w:rsid w:val="007C68EE"/>
    <w:rsid w:val="007D0670"/>
    <w:rsid w:val="007D0A9D"/>
    <w:rsid w:val="007D3E5C"/>
    <w:rsid w:val="007D3F92"/>
    <w:rsid w:val="007D75D2"/>
    <w:rsid w:val="007D76DB"/>
    <w:rsid w:val="007E1376"/>
    <w:rsid w:val="007E2041"/>
    <w:rsid w:val="007F091A"/>
    <w:rsid w:val="007F1208"/>
    <w:rsid w:val="007F1A0D"/>
    <w:rsid w:val="007F205B"/>
    <w:rsid w:val="007F3C58"/>
    <w:rsid w:val="007F72D4"/>
    <w:rsid w:val="008006C9"/>
    <w:rsid w:val="0080084D"/>
    <w:rsid w:val="008011E2"/>
    <w:rsid w:val="00801E03"/>
    <w:rsid w:val="00803EDE"/>
    <w:rsid w:val="00806B6B"/>
    <w:rsid w:val="00806B85"/>
    <w:rsid w:val="008070A6"/>
    <w:rsid w:val="008076BE"/>
    <w:rsid w:val="00820357"/>
    <w:rsid w:val="00821112"/>
    <w:rsid w:val="00823619"/>
    <w:rsid w:val="008253BB"/>
    <w:rsid w:val="008262BB"/>
    <w:rsid w:val="00827FB7"/>
    <w:rsid w:val="00830933"/>
    <w:rsid w:val="00834C88"/>
    <w:rsid w:val="0083500C"/>
    <w:rsid w:val="00835AB3"/>
    <w:rsid w:val="0083778E"/>
    <w:rsid w:val="008378F3"/>
    <w:rsid w:val="0084104B"/>
    <w:rsid w:val="00842021"/>
    <w:rsid w:val="008425DD"/>
    <w:rsid w:val="00842E10"/>
    <w:rsid w:val="00846171"/>
    <w:rsid w:val="00846241"/>
    <w:rsid w:val="00850554"/>
    <w:rsid w:val="00850C2E"/>
    <w:rsid w:val="008520A8"/>
    <w:rsid w:val="00852836"/>
    <w:rsid w:val="0085403B"/>
    <w:rsid w:val="00854241"/>
    <w:rsid w:val="0085536D"/>
    <w:rsid w:val="00856546"/>
    <w:rsid w:val="008575F5"/>
    <w:rsid w:val="00857C8B"/>
    <w:rsid w:val="00860756"/>
    <w:rsid w:val="00861FF9"/>
    <w:rsid w:val="0086263D"/>
    <w:rsid w:val="00862CDD"/>
    <w:rsid w:val="008635BF"/>
    <w:rsid w:val="0086460C"/>
    <w:rsid w:val="008657A3"/>
    <w:rsid w:val="00866093"/>
    <w:rsid w:val="00867806"/>
    <w:rsid w:val="008707AD"/>
    <w:rsid w:val="00870AED"/>
    <w:rsid w:val="00870C1E"/>
    <w:rsid w:val="008720FC"/>
    <w:rsid w:val="008752DF"/>
    <w:rsid w:val="00877825"/>
    <w:rsid w:val="00881620"/>
    <w:rsid w:val="00882834"/>
    <w:rsid w:val="0088480E"/>
    <w:rsid w:val="008861CD"/>
    <w:rsid w:val="00886468"/>
    <w:rsid w:val="00886711"/>
    <w:rsid w:val="00886DEB"/>
    <w:rsid w:val="00887608"/>
    <w:rsid w:val="0089234B"/>
    <w:rsid w:val="008A03A0"/>
    <w:rsid w:val="008A0523"/>
    <w:rsid w:val="008A0940"/>
    <w:rsid w:val="008A1372"/>
    <w:rsid w:val="008A2281"/>
    <w:rsid w:val="008B1077"/>
    <w:rsid w:val="008B19E1"/>
    <w:rsid w:val="008B4E85"/>
    <w:rsid w:val="008B5CD3"/>
    <w:rsid w:val="008B765E"/>
    <w:rsid w:val="008B7B21"/>
    <w:rsid w:val="008C01F1"/>
    <w:rsid w:val="008C02D6"/>
    <w:rsid w:val="008C1DEA"/>
    <w:rsid w:val="008C24B1"/>
    <w:rsid w:val="008C2AD0"/>
    <w:rsid w:val="008C3518"/>
    <w:rsid w:val="008C584C"/>
    <w:rsid w:val="008C6508"/>
    <w:rsid w:val="008C702E"/>
    <w:rsid w:val="008D043E"/>
    <w:rsid w:val="008D1513"/>
    <w:rsid w:val="008D3D38"/>
    <w:rsid w:val="008D3F66"/>
    <w:rsid w:val="008D54AB"/>
    <w:rsid w:val="008D6A51"/>
    <w:rsid w:val="008D6A7A"/>
    <w:rsid w:val="008D6C2C"/>
    <w:rsid w:val="008D6EBE"/>
    <w:rsid w:val="008E0491"/>
    <w:rsid w:val="008E05E7"/>
    <w:rsid w:val="008E0BA2"/>
    <w:rsid w:val="008E5A5D"/>
    <w:rsid w:val="008F0211"/>
    <w:rsid w:val="008F16C5"/>
    <w:rsid w:val="008F2C29"/>
    <w:rsid w:val="008F4517"/>
    <w:rsid w:val="008F7042"/>
    <w:rsid w:val="00900C58"/>
    <w:rsid w:val="00900E3F"/>
    <w:rsid w:val="00900EDD"/>
    <w:rsid w:val="00901DAA"/>
    <w:rsid w:val="00902391"/>
    <w:rsid w:val="00903CA8"/>
    <w:rsid w:val="00904E98"/>
    <w:rsid w:val="00905415"/>
    <w:rsid w:val="00905951"/>
    <w:rsid w:val="00905ACC"/>
    <w:rsid w:val="00911048"/>
    <w:rsid w:val="00911F6F"/>
    <w:rsid w:val="00912F15"/>
    <w:rsid w:val="00913B54"/>
    <w:rsid w:val="009156D5"/>
    <w:rsid w:val="009204B5"/>
    <w:rsid w:val="009207C7"/>
    <w:rsid w:val="0092096A"/>
    <w:rsid w:val="009211E4"/>
    <w:rsid w:val="00921B14"/>
    <w:rsid w:val="0092586C"/>
    <w:rsid w:val="00927F15"/>
    <w:rsid w:val="00931956"/>
    <w:rsid w:val="00933F17"/>
    <w:rsid w:val="009371C5"/>
    <w:rsid w:val="00940245"/>
    <w:rsid w:val="009405CF"/>
    <w:rsid w:val="00940BC5"/>
    <w:rsid w:val="00941818"/>
    <w:rsid w:val="00941F19"/>
    <w:rsid w:val="00942320"/>
    <w:rsid w:val="00942A3F"/>
    <w:rsid w:val="0095161D"/>
    <w:rsid w:val="00951C36"/>
    <w:rsid w:val="00953959"/>
    <w:rsid w:val="009542EC"/>
    <w:rsid w:val="009604A0"/>
    <w:rsid w:val="00964778"/>
    <w:rsid w:val="00964A1C"/>
    <w:rsid w:val="00964AAA"/>
    <w:rsid w:val="009667DA"/>
    <w:rsid w:val="00967AC1"/>
    <w:rsid w:val="00967EE0"/>
    <w:rsid w:val="009704BF"/>
    <w:rsid w:val="00974C6A"/>
    <w:rsid w:val="00975365"/>
    <w:rsid w:val="009766E2"/>
    <w:rsid w:val="0097711C"/>
    <w:rsid w:val="00977E7D"/>
    <w:rsid w:val="009811EB"/>
    <w:rsid w:val="00985B22"/>
    <w:rsid w:val="00986664"/>
    <w:rsid w:val="00986DA6"/>
    <w:rsid w:val="00990407"/>
    <w:rsid w:val="00990E17"/>
    <w:rsid w:val="00990EB4"/>
    <w:rsid w:val="0099370E"/>
    <w:rsid w:val="00994D56"/>
    <w:rsid w:val="00995943"/>
    <w:rsid w:val="00996982"/>
    <w:rsid w:val="00997288"/>
    <w:rsid w:val="0099772E"/>
    <w:rsid w:val="009A3216"/>
    <w:rsid w:val="009A3412"/>
    <w:rsid w:val="009A4A47"/>
    <w:rsid w:val="009A73DD"/>
    <w:rsid w:val="009A775F"/>
    <w:rsid w:val="009B1172"/>
    <w:rsid w:val="009B2BC4"/>
    <w:rsid w:val="009B33E9"/>
    <w:rsid w:val="009B4289"/>
    <w:rsid w:val="009C331B"/>
    <w:rsid w:val="009C3BCD"/>
    <w:rsid w:val="009C4F6D"/>
    <w:rsid w:val="009C5BFC"/>
    <w:rsid w:val="009C7854"/>
    <w:rsid w:val="009D11EA"/>
    <w:rsid w:val="009D6A6C"/>
    <w:rsid w:val="009D78B1"/>
    <w:rsid w:val="009E1CAA"/>
    <w:rsid w:val="009E237E"/>
    <w:rsid w:val="009E3A29"/>
    <w:rsid w:val="009E45FA"/>
    <w:rsid w:val="009E4954"/>
    <w:rsid w:val="009E6236"/>
    <w:rsid w:val="009E780C"/>
    <w:rsid w:val="009E78BB"/>
    <w:rsid w:val="009F26C5"/>
    <w:rsid w:val="009F2FCC"/>
    <w:rsid w:val="009F40A1"/>
    <w:rsid w:val="009F6804"/>
    <w:rsid w:val="00A02B35"/>
    <w:rsid w:val="00A05326"/>
    <w:rsid w:val="00A06348"/>
    <w:rsid w:val="00A07ED9"/>
    <w:rsid w:val="00A10049"/>
    <w:rsid w:val="00A116E9"/>
    <w:rsid w:val="00A125E7"/>
    <w:rsid w:val="00A12B23"/>
    <w:rsid w:val="00A12F5A"/>
    <w:rsid w:val="00A12F8B"/>
    <w:rsid w:val="00A13B45"/>
    <w:rsid w:val="00A157CF"/>
    <w:rsid w:val="00A15C16"/>
    <w:rsid w:val="00A17BF3"/>
    <w:rsid w:val="00A17CCA"/>
    <w:rsid w:val="00A238C4"/>
    <w:rsid w:val="00A3099E"/>
    <w:rsid w:val="00A32B9B"/>
    <w:rsid w:val="00A3307F"/>
    <w:rsid w:val="00A33248"/>
    <w:rsid w:val="00A3345F"/>
    <w:rsid w:val="00A33BAF"/>
    <w:rsid w:val="00A3442B"/>
    <w:rsid w:val="00A35617"/>
    <w:rsid w:val="00A361E2"/>
    <w:rsid w:val="00A41246"/>
    <w:rsid w:val="00A4124C"/>
    <w:rsid w:val="00A4206C"/>
    <w:rsid w:val="00A4214A"/>
    <w:rsid w:val="00A42237"/>
    <w:rsid w:val="00A43868"/>
    <w:rsid w:val="00A44238"/>
    <w:rsid w:val="00A45956"/>
    <w:rsid w:val="00A45AD3"/>
    <w:rsid w:val="00A46039"/>
    <w:rsid w:val="00A4655B"/>
    <w:rsid w:val="00A52FB5"/>
    <w:rsid w:val="00A5472A"/>
    <w:rsid w:val="00A54B37"/>
    <w:rsid w:val="00A56C35"/>
    <w:rsid w:val="00A56E2C"/>
    <w:rsid w:val="00A57194"/>
    <w:rsid w:val="00A5777B"/>
    <w:rsid w:val="00A5789B"/>
    <w:rsid w:val="00A6019B"/>
    <w:rsid w:val="00A60852"/>
    <w:rsid w:val="00A61CD8"/>
    <w:rsid w:val="00A62895"/>
    <w:rsid w:val="00A670FA"/>
    <w:rsid w:val="00A6743C"/>
    <w:rsid w:val="00A675D8"/>
    <w:rsid w:val="00A70E77"/>
    <w:rsid w:val="00A75ECA"/>
    <w:rsid w:val="00A75F80"/>
    <w:rsid w:val="00A774DD"/>
    <w:rsid w:val="00A81965"/>
    <w:rsid w:val="00A82155"/>
    <w:rsid w:val="00A839BF"/>
    <w:rsid w:val="00A84971"/>
    <w:rsid w:val="00A84A74"/>
    <w:rsid w:val="00A862C7"/>
    <w:rsid w:val="00A92E7B"/>
    <w:rsid w:val="00A94D06"/>
    <w:rsid w:val="00A95F21"/>
    <w:rsid w:val="00A962CB"/>
    <w:rsid w:val="00A9761F"/>
    <w:rsid w:val="00AA0143"/>
    <w:rsid w:val="00AA1A11"/>
    <w:rsid w:val="00AA2421"/>
    <w:rsid w:val="00AA5344"/>
    <w:rsid w:val="00AA5E9E"/>
    <w:rsid w:val="00AA78FE"/>
    <w:rsid w:val="00AA7C81"/>
    <w:rsid w:val="00AB0FB2"/>
    <w:rsid w:val="00AB14AB"/>
    <w:rsid w:val="00AB1D79"/>
    <w:rsid w:val="00AB1F39"/>
    <w:rsid w:val="00AB39CB"/>
    <w:rsid w:val="00AB479B"/>
    <w:rsid w:val="00AB60EF"/>
    <w:rsid w:val="00AB7D7F"/>
    <w:rsid w:val="00AC16E6"/>
    <w:rsid w:val="00AC3F06"/>
    <w:rsid w:val="00AC559F"/>
    <w:rsid w:val="00AC7063"/>
    <w:rsid w:val="00AD0DA7"/>
    <w:rsid w:val="00AD1C55"/>
    <w:rsid w:val="00AD48B8"/>
    <w:rsid w:val="00AD66E3"/>
    <w:rsid w:val="00AE171B"/>
    <w:rsid w:val="00AE1BBA"/>
    <w:rsid w:val="00AE2184"/>
    <w:rsid w:val="00AE4293"/>
    <w:rsid w:val="00AE5D13"/>
    <w:rsid w:val="00AE6C49"/>
    <w:rsid w:val="00AE73D8"/>
    <w:rsid w:val="00AE747C"/>
    <w:rsid w:val="00AF0338"/>
    <w:rsid w:val="00AF1CB6"/>
    <w:rsid w:val="00AF1D09"/>
    <w:rsid w:val="00AF2DDF"/>
    <w:rsid w:val="00AF54E1"/>
    <w:rsid w:val="00AF5671"/>
    <w:rsid w:val="00AF5844"/>
    <w:rsid w:val="00B00E92"/>
    <w:rsid w:val="00B01125"/>
    <w:rsid w:val="00B0206F"/>
    <w:rsid w:val="00B03372"/>
    <w:rsid w:val="00B04C4A"/>
    <w:rsid w:val="00B06769"/>
    <w:rsid w:val="00B078FC"/>
    <w:rsid w:val="00B1060F"/>
    <w:rsid w:val="00B1250A"/>
    <w:rsid w:val="00B12BA5"/>
    <w:rsid w:val="00B13A29"/>
    <w:rsid w:val="00B13ADC"/>
    <w:rsid w:val="00B143FA"/>
    <w:rsid w:val="00B16060"/>
    <w:rsid w:val="00B162AE"/>
    <w:rsid w:val="00B21D7F"/>
    <w:rsid w:val="00B23949"/>
    <w:rsid w:val="00B23ACD"/>
    <w:rsid w:val="00B26089"/>
    <w:rsid w:val="00B261CF"/>
    <w:rsid w:val="00B27FDE"/>
    <w:rsid w:val="00B301D5"/>
    <w:rsid w:val="00B3134E"/>
    <w:rsid w:val="00B31CB9"/>
    <w:rsid w:val="00B37928"/>
    <w:rsid w:val="00B37B2E"/>
    <w:rsid w:val="00B37BEF"/>
    <w:rsid w:val="00B44847"/>
    <w:rsid w:val="00B449F8"/>
    <w:rsid w:val="00B459DF"/>
    <w:rsid w:val="00B45FD3"/>
    <w:rsid w:val="00B4738D"/>
    <w:rsid w:val="00B476D8"/>
    <w:rsid w:val="00B5149A"/>
    <w:rsid w:val="00B52BA2"/>
    <w:rsid w:val="00B5324D"/>
    <w:rsid w:val="00B53BDC"/>
    <w:rsid w:val="00B568E6"/>
    <w:rsid w:val="00B57387"/>
    <w:rsid w:val="00B5793D"/>
    <w:rsid w:val="00B60DE2"/>
    <w:rsid w:val="00B62DDD"/>
    <w:rsid w:val="00B62E18"/>
    <w:rsid w:val="00B63F29"/>
    <w:rsid w:val="00B641A9"/>
    <w:rsid w:val="00B72D8E"/>
    <w:rsid w:val="00B73DBC"/>
    <w:rsid w:val="00B7485D"/>
    <w:rsid w:val="00B752C0"/>
    <w:rsid w:val="00B75972"/>
    <w:rsid w:val="00B7745D"/>
    <w:rsid w:val="00B8302B"/>
    <w:rsid w:val="00B834BE"/>
    <w:rsid w:val="00B84539"/>
    <w:rsid w:val="00B855BA"/>
    <w:rsid w:val="00B860AA"/>
    <w:rsid w:val="00B86488"/>
    <w:rsid w:val="00B9091D"/>
    <w:rsid w:val="00BA2086"/>
    <w:rsid w:val="00BA2AF0"/>
    <w:rsid w:val="00BB0A5C"/>
    <w:rsid w:val="00BB1D3C"/>
    <w:rsid w:val="00BB2E5D"/>
    <w:rsid w:val="00BB4E00"/>
    <w:rsid w:val="00BB6DC1"/>
    <w:rsid w:val="00BC384A"/>
    <w:rsid w:val="00BC3A70"/>
    <w:rsid w:val="00BC3BFA"/>
    <w:rsid w:val="00BC4984"/>
    <w:rsid w:val="00BC6E91"/>
    <w:rsid w:val="00BC7707"/>
    <w:rsid w:val="00BD0701"/>
    <w:rsid w:val="00BD0B43"/>
    <w:rsid w:val="00BD1B26"/>
    <w:rsid w:val="00BD1C5A"/>
    <w:rsid w:val="00BD1CDE"/>
    <w:rsid w:val="00BD207C"/>
    <w:rsid w:val="00BD260B"/>
    <w:rsid w:val="00BD3539"/>
    <w:rsid w:val="00BD5071"/>
    <w:rsid w:val="00BD530E"/>
    <w:rsid w:val="00BD57A0"/>
    <w:rsid w:val="00BD5E7C"/>
    <w:rsid w:val="00BD6576"/>
    <w:rsid w:val="00BD69CE"/>
    <w:rsid w:val="00BD6D01"/>
    <w:rsid w:val="00BD75F9"/>
    <w:rsid w:val="00BE3494"/>
    <w:rsid w:val="00BE647F"/>
    <w:rsid w:val="00BE68A6"/>
    <w:rsid w:val="00BE7E01"/>
    <w:rsid w:val="00BF0EC5"/>
    <w:rsid w:val="00BF1EEC"/>
    <w:rsid w:val="00BF26B1"/>
    <w:rsid w:val="00BF2E51"/>
    <w:rsid w:val="00BF4C3E"/>
    <w:rsid w:val="00BF4D54"/>
    <w:rsid w:val="00BF545A"/>
    <w:rsid w:val="00BF59F9"/>
    <w:rsid w:val="00BF6399"/>
    <w:rsid w:val="00BF747E"/>
    <w:rsid w:val="00C002F5"/>
    <w:rsid w:val="00C0050A"/>
    <w:rsid w:val="00C0255D"/>
    <w:rsid w:val="00C03481"/>
    <w:rsid w:val="00C07DCC"/>
    <w:rsid w:val="00C12457"/>
    <w:rsid w:val="00C160C6"/>
    <w:rsid w:val="00C221BF"/>
    <w:rsid w:val="00C22218"/>
    <w:rsid w:val="00C243E4"/>
    <w:rsid w:val="00C24919"/>
    <w:rsid w:val="00C24B12"/>
    <w:rsid w:val="00C24DF8"/>
    <w:rsid w:val="00C257A8"/>
    <w:rsid w:val="00C27333"/>
    <w:rsid w:val="00C2781F"/>
    <w:rsid w:val="00C31EED"/>
    <w:rsid w:val="00C379EF"/>
    <w:rsid w:val="00C414F0"/>
    <w:rsid w:val="00C42C8F"/>
    <w:rsid w:val="00C43804"/>
    <w:rsid w:val="00C50652"/>
    <w:rsid w:val="00C51CCD"/>
    <w:rsid w:val="00C552A1"/>
    <w:rsid w:val="00C5671A"/>
    <w:rsid w:val="00C6011A"/>
    <w:rsid w:val="00C61F58"/>
    <w:rsid w:val="00C63608"/>
    <w:rsid w:val="00C66EF3"/>
    <w:rsid w:val="00C70CC8"/>
    <w:rsid w:val="00C718E9"/>
    <w:rsid w:val="00C720E5"/>
    <w:rsid w:val="00C73BB0"/>
    <w:rsid w:val="00C81073"/>
    <w:rsid w:val="00C84E33"/>
    <w:rsid w:val="00C851D1"/>
    <w:rsid w:val="00C85FF6"/>
    <w:rsid w:val="00C86CAE"/>
    <w:rsid w:val="00C90B63"/>
    <w:rsid w:val="00C90D59"/>
    <w:rsid w:val="00C91663"/>
    <w:rsid w:val="00C92C6E"/>
    <w:rsid w:val="00C92F3A"/>
    <w:rsid w:val="00C94245"/>
    <w:rsid w:val="00C94494"/>
    <w:rsid w:val="00C94912"/>
    <w:rsid w:val="00C94988"/>
    <w:rsid w:val="00C94DA9"/>
    <w:rsid w:val="00C9550F"/>
    <w:rsid w:val="00C963F2"/>
    <w:rsid w:val="00C96805"/>
    <w:rsid w:val="00C9683B"/>
    <w:rsid w:val="00CA0D78"/>
    <w:rsid w:val="00CA2113"/>
    <w:rsid w:val="00CA2B90"/>
    <w:rsid w:val="00CA2C96"/>
    <w:rsid w:val="00CA2E66"/>
    <w:rsid w:val="00CA43BF"/>
    <w:rsid w:val="00CA5815"/>
    <w:rsid w:val="00CA59F1"/>
    <w:rsid w:val="00CA7638"/>
    <w:rsid w:val="00CA7F03"/>
    <w:rsid w:val="00CB22A3"/>
    <w:rsid w:val="00CB2A96"/>
    <w:rsid w:val="00CB3769"/>
    <w:rsid w:val="00CB3FF6"/>
    <w:rsid w:val="00CB617E"/>
    <w:rsid w:val="00CB73F3"/>
    <w:rsid w:val="00CB7856"/>
    <w:rsid w:val="00CC053D"/>
    <w:rsid w:val="00CC0A50"/>
    <w:rsid w:val="00CC23E9"/>
    <w:rsid w:val="00CC4685"/>
    <w:rsid w:val="00CC49ED"/>
    <w:rsid w:val="00CC4C9A"/>
    <w:rsid w:val="00CC5693"/>
    <w:rsid w:val="00CC66CC"/>
    <w:rsid w:val="00CC6DA1"/>
    <w:rsid w:val="00CC7A47"/>
    <w:rsid w:val="00CD0A4C"/>
    <w:rsid w:val="00CD15B4"/>
    <w:rsid w:val="00CD1D0E"/>
    <w:rsid w:val="00CD208F"/>
    <w:rsid w:val="00CD3B2A"/>
    <w:rsid w:val="00CE0847"/>
    <w:rsid w:val="00CE3F9A"/>
    <w:rsid w:val="00CE6ED4"/>
    <w:rsid w:val="00CE7E84"/>
    <w:rsid w:val="00CF2235"/>
    <w:rsid w:val="00CF2307"/>
    <w:rsid w:val="00CF2CE2"/>
    <w:rsid w:val="00CF3593"/>
    <w:rsid w:val="00CF4B55"/>
    <w:rsid w:val="00CF4D2E"/>
    <w:rsid w:val="00CF4FC4"/>
    <w:rsid w:val="00CF5698"/>
    <w:rsid w:val="00CF74BE"/>
    <w:rsid w:val="00D0019A"/>
    <w:rsid w:val="00D00757"/>
    <w:rsid w:val="00D00BE5"/>
    <w:rsid w:val="00D01AF0"/>
    <w:rsid w:val="00D02462"/>
    <w:rsid w:val="00D03C82"/>
    <w:rsid w:val="00D04C0B"/>
    <w:rsid w:val="00D05112"/>
    <w:rsid w:val="00D06F0A"/>
    <w:rsid w:val="00D0754F"/>
    <w:rsid w:val="00D105A0"/>
    <w:rsid w:val="00D10E55"/>
    <w:rsid w:val="00D110D7"/>
    <w:rsid w:val="00D12CFD"/>
    <w:rsid w:val="00D1307F"/>
    <w:rsid w:val="00D13403"/>
    <w:rsid w:val="00D14A1A"/>
    <w:rsid w:val="00D16E18"/>
    <w:rsid w:val="00D20426"/>
    <w:rsid w:val="00D21762"/>
    <w:rsid w:val="00D21938"/>
    <w:rsid w:val="00D23B2A"/>
    <w:rsid w:val="00D25E81"/>
    <w:rsid w:val="00D2613F"/>
    <w:rsid w:val="00D31CDD"/>
    <w:rsid w:val="00D31E25"/>
    <w:rsid w:val="00D32678"/>
    <w:rsid w:val="00D32E99"/>
    <w:rsid w:val="00D34258"/>
    <w:rsid w:val="00D357E4"/>
    <w:rsid w:val="00D35A27"/>
    <w:rsid w:val="00D35A73"/>
    <w:rsid w:val="00D36766"/>
    <w:rsid w:val="00D36874"/>
    <w:rsid w:val="00D40508"/>
    <w:rsid w:val="00D42319"/>
    <w:rsid w:val="00D42CE8"/>
    <w:rsid w:val="00D446D6"/>
    <w:rsid w:val="00D45AAD"/>
    <w:rsid w:val="00D460B4"/>
    <w:rsid w:val="00D46DB9"/>
    <w:rsid w:val="00D50192"/>
    <w:rsid w:val="00D5049F"/>
    <w:rsid w:val="00D504FD"/>
    <w:rsid w:val="00D51787"/>
    <w:rsid w:val="00D52CC4"/>
    <w:rsid w:val="00D5470A"/>
    <w:rsid w:val="00D54C69"/>
    <w:rsid w:val="00D5584D"/>
    <w:rsid w:val="00D61527"/>
    <w:rsid w:val="00D632D8"/>
    <w:rsid w:val="00D64C8F"/>
    <w:rsid w:val="00D662E6"/>
    <w:rsid w:val="00D709C2"/>
    <w:rsid w:val="00D70A43"/>
    <w:rsid w:val="00D717D9"/>
    <w:rsid w:val="00D7493E"/>
    <w:rsid w:val="00D8013A"/>
    <w:rsid w:val="00D80985"/>
    <w:rsid w:val="00D8226B"/>
    <w:rsid w:val="00D82C43"/>
    <w:rsid w:val="00D85231"/>
    <w:rsid w:val="00D86E0D"/>
    <w:rsid w:val="00D90306"/>
    <w:rsid w:val="00D91424"/>
    <w:rsid w:val="00D930B1"/>
    <w:rsid w:val="00D951F5"/>
    <w:rsid w:val="00DA05BF"/>
    <w:rsid w:val="00DA4903"/>
    <w:rsid w:val="00DA4BCA"/>
    <w:rsid w:val="00DA50CE"/>
    <w:rsid w:val="00DA605A"/>
    <w:rsid w:val="00DA6B32"/>
    <w:rsid w:val="00DB01B8"/>
    <w:rsid w:val="00DB1370"/>
    <w:rsid w:val="00DB7014"/>
    <w:rsid w:val="00DB72ED"/>
    <w:rsid w:val="00DC1751"/>
    <w:rsid w:val="00DC4384"/>
    <w:rsid w:val="00DC7030"/>
    <w:rsid w:val="00DC76B6"/>
    <w:rsid w:val="00DD0C2D"/>
    <w:rsid w:val="00DD34ED"/>
    <w:rsid w:val="00DD370F"/>
    <w:rsid w:val="00DD4C89"/>
    <w:rsid w:val="00DE06BA"/>
    <w:rsid w:val="00DE1A89"/>
    <w:rsid w:val="00DE1F7A"/>
    <w:rsid w:val="00DE2130"/>
    <w:rsid w:val="00DE2224"/>
    <w:rsid w:val="00DE55F3"/>
    <w:rsid w:val="00DE57A6"/>
    <w:rsid w:val="00DF32B8"/>
    <w:rsid w:val="00DF419E"/>
    <w:rsid w:val="00DF527E"/>
    <w:rsid w:val="00E0105C"/>
    <w:rsid w:val="00E01457"/>
    <w:rsid w:val="00E0193C"/>
    <w:rsid w:val="00E02C4E"/>
    <w:rsid w:val="00E02F1F"/>
    <w:rsid w:val="00E03D9D"/>
    <w:rsid w:val="00E042DE"/>
    <w:rsid w:val="00E104F2"/>
    <w:rsid w:val="00E11185"/>
    <w:rsid w:val="00E12270"/>
    <w:rsid w:val="00E133AB"/>
    <w:rsid w:val="00E13582"/>
    <w:rsid w:val="00E15DBE"/>
    <w:rsid w:val="00E165B0"/>
    <w:rsid w:val="00E16FCA"/>
    <w:rsid w:val="00E17375"/>
    <w:rsid w:val="00E206D9"/>
    <w:rsid w:val="00E231A5"/>
    <w:rsid w:val="00E25BFB"/>
    <w:rsid w:val="00E26803"/>
    <w:rsid w:val="00E274B0"/>
    <w:rsid w:val="00E306E6"/>
    <w:rsid w:val="00E31247"/>
    <w:rsid w:val="00E31A74"/>
    <w:rsid w:val="00E321D3"/>
    <w:rsid w:val="00E327CA"/>
    <w:rsid w:val="00E3463B"/>
    <w:rsid w:val="00E348BC"/>
    <w:rsid w:val="00E35B1E"/>
    <w:rsid w:val="00E35E32"/>
    <w:rsid w:val="00E40290"/>
    <w:rsid w:val="00E425C8"/>
    <w:rsid w:val="00E43540"/>
    <w:rsid w:val="00E43DFD"/>
    <w:rsid w:val="00E46065"/>
    <w:rsid w:val="00E47763"/>
    <w:rsid w:val="00E478B5"/>
    <w:rsid w:val="00E532D0"/>
    <w:rsid w:val="00E53EAD"/>
    <w:rsid w:val="00E557F9"/>
    <w:rsid w:val="00E55B16"/>
    <w:rsid w:val="00E6078E"/>
    <w:rsid w:val="00E6179D"/>
    <w:rsid w:val="00E61A63"/>
    <w:rsid w:val="00E64D35"/>
    <w:rsid w:val="00E66349"/>
    <w:rsid w:val="00E66CFA"/>
    <w:rsid w:val="00E6742A"/>
    <w:rsid w:val="00E67F4C"/>
    <w:rsid w:val="00E70A2F"/>
    <w:rsid w:val="00E70BAC"/>
    <w:rsid w:val="00E711B7"/>
    <w:rsid w:val="00E71C9C"/>
    <w:rsid w:val="00E741F8"/>
    <w:rsid w:val="00E74E52"/>
    <w:rsid w:val="00E769D1"/>
    <w:rsid w:val="00E76FFA"/>
    <w:rsid w:val="00E810E8"/>
    <w:rsid w:val="00E81D93"/>
    <w:rsid w:val="00E825FC"/>
    <w:rsid w:val="00E83814"/>
    <w:rsid w:val="00E93509"/>
    <w:rsid w:val="00E938A6"/>
    <w:rsid w:val="00EA15FC"/>
    <w:rsid w:val="00EA1B6C"/>
    <w:rsid w:val="00EA1BEE"/>
    <w:rsid w:val="00EA24C1"/>
    <w:rsid w:val="00EA3005"/>
    <w:rsid w:val="00EA3348"/>
    <w:rsid w:val="00EA3450"/>
    <w:rsid w:val="00EA54F5"/>
    <w:rsid w:val="00EA7A65"/>
    <w:rsid w:val="00EB13BF"/>
    <w:rsid w:val="00EB4742"/>
    <w:rsid w:val="00EB558F"/>
    <w:rsid w:val="00EB60D1"/>
    <w:rsid w:val="00EB61D5"/>
    <w:rsid w:val="00EB7476"/>
    <w:rsid w:val="00EB74E6"/>
    <w:rsid w:val="00EC06D8"/>
    <w:rsid w:val="00EC0B7F"/>
    <w:rsid w:val="00EC180D"/>
    <w:rsid w:val="00EC198A"/>
    <w:rsid w:val="00EC1FA7"/>
    <w:rsid w:val="00EC2891"/>
    <w:rsid w:val="00EC312B"/>
    <w:rsid w:val="00EC48EA"/>
    <w:rsid w:val="00EC58E6"/>
    <w:rsid w:val="00EC64E2"/>
    <w:rsid w:val="00EC7A17"/>
    <w:rsid w:val="00ED5660"/>
    <w:rsid w:val="00ED59B4"/>
    <w:rsid w:val="00ED7412"/>
    <w:rsid w:val="00EE0251"/>
    <w:rsid w:val="00EE3CCE"/>
    <w:rsid w:val="00EE3F6E"/>
    <w:rsid w:val="00EE5449"/>
    <w:rsid w:val="00EE5BC7"/>
    <w:rsid w:val="00EE6121"/>
    <w:rsid w:val="00EE7DFE"/>
    <w:rsid w:val="00EF0BE7"/>
    <w:rsid w:val="00EF41D1"/>
    <w:rsid w:val="00EF5A92"/>
    <w:rsid w:val="00EF68DE"/>
    <w:rsid w:val="00EF7211"/>
    <w:rsid w:val="00F01813"/>
    <w:rsid w:val="00F024A5"/>
    <w:rsid w:val="00F028EA"/>
    <w:rsid w:val="00F03962"/>
    <w:rsid w:val="00F03F18"/>
    <w:rsid w:val="00F0483F"/>
    <w:rsid w:val="00F10A05"/>
    <w:rsid w:val="00F126BB"/>
    <w:rsid w:val="00F13501"/>
    <w:rsid w:val="00F140F8"/>
    <w:rsid w:val="00F14F87"/>
    <w:rsid w:val="00F15E03"/>
    <w:rsid w:val="00F23D39"/>
    <w:rsid w:val="00F24C44"/>
    <w:rsid w:val="00F25FBB"/>
    <w:rsid w:val="00F26835"/>
    <w:rsid w:val="00F27BC8"/>
    <w:rsid w:val="00F27EBA"/>
    <w:rsid w:val="00F30FA4"/>
    <w:rsid w:val="00F31B5B"/>
    <w:rsid w:val="00F357CE"/>
    <w:rsid w:val="00F35D19"/>
    <w:rsid w:val="00F37821"/>
    <w:rsid w:val="00F408ED"/>
    <w:rsid w:val="00F41704"/>
    <w:rsid w:val="00F41DD1"/>
    <w:rsid w:val="00F4306D"/>
    <w:rsid w:val="00F43858"/>
    <w:rsid w:val="00F4401C"/>
    <w:rsid w:val="00F4490C"/>
    <w:rsid w:val="00F4684B"/>
    <w:rsid w:val="00F47C00"/>
    <w:rsid w:val="00F5014F"/>
    <w:rsid w:val="00F503EA"/>
    <w:rsid w:val="00F50E90"/>
    <w:rsid w:val="00F51943"/>
    <w:rsid w:val="00F51979"/>
    <w:rsid w:val="00F51B83"/>
    <w:rsid w:val="00F51EE7"/>
    <w:rsid w:val="00F52126"/>
    <w:rsid w:val="00F55BF1"/>
    <w:rsid w:val="00F5631A"/>
    <w:rsid w:val="00F5680A"/>
    <w:rsid w:val="00F61B7D"/>
    <w:rsid w:val="00F628E9"/>
    <w:rsid w:val="00F65953"/>
    <w:rsid w:val="00F65EF7"/>
    <w:rsid w:val="00F671B8"/>
    <w:rsid w:val="00F71222"/>
    <w:rsid w:val="00F73193"/>
    <w:rsid w:val="00F75180"/>
    <w:rsid w:val="00F8076E"/>
    <w:rsid w:val="00F80863"/>
    <w:rsid w:val="00F81029"/>
    <w:rsid w:val="00F818B4"/>
    <w:rsid w:val="00F837D2"/>
    <w:rsid w:val="00F847EA"/>
    <w:rsid w:val="00F858B5"/>
    <w:rsid w:val="00F87377"/>
    <w:rsid w:val="00F923DB"/>
    <w:rsid w:val="00F93667"/>
    <w:rsid w:val="00F97370"/>
    <w:rsid w:val="00FB0A7D"/>
    <w:rsid w:val="00FB31E5"/>
    <w:rsid w:val="00FB35E6"/>
    <w:rsid w:val="00FB7D6B"/>
    <w:rsid w:val="00FC0BB3"/>
    <w:rsid w:val="00FC0BCE"/>
    <w:rsid w:val="00FC0D2C"/>
    <w:rsid w:val="00FC0F0B"/>
    <w:rsid w:val="00FC2ABA"/>
    <w:rsid w:val="00FC30E2"/>
    <w:rsid w:val="00FC3227"/>
    <w:rsid w:val="00FC3509"/>
    <w:rsid w:val="00FC46E3"/>
    <w:rsid w:val="00FC4883"/>
    <w:rsid w:val="00FC49C8"/>
    <w:rsid w:val="00FC56D7"/>
    <w:rsid w:val="00FC6149"/>
    <w:rsid w:val="00FD174E"/>
    <w:rsid w:val="00FD1A4F"/>
    <w:rsid w:val="00FD311D"/>
    <w:rsid w:val="00FD4B6B"/>
    <w:rsid w:val="00FD5A7C"/>
    <w:rsid w:val="00FD6683"/>
    <w:rsid w:val="00FE1678"/>
    <w:rsid w:val="00FE406C"/>
    <w:rsid w:val="00FE5FE1"/>
    <w:rsid w:val="00FF5477"/>
    <w:rsid w:val="00FF75A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45EE11A-E9B6-4EDD-8B1F-A3472DEF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4F2"/>
    <w:pPr>
      <w:widowControl w:val="0"/>
      <w:spacing w:before="120" w:after="120" w:line="360" w:lineRule="auto"/>
      <w:ind w:firstLine="420"/>
      <w:jc w:val="both"/>
    </w:pPr>
    <w:rPr>
      <w:kern w:val="2"/>
      <w:sz w:val="22"/>
      <w:szCs w:val="24"/>
      <w:lang w:val="en-US" w:eastAsia="zh-CN"/>
    </w:rPr>
  </w:style>
  <w:style w:type="paragraph" w:styleId="Heading1">
    <w:name w:val="heading 1"/>
    <w:basedOn w:val="Normal"/>
    <w:qFormat/>
    <w:rsid w:val="00E104F2"/>
    <w:pPr>
      <w:widowControl/>
      <w:ind w:firstLine="0"/>
      <w:jc w:val="left"/>
      <w:outlineLvl w:val="0"/>
    </w:pPr>
    <w:rPr>
      <w:rFonts w:cs="SimSun"/>
      <w:b/>
      <w:bCs/>
      <w:kern w:val="36"/>
      <w:sz w:val="24"/>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41369"/>
    <w:rPr>
      <w:color w:val="0000FF"/>
      <w:u w:val="single"/>
    </w:rPr>
  </w:style>
  <w:style w:type="character" w:customStyle="1" w:styleId="apple-converted-space">
    <w:name w:val="apple-converted-space"/>
    <w:basedOn w:val="DefaultParagraphFont"/>
    <w:rsid w:val="00717B82"/>
  </w:style>
  <w:style w:type="character" w:customStyle="1" w:styleId="heading00201char">
    <w:name w:val="heading_00201__char"/>
    <w:basedOn w:val="DefaultParagraphFont"/>
    <w:rsid w:val="00964778"/>
  </w:style>
  <w:style w:type="paragraph" w:customStyle="1" w:styleId="Normal1">
    <w:name w:val="Normal1"/>
    <w:basedOn w:val="Normal"/>
    <w:rsid w:val="00964778"/>
    <w:pPr>
      <w:widowControl/>
      <w:spacing w:before="100" w:beforeAutospacing="1" w:after="100" w:afterAutospacing="1"/>
      <w:jc w:val="left"/>
    </w:pPr>
    <w:rPr>
      <w:rFonts w:ascii="SimSun" w:hAnsi="SimSun" w:cs="SimSun"/>
      <w:kern w:val="0"/>
      <w:sz w:val="24"/>
    </w:rPr>
  </w:style>
  <w:style w:type="character" w:customStyle="1" w:styleId="normalchar">
    <w:name w:val="normal__char"/>
    <w:basedOn w:val="DefaultParagraphFont"/>
    <w:rsid w:val="00964778"/>
  </w:style>
  <w:style w:type="paragraph" w:customStyle="1" w:styleId="reader-word-layerreader-word-s1-4">
    <w:name w:val="reader-word-layer reader-word-s1-4"/>
    <w:basedOn w:val="Normal"/>
    <w:rsid w:val="00EC06D8"/>
    <w:pPr>
      <w:widowControl/>
      <w:spacing w:before="100" w:beforeAutospacing="1" w:after="100" w:afterAutospacing="1"/>
      <w:jc w:val="left"/>
    </w:pPr>
    <w:rPr>
      <w:rFonts w:ascii="SimSun" w:hAnsi="SimSun" w:cs="SimSun"/>
      <w:kern w:val="0"/>
      <w:sz w:val="24"/>
    </w:rPr>
  </w:style>
  <w:style w:type="paragraph" w:customStyle="1" w:styleId="reader-word-layerreader-word-s1-5">
    <w:name w:val="reader-word-layer reader-word-s1-5"/>
    <w:basedOn w:val="Normal"/>
    <w:rsid w:val="00EC06D8"/>
    <w:pPr>
      <w:widowControl/>
      <w:spacing w:before="100" w:beforeAutospacing="1" w:after="100" w:afterAutospacing="1"/>
      <w:jc w:val="left"/>
    </w:pPr>
    <w:rPr>
      <w:rFonts w:ascii="SimSun" w:hAnsi="SimSun" w:cs="SimSun"/>
      <w:kern w:val="0"/>
      <w:sz w:val="24"/>
    </w:rPr>
  </w:style>
  <w:style w:type="table" w:styleId="TableGrid">
    <w:name w:val="Table Grid"/>
    <w:basedOn w:val="TableNormal"/>
    <w:uiPriority w:val="39"/>
    <w:rsid w:val="003042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358F2"/>
    <w:pPr>
      <w:tabs>
        <w:tab w:val="center" w:pos="4153"/>
        <w:tab w:val="right" w:pos="8306"/>
      </w:tabs>
      <w:snapToGrid w:val="0"/>
      <w:jc w:val="left"/>
    </w:pPr>
    <w:rPr>
      <w:sz w:val="18"/>
      <w:szCs w:val="18"/>
    </w:rPr>
  </w:style>
  <w:style w:type="character" w:styleId="PageNumber">
    <w:name w:val="page number"/>
    <w:basedOn w:val="DefaultParagraphFont"/>
    <w:rsid w:val="001358F2"/>
  </w:style>
  <w:style w:type="paragraph" w:styleId="Header">
    <w:name w:val="header"/>
    <w:basedOn w:val="Normal"/>
    <w:rsid w:val="001358F2"/>
    <w:pPr>
      <w:pBdr>
        <w:bottom w:val="single" w:sz="6" w:space="1" w:color="auto"/>
      </w:pBdr>
      <w:tabs>
        <w:tab w:val="center" w:pos="4153"/>
        <w:tab w:val="right" w:pos="8306"/>
      </w:tabs>
      <w:snapToGrid w:val="0"/>
      <w:jc w:val="center"/>
    </w:pPr>
    <w:rPr>
      <w:sz w:val="18"/>
      <w:szCs w:val="18"/>
    </w:rPr>
  </w:style>
  <w:style w:type="character" w:styleId="CommentReference">
    <w:name w:val="annotation reference"/>
    <w:rsid w:val="000E7043"/>
    <w:rPr>
      <w:sz w:val="16"/>
      <w:szCs w:val="16"/>
    </w:rPr>
  </w:style>
  <w:style w:type="paragraph" w:styleId="CommentText">
    <w:name w:val="annotation text"/>
    <w:basedOn w:val="Normal"/>
    <w:link w:val="CommentTextChar"/>
    <w:rsid w:val="000E7043"/>
    <w:rPr>
      <w:sz w:val="20"/>
      <w:szCs w:val="20"/>
    </w:rPr>
  </w:style>
  <w:style w:type="character" w:customStyle="1" w:styleId="CommentTextChar">
    <w:name w:val="Comment Text Char"/>
    <w:link w:val="CommentText"/>
    <w:rsid w:val="000E7043"/>
    <w:rPr>
      <w:kern w:val="2"/>
      <w:lang w:val="en-US" w:eastAsia="zh-CN"/>
    </w:rPr>
  </w:style>
  <w:style w:type="paragraph" w:styleId="CommentSubject">
    <w:name w:val="annotation subject"/>
    <w:basedOn w:val="CommentText"/>
    <w:next w:val="CommentText"/>
    <w:link w:val="CommentSubjectChar"/>
    <w:rsid w:val="000E7043"/>
    <w:rPr>
      <w:b/>
      <w:bCs/>
    </w:rPr>
  </w:style>
  <w:style w:type="character" w:customStyle="1" w:styleId="CommentSubjectChar">
    <w:name w:val="Comment Subject Char"/>
    <w:link w:val="CommentSubject"/>
    <w:rsid w:val="000E7043"/>
    <w:rPr>
      <w:b/>
      <w:bCs/>
      <w:kern w:val="2"/>
      <w:lang w:val="en-US" w:eastAsia="zh-CN"/>
    </w:rPr>
  </w:style>
  <w:style w:type="paragraph" w:styleId="BalloonText">
    <w:name w:val="Balloon Text"/>
    <w:basedOn w:val="Normal"/>
    <w:link w:val="BalloonTextChar"/>
    <w:rsid w:val="000E7043"/>
    <w:rPr>
      <w:rFonts w:ascii="Segoe UI" w:hAnsi="Segoe UI"/>
      <w:sz w:val="18"/>
      <w:szCs w:val="18"/>
    </w:rPr>
  </w:style>
  <w:style w:type="character" w:customStyle="1" w:styleId="BalloonTextChar">
    <w:name w:val="Balloon Text Char"/>
    <w:link w:val="BalloonText"/>
    <w:rsid w:val="000E7043"/>
    <w:rPr>
      <w:rFonts w:ascii="Segoe UI" w:hAnsi="Segoe UI" w:cs="Segoe UI"/>
      <w:kern w:val="2"/>
      <w:sz w:val="18"/>
      <w:szCs w:val="18"/>
      <w:lang w:val="en-US" w:eastAsia="zh-CN"/>
    </w:rPr>
  </w:style>
  <w:style w:type="paragraph" w:styleId="DocumentMap">
    <w:name w:val="Document Map"/>
    <w:basedOn w:val="Normal"/>
    <w:link w:val="DocumentMapChar"/>
    <w:rsid w:val="004C597E"/>
    <w:rPr>
      <w:rFonts w:ascii="Tahoma" w:hAnsi="Tahoma" w:cs="Tahoma"/>
      <w:sz w:val="16"/>
      <w:szCs w:val="16"/>
    </w:rPr>
  </w:style>
  <w:style w:type="character" w:customStyle="1" w:styleId="DocumentMapChar">
    <w:name w:val="Document Map Char"/>
    <w:link w:val="DocumentMap"/>
    <w:rsid w:val="004C597E"/>
    <w:rPr>
      <w:rFonts w:ascii="Tahoma" w:hAnsi="Tahoma" w:cs="Tahoma"/>
      <w:kern w:val="2"/>
      <w:sz w:val="16"/>
      <w:szCs w:val="16"/>
      <w:lang w:val="en-US" w:eastAsia="zh-CN"/>
    </w:rPr>
  </w:style>
  <w:style w:type="paragraph" w:styleId="FootnoteText">
    <w:name w:val="footnote text"/>
    <w:basedOn w:val="Normal"/>
    <w:link w:val="FootnoteTextChar"/>
    <w:uiPriority w:val="99"/>
    <w:unhideWhenUsed/>
    <w:rsid w:val="00866093"/>
    <w:pPr>
      <w:widowControl/>
      <w:spacing w:before="0" w:after="0" w:line="240" w:lineRule="auto"/>
      <w:ind w:firstLine="0"/>
      <w:jc w:val="left"/>
    </w:pPr>
    <w:rPr>
      <w:rFonts w:ascii="Calibri" w:eastAsia="Calibri" w:hAnsi="Calibri" w:cs="Arial"/>
      <w:kern w:val="0"/>
      <w:sz w:val="20"/>
      <w:szCs w:val="20"/>
      <w:lang w:val="en-GB" w:eastAsia="en-US"/>
    </w:rPr>
  </w:style>
  <w:style w:type="character" w:customStyle="1" w:styleId="FootnoteTextChar">
    <w:name w:val="Footnote Text Char"/>
    <w:link w:val="FootnoteText"/>
    <w:uiPriority w:val="99"/>
    <w:rsid w:val="00866093"/>
    <w:rPr>
      <w:rFonts w:ascii="Calibri" w:eastAsia="Calibri" w:hAnsi="Calibri" w:cs="Arial"/>
      <w:lang w:eastAsia="en-US"/>
    </w:rPr>
  </w:style>
  <w:style w:type="character" w:styleId="FootnoteReference">
    <w:name w:val="footnote reference"/>
    <w:uiPriority w:val="99"/>
    <w:unhideWhenUsed/>
    <w:rsid w:val="00866093"/>
    <w:rPr>
      <w:vertAlign w:val="superscript"/>
    </w:rPr>
  </w:style>
  <w:style w:type="paragraph" w:styleId="NormalWeb">
    <w:name w:val="Normal (Web)"/>
    <w:basedOn w:val="Normal"/>
    <w:uiPriority w:val="99"/>
    <w:unhideWhenUsed/>
    <w:rsid w:val="00A45AD3"/>
    <w:pPr>
      <w:widowControl/>
      <w:spacing w:before="100" w:beforeAutospacing="1" w:after="100" w:afterAutospacing="1" w:line="240" w:lineRule="auto"/>
      <w:ind w:firstLine="0"/>
      <w:jc w:val="left"/>
    </w:pPr>
    <w:rPr>
      <w:rFonts w:eastAsia="Times New Roman"/>
      <w:kern w:val="0"/>
      <w:sz w:val="24"/>
      <w:lang w:val="en-GB" w:eastAsia="en-GB"/>
    </w:rPr>
  </w:style>
  <w:style w:type="paragraph" w:styleId="Caption">
    <w:name w:val="caption"/>
    <w:basedOn w:val="Normal"/>
    <w:next w:val="Normal"/>
    <w:unhideWhenUsed/>
    <w:qFormat/>
    <w:rsid w:val="00BF545A"/>
    <w:rPr>
      <w:b/>
      <w:bCs/>
      <w:sz w:val="20"/>
      <w:szCs w:val="20"/>
    </w:rPr>
  </w:style>
  <w:style w:type="paragraph" w:customStyle="1" w:styleId="Default">
    <w:name w:val="Default"/>
    <w:rsid w:val="006559DB"/>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C51CCD"/>
    <w:rPr>
      <w:kern w:val="2"/>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061">
      <w:bodyDiv w:val="1"/>
      <w:marLeft w:val="0"/>
      <w:marRight w:val="0"/>
      <w:marTop w:val="0"/>
      <w:marBottom w:val="0"/>
      <w:divBdr>
        <w:top w:val="none" w:sz="0" w:space="0" w:color="auto"/>
        <w:left w:val="none" w:sz="0" w:space="0" w:color="auto"/>
        <w:bottom w:val="none" w:sz="0" w:space="0" w:color="auto"/>
        <w:right w:val="none" w:sz="0" w:space="0" w:color="auto"/>
      </w:divBdr>
    </w:div>
    <w:div w:id="225725391">
      <w:bodyDiv w:val="1"/>
      <w:marLeft w:val="0"/>
      <w:marRight w:val="0"/>
      <w:marTop w:val="0"/>
      <w:marBottom w:val="0"/>
      <w:divBdr>
        <w:top w:val="none" w:sz="0" w:space="0" w:color="auto"/>
        <w:left w:val="none" w:sz="0" w:space="0" w:color="auto"/>
        <w:bottom w:val="none" w:sz="0" w:space="0" w:color="auto"/>
        <w:right w:val="none" w:sz="0" w:space="0" w:color="auto"/>
      </w:divBdr>
    </w:div>
    <w:div w:id="266084757">
      <w:bodyDiv w:val="1"/>
      <w:marLeft w:val="0"/>
      <w:marRight w:val="0"/>
      <w:marTop w:val="0"/>
      <w:marBottom w:val="0"/>
      <w:divBdr>
        <w:top w:val="none" w:sz="0" w:space="0" w:color="auto"/>
        <w:left w:val="none" w:sz="0" w:space="0" w:color="auto"/>
        <w:bottom w:val="none" w:sz="0" w:space="0" w:color="auto"/>
        <w:right w:val="none" w:sz="0" w:space="0" w:color="auto"/>
      </w:divBdr>
    </w:div>
    <w:div w:id="354697563">
      <w:bodyDiv w:val="1"/>
      <w:marLeft w:val="0"/>
      <w:marRight w:val="0"/>
      <w:marTop w:val="0"/>
      <w:marBottom w:val="0"/>
      <w:divBdr>
        <w:top w:val="none" w:sz="0" w:space="0" w:color="auto"/>
        <w:left w:val="none" w:sz="0" w:space="0" w:color="auto"/>
        <w:bottom w:val="none" w:sz="0" w:space="0" w:color="auto"/>
        <w:right w:val="none" w:sz="0" w:space="0" w:color="auto"/>
      </w:divBdr>
    </w:div>
    <w:div w:id="366833193">
      <w:bodyDiv w:val="1"/>
      <w:marLeft w:val="0"/>
      <w:marRight w:val="0"/>
      <w:marTop w:val="0"/>
      <w:marBottom w:val="0"/>
      <w:divBdr>
        <w:top w:val="none" w:sz="0" w:space="0" w:color="auto"/>
        <w:left w:val="none" w:sz="0" w:space="0" w:color="auto"/>
        <w:bottom w:val="none" w:sz="0" w:space="0" w:color="auto"/>
        <w:right w:val="none" w:sz="0" w:space="0" w:color="auto"/>
      </w:divBdr>
    </w:div>
    <w:div w:id="468285200">
      <w:bodyDiv w:val="1"/>
      <w:marLeft w:val="0"/>
      <w:marRight w:val="0"/>
      <w:marTop w:val="0"/>
      <w:marBottom w:val="0"/>
      <w:divBdr>
        <w:top w:val="none" w:sz="0" w:space="0" w:color="auto"/>
        <w:left w:val="none" w:sz="0" w:space="0" w:color="auto"/>
        <w:bottom w:val="none" w:sz="0" w:space="0" w:color="auto"/>
        <w:right w:val="none" w:sz="0" w:space="0" w:color="auto"/>
      </w:divBdr>
      <w:divsChild>
        <w:div w:id="242879740">
          <w:marLeft w:val="0"/>
          <w:marRight w:val="0"/>
          <w:marTop w:val="0"/>
          <w:marBottom w:val="0"/>
          <w:divBdr>
            <w:top w:val="none" w:sz="0" w:space="0" w:color="auto"/>
            <w:left w:val="none" w:sz="0" w:space="0" w:color="auto"/>
            <w:bottom w:val="none" w:sz="0" w:space="0" w:color="auto"/>
            <w:right w:val="none" w:sz="0" w:space="0" w:color="auto"/>
          </w:divBdr>
        </w:div>
      </w:divsChild>
    </w:div>
    <w:div w:id="664474622">
      <w:bodyDiv w:val="1"/>
      <w:marLeft w:val="0"/>
      <w:marRight w:val="0"/>
      <w:marTop w:val="0"/>
      <w:marBottom w:val="0"/>
      <w:divBdr>
        <w:top w:val="none" w:sz="0" w:space="0" w:color="auto"/>
        <w:left w:val="none" w:sz="0" w:space="0" w:color="auto"/>
        <w:bottom w:val="none" w:sz="0" w:space="0" w:color="auto"/>
        <w:right w:val="none" w:sz="0" w:space="0" w:color="auto"/>
      </w:divBdr>
    </w:div>
    <w:div w:id="669255942">
      <w:bodyDiv w:val="1"/>
      <w:marLeft w:val="0"/>
      <w:marRight w:val="0"/>
      <w:marTop w:val="0"/>
      <w:marBottom w:val="0"/>
      <w:divBdr>
        <w:top w:val="none" w:sz="0" w:space="0" w:color="auto"/>
        <w:left w:val="none" w:sz="0" w:space="0" w:color="auto"/>
        <w:bottom w:val="none" w:sz="0" w:space="0" w:color="auto"/>
        <w:right w:val="none" w:sz="0" w:space="0" w:color="auto"/>
      </w:divBdr>
    </w:div>
    <w:div w:id="1094938134">
      <w:bodyDiv w:val="1"/>
      <w:marLeft w:val="0"/>
      <w:marRight w:val="0"/>
      <w:marTop w:val="0"/>
      <w:marBottom w:val="0"/>
      <w:divBdr>
        <w:top w:val="none" w:sz="0" w:space="0" w:color="auto"/>
        <w:left w:val="none" w:sz="0" w:space="0" w:color="auto"/>
        <w:bottom w:val="none" w:sz="0" w:space="0" w:color="auto"/>
        <w:right w:val="none" w:sz="0" w:space="0" w:color="auto"/>
      </w:divBdr>
    </w:div>
    <w:div w:id="1388336278">
      <w:bodyDiv w:val="1"/>
      <w:marLeft w:val="0"/>
      <w:marRight w:val="0"/>
      <w:marTop w:val="0"/>
      <w:marBottom w:val="0"/>
      <w:divBdr>
        <w:top w:val="none" w:sz="0" w:space="0" w:color="auto"/>
        <w:left w:val="none" w:sz="0" w:space="0" w:color="auto"/>
        <w:bottom w:val="none" w:sz="0" w:space="0" w:color="auto"/>
        <w:right w:val="none" w:sz="0" w:space="0" w:color="auto"/>
      </w:divBdr>
    </w:div>
    <w:div w:id="1390836244">
      <w:bodyDiv w:val="1"/>
      <w:marLeft w:val="0"/>
      <w:marRight w:val="0"/>
      <w:marTop w:val="0"/>
      <w:marBottom w:val="0"/>
      <w:divBdr>
        <w:top w:val="none" w:sz="0" w:space="0" w:color="auto"/>
        <w:left w:val="none" w:sz="0" w:space="0" w:color="auto"/>
        <w:bottom w:val="none" w:sz="0" w:space="0" w:color="auto"/>
        <w:right w:val="none" w:sz="0" w:space="0" w:color="auto"/>
      </w:divBdr>
      <w:divsChild>
        <w:div w:id="1775514203">
          <w:marLeft w:val="0"/>
          <w:marRight w:val="0"/>
          <w:marTop w:val="0"/>
          <w:marBottom w:val="0"/>
          <w:divBdr>
            <w:top w:val="none" w:sz="0" w:space="0" w:color="auto"/>
            <w:left w:val="none" w:sz="0" w:space="0" w:color="auto"/>
            <w:bottom w:val="none" w:sz="0" w:space="0" w:color="auto"/>
            <w:right w:val="none" w:sz="0" w:space="0" w:color="auto"/>
          </w:divBdr>
          <w:divsChild>
            <w:div w:id="1587954689">
              <w:marLeft w:val="0"/>
              <w:marRight w:val="0"/>
              <w:marTop w:val="0"/>
              <w:marBottom w:val="0"/>
              <w:divBdr>
                <w:top w:val="none" w:sz="0" w:space="0" w:color="auto"/>
                <w:left w:val="none" w:sz="0" w:space="0" w:color="auto"/>
                <w:bottom w:val="none" w:sz="0" w:space="0" w:color="auto"/>
                <w:right w:val="none" w:sz="0" w:space="0" w:color="auto"/>
              </w:divBdr>
              <w:divsChild>
                <w:div w:id="136073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98825">
      <w:bodyDiv w:val="1"/>
      <w:marLeft w:val="0"/>
      <w:marRight w:val="0"/>
      <w:marTop w:val="0"/>
      <w:marBottom w:val="0"/>
      <w:divBdr>
        <w:top w:val="none" w:sz="0" w:space="0" w:color="auto"/>
        <w:left w:val="none" w:sz="0" w:space="0" w:color="auto"/>
        <w:bottom w:val="none" w:sz="0" w:space="0" w:color="auto"/>
        <w:right w:val="none" w:sz="0" w:space="0" w:color="auto"/>
      </w:divBdr>
    </w:div>
    <w:div w:id="1914578878">
      <w:bodyDiv w:val="1"/>
      <w:marLeft w:val="0"/>
      <w:marRight w:val="0"/>
      <w:marTop w:val="0"/>
      <w:marBottom w:val="0"/>
      <w:divBdr>
        <w:top w:val="none" w:sz="0" w:space="0" w:color="auto"/>
        <w:left w:val="none" w:sz="0" w:space="0" w:color="auto"/>
        <w:bottom w:val="none" w:sz="0" w:space="0" w:color="auto"/>
        <w:right w:val="none" w:sz="0" w:space="0" w:color="auto"/>
      </w:divBdr>
      <w:divsChild>
        <w:div w:id="1326978483">
          <w:marLeft w:val="0"/>
          <w:marRight w:val="0"/>
          <w:marTop w:val="0"/>
          <w:marBottom w:val="0"/>
          <w:divBdr>
            <w:top w:val="none" w:sz="0" w:space="0" w:color="auto"/>
            <w:left w:val="none" w:sz="0" w:space="0" w:color="auto"/>
            <w:bottom w:val="none" w:sz="0" w:space="0" w:color="auto"/>
            <w:right w:val="none" w:sz="0" w:space="0" w:color="auto"/>
          </w:divBdr>
        </w:div>
      </w:divsChild>
    </w:div>
    <w:div w:id="1957759508">
      <w:bodyDiv w:val="1"/>
      <w:marLeft w:val="0"/>
      <w:marRight w:val="0"/>
      <w:marTop w:val="0"/>
      <w:marBottom w:val="0"/>
      <w:divBdr>
        <w:top w:val="none" w:sz="0" w:space="0" w:color="auto"/>
        <w:left w:val="none" w:sz="0" w:space="0" w:color="auto"/>
        <w:bottom w:val="none" w:sz="0" w:space="0" w:color="auto"/>
        <w:right w:val="none" w:sz="0" w:space="0" w:color="auto"/>
      </w:divBdr>
    </w:div>
    <w:div w:id="200130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social-sciences/supplier"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mailto:Javad.Izadi@uw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0F53C-FB2D-41E8-8B95-D0FA07213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7212</Words>
  <Characters>41113</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The Quality of accruals and stock return</vt:lpstr>
    </vt:vector>
  </TitlesOfParts>
  <Company>Roehampton University</Company>
  <LinksUpToDate>false</LinksUpToDate>
  <CharactersWithSpaces>48229</CharactersWithSpaces>
  <SharedDoc>false</SharedDoc>
  <HLinks>
    <vt:vector size="6" baseType="variant">
      <vt:variant>
        <vt:i4>4587637</vt:i4>
      </vt:variant>
      <vt:variant>
        <vt:i4>0</vt:i4>
      </vt:variant>
      <vt:variant>
        <vt:i4>0</vt:i4>
      </vt:variant>
      <vt:variant>
        <vt:i4>5</vt:i4>
      </vt:variant>
      <vt:variant>
        <vt:lpwstr>mailto:Javad.Izadi@uwl.ac.uk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Quality of accruals and stock return</dc:title>
  <dc:subject/>
  <dc:creator>User</dc:creator>
  <cp:keywords/>
  <cp:lastModifiedBy>Camille Regnault</cp:lastModifiedBy>
  <cp:revision>2</cp:revision>
  <cp:lastPrinted>2016-08-22T08:11:00Z</cp:lastPrinted>
  <dcterms:created xsi:type="dcterms:W3CDTF">2019-06-13T08:29:00Z</dcterms:created>
  <dcterms:modified xsi:type="dcterms:W3CDTF">2019-06-13T08:29:00Z</dcterms:modified>
</cp:coreProperties>
</file>