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2CD9" w14:textId="4A8A3D44" w:rsidR="00084BE2" w:rsidRPr="00ED638B" w:rsidRDefault="00D076CF" w:rsidP="006758EB">
      <w:pPr>
        <w:spacing w:after="200" w:line="276" w:lineRule="auto"/>
        <w:rPr>
          <w:rFonts w:ascii="Times New Roman" w:eastAsia="Times New Roman" w:hAnsi="Times New Roman" w:cs="Times New Roman"/>
          <w:b/>
          <w:sz w:val="28"/>
          <w:szCs w:val="24"/>
        </w:rPr>
      </w:pPr>
      <w:r w:rsidRPr="00ED638B">
        <w:rPr>
          <w:rFonts w:ascii="Times New Roman" w:eastAsia="Times New Roman" w:hAnsi="Times New Roman" w:cs="Times New Roman"/>
          <w:b/>
          <w:sz w:val="28"/>
          <w:szCs w:val="24"/>
        </w:rPr>
        <w:t>Variation in referral and access to new psycho</w:t>
      </w:r>
      <w:r w:rsidR="000A060D" w:rsidRPr="00ED638B">
        <w:rPr>
          <w:rFonts w:ascii="Times New Roman" w:eastAsia="Times New Roman" w:hAnsi="Times New Roman" w:cs="Times New Roman"/>
          <w:b/>
          <w:sz w:val="28"/>
          <w:szCs w:val="24"/>
        </w:rPr>
        <w:t>logical therapy services by age</w:t>
      </w:r>
    </w:p>
    <w:p w14:paraId="4F027C17" w14:textId="153147F6" w:rsidR="00084BE2" w:rsidRPr="0000279F" w:rsidRDefault="00D076CF" w:rsidP="001D02A7">
      <w:pPr>
        <w:spacing w:after="200" w:line="276" w:lineRule="auto"/>
        <w:rPr>
          <w:rFonts w:ascii="Times New Roman" w:eastAsia="Times New Roman" w:hAnsi="Times New Roman" w:cs="Times New Roman"/>
          <w:i/>
          <w:sz w:val="24"/>
          <w:szCs w:val="24"/>
        </w:rPr>
      </w:pPr>
      <w:r w:rsidRPr="0000279F">
        <w:rPr>
          <w:rFonts w:ascii="Times New Roman" w:eastAsia="Times New Roman" w:hAnsi="Times New Roman" w:cs="Times New Roman"/>
          <w:sz w:val="24"/>
          <w:szCs w:val="24"/>
          <w:lang w:val="fr-FR"/>
        </w:rPr>
        <w:t>Sophie Pettit</w:t>
      </w:r>
      <w:r w:rsidRPr="0000279F">
        <w:rPr>
          <w:rFonts w:ascii="Times New Roman" w:eastAsia="Times New Roman" w:hAnsi="Times New Roman" w:cs="Times New Roman"/>
          <w:sz w:val="24"/>
          <w:szCs w:val="24"/>
          <w:vertAlign w:val="superscript"/>
          <w:lang w:val="fr-FR"/>
        </w:rPr>
        <w:t>1</w:t>
      </w:r>
      <w:r w:rsidRPr="0000279F">
        <w:rPr>
          <w:rFonts w:ascii="Times New Roman" w:eastAsia="Times New Roman" w:hAnsi="Times New Roman" w:cs="Times New Roman"/>
          <w:sz w:val="24"/>
          <w:szCs w:val="24"/>
          <w:lang w:val="fr-FR"/>
        </w:rPr>
        <w:t>, Adam Qureshi</w:t>
      </w:r>
      <w:r w:rsidR="0000279F" w:rsidRPr="0000279F">
        <w:rPr>
          <w:rFonts w:ascii="Times New Roman" w:eastAsia="Times New Roman" w:hAnsi="Times New Roman" w:cs="Times New Roman"/>
          <w:sz w:val="24"/>
          <w:szCs w:val="24"/>
          <w:vertAlign w:val="superscript"/>
          <w:lang w:val="fr-FR"/>
        </w:rPr>
        <w:t>2</w:t>
      </w:r>
      <w:r w:rsidRPr="0000279F">
        <w:rPr>
          <w:rFonts w:ascii="Times New Roman" w:eastAsia="Times New Roman" w:hAnsi="Times New Roman" w:cs="Times New Roman"/>
          <w:sz w:val="24"/>
          <w:szCs w:val="24"/>
          <w:lang w:val="fr-FR"/>
        </w:rPr>
        <w:t xml:space="preserve">, </w:t>
      </w:r>
      <w:r w:rsidR="001D02A7" w:rsidRPr="0000279F">
        <w:rPr>
          <w:rFonts w:ascii="Times New Roman" w:eastAsia="Times New Roman" w:hAnsi="Times New Roman" w:cs="Times New Roman"/>
          <w:sz w:val="24"/>
          <w:szCs w:val="24"/>
          <w:lang w:val="fr-FR"/>
        </w:rPr>
        <w:t xml:space="preserve"> </w:t>
      </w:r>
      <w:r w:rsidR="0000279F" w:rsidRPr="0000279F">
        <w:rPr>
          <w:rFonts w:ascii="Times New Roman" w:eastAsia="Times New Roman" w:hAnsi="Times New Roman" w:cs="Times New Roman"/>
          <w:sz w:val="24"/>
          <w:szCs w:val="24"/>
          <w:lang w:val="fr-FR"/>
        </w:rPr>
        <w:t>William Lee</w:t>
      </w:r>
      <w:r w:rsidR="0000279F" w:rsidRPr="0000279F">
        <w:rPr>
          <w:rFonts w:ascii="Times New Roman" w:eastAsia="Times New Roman" w:hAnsi="Times New Roman" w:cs="Times New Roman"/>
          <w:sz w:val="24"/>
          <w:szCs w:val="24"/>
          <w:vertAlign w:val="superscript"/>
          <w:lang w:val="fr-FR"/>
        </w:rPr>
        <w:t>3</w:t>
      </w:r>
      <w:r w:rsidR="0000279F" w:rsidRPr="0000279F">
        <w:rPr>
          <w:rFonts w:ascii="Times New Roman" w:eastAsia="Times New Roman" w:hAnsi="Times New Roman" w:cs="Times New Roman"/>
          <w:sz w:val="24"/>
          <w:szCs w:val="24"/>
          <w:lang w:val="fr-FR"/>
        </w:rPr>
        <w:t xml:space="preserve">, </w:t>
      </w:r>
      <w:r w:rsidR="0000279F" w:rsidRPr="0000279F">
        <w:rPr>
          <w:rFonts w:ascii="Times New Roman" w:hAnsi="Times New Roman" w:cs="Times New Roman"/>
          <w:sz w:val="24"/>
          <w:szCs w:val="24"/>
        </w:rPr>
        <w:t>Alex Stirzaker</w:t>
      </w:r>
      <w:r w:rsidR="0000279F" w:rsidRPr="0000279F">
        <w:rPr>
          <w:rFonts w:ascii="Times New Roman" w:hAnsi="Times New Roman" w:cs="Times New Roman"/>
          <w:sz w:val="24"/>
          <w:szCs w:val="24"/>
          <w:vertAlign w:val="superscript"/>
        </w:rPr>
        <w:t>4</w:t>
      </w:r>
      <w:r w:rsidR="0000279F" w:rsidRPr="0000279F">
        <w:rPr>
          <w:rFonts w:ascii="Times New Roman" w:hAnsi="Times New Roman" w:cs="Times New Roman"/>
          <w:sz w:val="24"/>
          <w:szCs w:val="24"/>
        </w:rPr>
        <w:t>, Alex Gibson</w:t>
      </w:r>
      <w:r w:rsidR="0000279F">
        <w:rPr>
          <w:rFonts w:ascii="Times New Roman" w:hAnsi="Times New Roman" w:cs="Times New Roman"/>
          <w:sz w:val="24"/>
          <w:szCs w:val="24"/>
          <w:vertAlign w:val="superscript"/>
        </w:rPr>
        <w:t>5</w:t>
      </w:r>
      <w:r w:rsidR="0000279F" w:rsidRPr="0000279F">
        <w:rPr>
          <w:rFonts w:ascii="Times New Roman" w:hAnsi="Times New Roman" w:cs="Times New Roman"/>
          <w:sz w:val="24"/>
          <w:szCs w:val="24"/>
        </w:rPr>
        <w:t>, William Henley</w:t>
      </w:r>
      <w:r w:rsidR="0000279F">
        <w:rPr>
          <w:rFonts w:ascii="Times New Roman" w:hAnsi="Times New Roman" w:cs="Times New Roman"/>
          <w:sz w:val="24"/>
          <w:szCs w:val="24"/>
          <w:vertAlign w:val="superscript"/>
        </w:rPr>
        <w:t>6</w:t>
      </w:r>
      <w:r w:rsidR="0000279F" w:rsidRPr="0000279F">
        <w:rPr>
          <w:rFonts w:ascii="Times New Roman" w:hAnsi="Times New Roman" w:cs="Times New Roman"/>
          <w:sz w:val="24"/>
          <w:szCs w:val="24"/>
        </w:rPr>
        <w:t xml:space="preserve">, </w:t>
      </w:r>
      <w:r w:rsidR="001D02A7" w:rsidRPr="0000279F">
        <w:rPr>
          <w:rFonts w:ascii="Times New Roman" w:eastAsia="Times New Roman" w:hAnsi="Times New Roman" w:cs="Times New Roman"/>
          <w:sz w:val="24"/>
          <w:szCs w:val="24"/>
        </w:rPr>
        <w:t>Richard Byng</w:t>
      </w:r>
      <w:r w:rsidR="0000279F" w:rsidRPr="0000279F">
        <w:rPr>
          <w:rFonts w:ascii="Times New Roman" w:eastAsia="Times New Roman" w:hAnsi="Times New Roman" w:cs="Times New Roman"/>
          <w:sz w:val="24"/>
          <w:szCs w:val="24"/>
          <w:vertAlign w:val="superscript"/>
        </w:rPr>
        <w:t>3</w:t>
      </w:r>
      <w:r w:rsidR="001D02A7" w:rsidRPr="0000279F">
        <w:rPr>
          <w:rFonts w:ascii="Times New Roman" w:eastAsia="Times New Roman" w:hAnsi="Times New Roman" w:cs="Times New Roman"/>
          <w:sz w:val="24"/>
          <w:szCs w:val="24"/>
          <w:vertAlign w:val="superscript"/>
        </w:rPr>
        <w:t>*</w:t>
      </w:r>
    </w:p>
    <w:p w14:paraId="66178758" w14:textId="6B0FE1D5" w:rsidR="0000279F" w:rsidRPr="0000279F" w:rsidRDefault="005B7DCB" w:rsidP="0000279F">
      <w:pPr>
        <w:pStyle w:val="NoSpacing"/>
        <w:spacing w:line="276" w:lineRule="auto"/>
        <w:rPr>
          <w:sz w:val="18"/>
          <w:szCs w:val="18"/>
        </w:rPr>
      </w:pPr>
      <w:r w:rsidRPr="0000279F">
        <w:rPr>
          <w:sz w:val="18"/>
          <w:szCs w:val="18"/>
          <w:vertAlign w:val="superscript"/>
        </w:rPr>
        <w:t>1</w:t>
      </w:r>
      <w:r w:rsidR="008F03DC">
        <w:rPr>
          <w:sz w:val="18"/>
          <w:szCs w:val="18"/>
          <w:vertAlign w:val="superscript"/>
        </w:rPr>
        <w:t xml:space="preserve"> </w:t>
      </w:r>
      <w:r w:rsidR="00FE2F25">
        <w:rPr>
          <w:sz w:val="18"/>
          <w:szCs w:val="18"/>
        </w:rPr>
        <w:t xml:space="preserve">Department of </w:t>
      </w:r>
      <w:r w:rsidR="00EA55A3">
        <w:rPr>
          <w:sz w:val="18"/>
          <w:szCs w:val="18"/>
        </w:rPr>
        <w:t>Health Promotion and Public Health</w:t>
      </w:r>
      <w:r w:rsidR="00FE2F25">
        <w:rPr>
          <w:sz w:val="18"/>
          <w:szCs w:val="18"/>
        </w:rPr>
        <w:t>,</w:t>
      </w:r>
      <w:r w:rsidR="008F03DC">
        <w:rPr>
          <w:sz w:val="18"/>
          <w:szCs w:val="18"/>
        </w:rPr>
        <w:t xml:space="preserve"> </w:t>
      </w:r>
      <w:r w:rsidR="00FE2F25">
        <w:rPr>
          <w:sz w:val="18"/>
          <w:szCs w:val="18"/>
        </w:rPr>
        <w:t>University of West London</w:t>
      </w:r>
      <w:r w:rsidR="008F03DC">
        <w:rPr>
          <w:sz w:val="18"/>
          <w:szCs w:val="18"/>
        </w:rPr>
        <w:t>, London, England</w:t>
      </w:r>
    </w:p>
    <w:p w14:paraId="33F155F0" w14:textId="1B664CCE" w:rsidR="005B7DCB" w:rsidRPr="0000279F" w:rsidRDefault="0000279F" w:rsidP="005B7DCB">
      <w:pPr>
        <w:pStyle w:val="NoSpacing"/>
        <w:spacing w:line="276" w:lineRule="auto"/>
        <w:rPr>
          <w:sz w:val="18"/>
          <w:szCs w:val="18"/>
        </w:rPr>
      </w:pPr>
      <w:r w:rsidRPr="0000279F">
        <w:rPr>
          <w:sz w:val="18"/>
          <w:szCs w:val="18"/>
          <w:vertAlign w:val="superscript"/>
        </w:rPr>
        <w:t>2</w:t>
      </w:r>
      <w:r w:rsidR="008F03DC">
        <w:rPr>
          <w:sz w:val="18"/>
          <w:szCs w:val="18"/>
        </w:rPr>
        <w:t xml:space="preserve"> Department of Psychology, E</w:t>
      </w:r>
      <w:r w:rsidR="005B7DCB" w:rsidRPr="0000279F">
        <w:rPr>
          <w:sz w:val="18"/>
          <w:szCs w:val="18"/>
        </w:rPr>
        <w:t>dge Hill University</w:t>
      </w:r>
      <w:r w:rsidR="008F03DC">
        <w:rPr>
          <w:sz w:val="18"/>
          <w:szCs w:val="18"/>
        </w:rPr>
        <w:t>, Lancashire, England</w:t>
      </w:r>
    </w:p>
    <w:p w14:paraId="4C7AB253" w14:textId="339D164A" w:rsidR="005B7DCB" w:rsidRPr="008F03DC" w:rsidRDefault="000D54ED" w:rsidP="005B7DCB">
      <w:pPr>
        <w:pStyle w:val="NoSpacing"/>
        <w:spacing w:line="276" w:lineRule="auto"/>
        <w:rPr>
          <w:sz w:val="18"/>
          <w:szCs w:val="18"/>
        </w:rPr>
      </w:pPr>
      <w:r>
        <w:rPr>
          <w:sz w:val="18"/>
          <w:szCs w:val="18"/>
          <w:vertAlign w:val="superscript"/>
        </w:rPr>
        <w:t>3</w:t>
      </w:r>
      <w:r w:rsidR="008F03DC" w:rsidRPr="008F03DC">
        <w:rPr>
          <w:sz w:val="18"/>
          <w:szCs w:val="18"/>
          <w:vertAlign w:val="superscript"/>
        </w:rPr>
        <w:t xml:space="preserve"> </w:t>
      </w:r>
      <w:r w:rsidR="005B7DCB" w:rsidRPr="008F03DC">
        <w:rPr>
          <w:sz w:val="18"/>
          <w:szCs w:val="18"/>
        </w:rPr>
        <w:t>Plymouth University Peninsula Colleges of Medicine and Dentistry, University of Plymouth</w:t>
      </w:r>
      <w:r w:rsidR="008F03DC" w:rsidRPr="008F03DC">
        <w:rPr>
          <w:sz w:val="18"/>
          <w:szCs w:val="18"/>
        </w:rPr>
        <w:t>, Plymouth, England</w:t>
      </w:r>
    </w:p>
    <w:p w14:paraId="26EC26EF" w14:textId="15047609" w:rsidR="005B7DCB" w:rsidRPr="008F03DC" w:rsidRDefault="005B7DCB" w:rsidP="005B7DCB">
      <w:pPr>
        <w:pStyle w:val="NoSpacing"/>
        <w:spacing w:line="276" w:lineRule="auto"/>
        <w:rPr>
          <w:sz w:val="14"/>
          <w:szCs w:val="18"/>
          <w:vertAlign w:val="superscript"/>
        </w:rPr>
      </w:pPr>
      <w:r w:rsidRPr="008F03DC">
        <w:rPr>
          <w:rStyle w:val="org"/>
          <w:sz w:val="18"/>
          <w:vertAlign w:val="superscript"/>
        </w:rPr>
        <w:t>4</w:t>
      </w:r>
      <w:r w:rsidR="008F03DC" w:rsidRPr="008F03DC">
        <w:rPr>
          <w:rStyle w:val="org"/>
          <w:sz w:val="18"/>
          <w:vertAlign w:val="superscript"/>
        </w:rPr>
        <w:t xml:space="preserve"> </w:t>
      </w:r>
      <w:r w:rsidRPr="008F03DC">
        <w:rPr>
          <w:rStyle w:val="org"/>
          <w:sz w:val="18"/>
        </w:rPr>
        <w:t>Avon and Wiltshire Mental Health Partnership NHS Trust</w:t>
      </w:r>
      <w:r w:rsidR="008F03DC" w:rsidRPr="008F03DC">
        <w:rPr>
          <w:rStyle w:val="org"/>
          <w:sz w:val="18"/>
        </w:rPr>
        <w:t>, Chippenham, England</w:t>
      </w:r>
    </w:p>
    <w:p w14:paraId="7503D4E3" w14:textId="6BF14BC3" w:rsidR="005B7DCB" w:rsidRPr="008F03DC" w:rsidRDefault="0000279F" w:rsidP="005B7DCB">
      <w:pPr>
        <w:pStyle w:val="NoSpacing"/>
        <w:spacing w:line="276" w:lineRule="auto"/>
        <w:rPr>
          <w:sz w:val="18"/>
          <w:szCs w:val="18"/>
        </w:rPr>
      </w:pPr>
      <w:r w:rsidRPr="008F03DC">
        <w:rPr>
          <w:sz w:val="18"/>
          <w:szCs w:val="18"/>
          <w:vertAlign w:val="superscript"/>
        </w:rPr>
        <w:t>5</w:t>
      </w:r>
      <w:r w:rsidR="008F03DC" w:rsidRPr="008F03DC">
        <w:rPr>
          <w:sz w:val="18"/>
          <w:szCs w:val="18"/>
          <w:vertAlign w:val="superscript"/>
        </w:rPr>
        <w:t xml:space="preserve"> </w:t>
      </w:r>
      <w:r w:rsidR="005B7DCB" w:rsidRPr="008F03DC">
        <w:rPr>
          <w:sz w:val="18"/>
          <w:szCs w:val="18"/>
        </w:rPr>
        <w:t>School of Government, University of Plymouth</w:t>
      </w:r>
      <w:r w:rsidR="008F03DC" w:rsidRPr="008F03DC">
        <w:rPr>
          <w:sz w:val="18"/>
          <w:szCs w:val="18"/>
        </w:rPr>
        <w:t>, Plymouth, England</w:t>
      </w:r>
    </w:p>
    <w:p w14:paraId="1E6BB785" w14:textId="16693E6F" w:rsidR="0000279F" w:rsidRPr="008F03DC" w:rsidRDefault="0000279F" w:rsidP="0000279F">
      <w:pPr>
        <w:pStyle w:val="NoSpacing"/>
        <w:spacing w:line="276" w:lineRule="auto"/>
        <w:rPr>
          <w:color w:val="FF0000"/>
          <w:sz w:val="18"/>
          <w:szCs w:val="18"/>
        </w:rPr>
      </w:pPr>
      <w:r w:rsidRPr="008F03DC">
        <w:rPr>
          <w:sz w:val="18"/>
          <w:szCs w:val="18"/>
          <w:vertAlign w:val="superscript"/>
        </w:rPr>
        <w:t>6</w:t>
      </w:r>
      <w:r w:rsidR="008F03DC" w:rsidRPr="008F03DC">
        <w:rPr>
          <w:sz w:val="18"/>
          <w:szCs w:val="18"/>
          <w:vertAlign w:val="superscript"/>
        </w:rPr>
        <w:t xml:space="preserve"> </w:t>
      </w:r>
      <w:r w:rsidRPr="008F03DC">
        <w:rPr>
          <w:sz w:val="18"/>
          <w:szCs w:val="18"/>
        </w:rPr>
        <w:t>University of Exeter Medical School</w:t>
      </w:r>
      <w:r w:rsidR="008F03DC">
        <w:rPr>
          <w:sz w:val="18"/>
          <w:szCs w:val="18"/>
        </w:rPr>
        <w:t>, Exeter University, Exeter, England</w:t>
      </w:r>
    </w:p>
    <w:p w14:paraId="371F41B0" w14:textId="77777777" w:rsidR="008F03DC" w:rsidRPr="0000279F" w:rsidRDefault="008F03DC" w:rsidP="0000279F">
      <w:pPr>
        <w:pStyle w:val="NoSpacing"/>
        <w:spacing w:line="276" w:lineRule="auto"/>
        <w:rPr>
          <w:sz w:val="18"/>
          <w:szCs w:val="18"/>
        </w:rPr>
      </w:pPr>
    </w:p>
    <w:p w14:paraId="17680812" w14:textId="77777777" w:rsidR="00001542" w:rsidRDefault="005B7DCB" w:rsidP="00001542">
      <w:pPr>
        <w:pStyle w:val="NoSpacing"/>
        <w:spacing w:line="276" w:lineRule="auto"/>
        <w:rPr>
          <w:sz w:val="18"/>
          <w:szCs w:val="18"/>
        </w:rPr>
      </w:pPr>
      <w:r w:rsidRPr="0000279F">
        <w:rPr>
          <w:sz w:val="18"/>
          <w:szCs w:val="18"/>
        </w:rPr>
        <w:t>*Corresponding author</w:t>
      </w:r>
      <w:r w:rsidR="00001542">
        <w:rPr>
          <w:sz w:val="18"/>
          <w:szCs w:val="18"/>
        </w:rPr>
        <w:t>:</w:t>
      </w:r>
      <w:r w:rsidRPr="0000279F">
        <w:rPr>
          <w:sz w:val="18"/>
          <w:szCs w:val="18"/>
        </w:rPr>
        <w:t xml:space="preserve"> </w:t>
      </w:r>
    </w:p>
    <w:p w14:paraId="75F45E78" w14:textId="77777777" w:rsidR="00001542" w:rsidRDefault="005B7DCB" w:rsidP="00001542">
      <w:pPr>
        <w:pStyle w:val="NoSpacing"/>
        <w:spacing w:line="276" w:lineRule="auto"/>
        <w:rPr>
          <w:sz w:val="18"/>
          <w:szCs w:val="18"/>
        </w:rPr>
      </w:pPr>
      <w:r w:rsidRPr="0000279F">
        <w:rPr>
          <w:sz w:val="18"/>
          <w:szCs w:val="18"/>
        </w:rPr>
        <w:t>Professor Richard Byng</w:t>
      </w:r>
    </w:p>
    <w:p w14:paraId="34A23B80" w14:textId="24E27985" w:rsidR="00001542" w:rsidRDefault="00001542" w:rsidP="00001542">
      <w:pPr>
        <w:pStyle w:val="NoSpacing"/>
        <w:spacing w:line="276" w:lineRule="auto"/>
        <w:rPr>
          <w:sz w:val="18"/>
          <w:szCs w:val="18"/>
        </w:rPr>
      </w:pPr>
      <w:r>
        <w:rPr>
          <w:sz w:val="18"/>
          <w:szCs w:val="18"/>
        </w:rPr>
        <w:t>ITTC Building, R</w:t>
      </w:r>
      <w:r w:rsidR="005B7DCB" w:rsidRPr="0000279F">
        <w:rPr>
          <w:sz w:val="18"/>
          <w:szCs w:val="18"/>
        </w:rPr>
        <w:t xml:space="preserve">m N32, </w:t>
      </w:r>
    </w:p>
    <w:p w14:paraId="50D424B4" w14:textId="06B76D93" w:rsidR="00001542" w:rsidRDefault="005B7DCB" w:rsidP="00001542">
      <w:pPr>
        <w:pStyle w:val="NoSpacing"/>
        <w:spacing w:line="276" w:lineRule="auto"/>
        <w:rPr>
          <w:sz w:val="18"/>
          <w:szCs w:val="18"/>
        </w:rPr>
      </w:pPr>
      <w:r w:rsidRPr="0000279F">
        <w:rPr>
          <w:sz w:val="18"/>
          <w:szCs w:val="18"/>
        </w:rPr>
        <w:t xml:space="preserve">Tamar Science Park </w:t>
      </w:r>
    </w:p>
    <w:p w14:paraId="56310F81" w14:textId="0CFDFBF4" w:rsidR="00001542" w:rsidRDefault="00001542" w:rsidP="00001542">
      <w:pPr>
        <w:pStyle w:val="NoSpacing"/>
        <w:spacing w:line="276" w:lineRule="auto"/>
        <w:rPr>
          <w:sz w:val="18"/>
          <w:szCs w:val="18"/>
        </w:rPr>
      </w:pPr>
      <w:r>
        <w:rPr>
          <w:sz w:val="18"/>
          <w:szCs w:val="18"/>
        </w:rPr>
        <w:t>Derriford</w:t>
      </w:r>
      <w:r w:rsidR="005B7DCB" w:rsidRPr="0000279F">
        <w:rPr>
          <w:sz w:val="18"/>
          <w:szCs w:val="18"/>
        </w:rPr>
        <w:t xml:space="preserve"> </w:t>
      </w:r>
    </w:p>
    <w:p w14:paraId="55A86101" w14:textId="0968C665" w:rsidR="00001542" w:rsidRDefault="005B7DCB" w:rsidP="00001542">
      <w:pPr>
        <w:pStyle w:val="NoSpacing"/>
        <w:spacing w:line="276" w:lineRule="auto"/>
        <w:rPr>
          <w:sz w:val="18"/>
          <w:szCs w:val="18"/>
        </w:rPr>
      </w:pPr>
      <w:r w:rsidRPr="0000279F">
        <w:rPr>
          <w:sz w:val="18"/>
          <w:szCs w:val="18"/>
        </w:rPr>
        <w:t xml:space="preserve">Plymouth </w:t>
      </w:r>
    </w:p>
    <w:p w14:paraId="4FC3A15A" w14:textId="7A46B210" w:rsidR="00001542" w:rsidRDefault="00227210" w:rsidP="00001542">
      <w:pPr>
        <w:pStyle w:val="NoSpacing"/>
        <w:spacing w:line="276" w:lineRule="auto"/>
        <w:rPr>
          <w:sz w:val="18"/>
          <w:szCs w:val="18"/>
        </w:rPr>
      </w:pPr>
      <w:r>
        <w:rPr>
          <w:sz w:val="18"/>
          <w:szCs w:val="18"/>
        </w:rPr>
        <w:t>PL6 8BX</w:t>
      </w:r>
      <w:r w:rsidR="005B7DCB" w:rsidRPr="0000279F">
        <w:rPr>
          <w:sz w:val="18"/>
          <w:szCs w:val="18"/>
        </w:rPr>
        <w:t xml:space="preserve"> </w:t>
      </w:r>
    </w:p>
    <w:p w14:paraId="43CE3B23" w14:textId="1F11D017" w:rsidR="00001542" w:rsidRDefault="005B7DCB" w:rsidP="00001542">
      <w:pPr>
        <w:pStyle w:val="NoSpacing"/>
        <w:spacing w:line="276" w:lineRule="auto"/>
        <w:rPr>
          <w:rStyle w:val="Hyperlink"/>
          <w:color w:val="auto"/>
          <w:sz w:val="18"/>
          <w:szCs w:val="18"/>
          <w:u w:val="none"/>
        </w:rPr>
      </w:pPr>
      <w:r w:rsidRPr="0000279F">
        <w:rPr>
          <w:sz w:val="18"/>
          <w:szCs w:val="18"/>
        </w:rPr>
        <w:t xml:space="preserve">Email: </w:t>
      </w:r>
      <w:hyperlink r:id="rId8" w:history="1">
        <w:r w:rsidRPr="0000279F">
          <w:rPr>
            <w:rStyle w:val="Hyperlink"/>
            <w:color w:val="auto"/>
            <w:sz w:val="18"/>
            <w:szCs w:val="18"/>
          </w:rPr>
          <w:t>richard.byng@plymouth.ac.uk</w:t>
        </w:r>
      </w:hyperlink>
      <w:r w:rsidR="00001542">
        <w:rPr>
          <w:rStyle w:val="Hyperlink"/>
          <w:color w:val="auto"/>
          <w:sz w:val="18"/>
          <w:szCs w:val="18"/>
          <w:u w:val="none"/>
        </w:rPr>
        <w:t xml:space="preserve"> </w:t>
      </w:r>
    </w:p>
    <w:p w14:paraId="11CD2BAE" w14:textId="59BF8455" w:rsidR="00001542" w:rsidRDefault="00001542" w:rsidP="00001542">
      <w:pPr>
        <w:pStyle w:val="NoSpacing"/>
        <w:spacing w:line="276" w:lineRule="auto"/>
        <w:rPr>
          <w:rFonts w:ascii="Helvetica" w:hAnsi="Helvetica"/>
          <w:color w:val="333333"/>
          <w:sz w:val="20"/>
          <w:szCs w:val="20"/>
          <w:shd w:val="clear" w:color="auto" w:fill="FFFFFF"/>
        </w:rPr>
      </w:pPr>
      <w:r>
        <w:rPr>
          <w:rStyle w:val="Hyperlink"/>
          <w:color w:val="auto"/>
          <w:sz w:val="18"/>
          <w:szCs w:val="18"/>
          <w:u w:val="none"/>
        </w:rPr>
        <w:t>Telephone number: 01752 764 258</w:t>
      </w:r>
    </w:p>
    <w:p w14:paraId="44CF7C12" w14:textId="77777777" w:rsidR="00001542" w:rsidRDefault="00001542" w:rsidP="00001542">
      <w:pPr>
        <w:pStyle w:val="NoSpacing"/>
        <w:spacing w:line="276" w:lineRule="auto"/>
        <w:rPr>
          <w:rFonts w:ascii="Helvetica" w:hAnsi="Helvetica"/>
          <w:color w:val="333333"/>
          <w:sz w:val="20"/>
          <w:szCs w:val="20"/>
          <w:shd w:val="clear" w:color="auto" w:fill="FFFFFF"/>
        </w:rPr>
      </w:pPr>
    </w:p>
    <w:p w14:paraId="66D7977A" w14:textId="77777777" w:rsidR="00001542" w:rsidRDefault="00001542" w:rsidP="00001542">
      <w:pPr>
        <w:pStyle w:val="NoSpacing"/>
        <w:spacing w:line="276" w:lineRule="auto"/>
        <w:rPr>
          <w:rFonts w:ascii="Helvetica" w:hAnsi="Helvetica"/>
          <w:color w:val="333333"/>
          <w:sz w:val="20"/>
          <w:szCs w:val="20"/>
          <w:shd w:val="clear" w:color="auto" w:fill="FFFFFF"/>
        </w:rPr>
      </w:pPr>
    </w:p>
    <w:p w14:paraId="6E5A1D17"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21ADEB7" w14:textId="35BD1BF8" w:rsidR="0077551C" w:rsidRPr="00C64383" w:rsidRDefault="0077551C" w:rsidP="00C64383">
      <w:pPr>
        <w:pStyle w:val="NoSpacing"/>
        <w:spacing w:line="276" w:lineRule="auto"/>
        <w:jc w:val="right"/>
        <w:rPr>
          <w:rFonts w:ascii="Helvetica" w:hAnsi="Helvetica"/>
          <w:sz w:val="20"/>
          <w:szCs w:val="20"/>
          <w:shd w:val="clear" w:color="auto" w:fill="FFFFFF"/>
        </w:rPr>
      </w:pPr>
      <w:r w:rsidRPr="00AF04E4">
        <w:rPr>
          <w:rFonts w:ascii="Helvetica" w:hAnsi="Helvetica"/>
          <w:sz w:val="20"/>
          <w:szCs w:val="20"/>
          <w:shd w:val="clear" w:color="auto" w:fill="FFFFFF"/>
        </w:rPr>
        <w:t>Word count</w:t>
      </w:r>
      <w:r w:rsidR="00347807" w:rsidRPr="00AF04E4">
        <w:rPr>
          <w:rFonts w:ascii="Helvetica" w:hAnsi="Helvetica"/>
          <w:sz w:val="20"/>
          <w:szCs w:val="20"/>
          <w:shd w:val="clear" w:color="auto" w:fill="FFFFFF"/>
        </w:rPr>
        <w:t xml:space="preserve"> main body</w:t>
      </w:r>
      <w:r w:rsidRPr="00AF04E4">
        <w:rPr>
          <w:rFonts w:ascii="Helvetica" w:hAnsi="Helvetica"/>
          <w:sz w:val="20"/>
          <w:szCs w:val="20"/>
          <w:shd w:val="clear" w:color="auto" w:fill="FFFFFF"/>
        </w:rPr>
        <w:t xml:space="preserve">: </w:t>
      </w:r>
      <w:r w:rsidR="00C75E1C" w:rsidRPr="00AF04E4">
        <w:rPr>
          <w:rFonts w:ascii="Helvetica" w:hAnsi="Helvetica"/>
          <w:sz w:val="20"/>
          <w:szCs w:val="20"/>
          <w:shd w:val="clear" w:color="auto" w:fill="FFFFFF"/>
        </w:rPr>
        <w:t>2,</w:t>
      </w:r>
      <w:r w:rsidR="00AF04E4" w:rsidRPr="00AF04E4">
        <w:rPr>
          <w:rFonts w:ascii="Helvetica" w:hAnsi="Helvetica"/>
          <w:sz w:val="20"/>
          <w:szCs w:val="20"/>
          <w:shd w:val="clear" w:color="auto" w:fill="FFFFFF"/>
        </w:rPr>
        <w:t>582</w:t>
      </w:r>
    </w:p>
    <w:p w14:paraId="2BDEC090"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B8E22FD"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6BE141EB"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33602B7C" w14:textId="77777777" w:rsidR="00FE2F25" w:rsidRDefault="00FE2F25" w:rsidP="00001542">
      <w:pPr>
        <w:pStyle w:val="NoSpacing"/>
        <w:spacing w:line="276" w:lineRule="auto"/>
        <w:rPr>
          <w:rFonts w:ascii="Helvetica" w:hAnsi="Helvetica"/>
          <w:color w:val="333333"/>
          <w:sz w:val="20"/>
          <w:szCs w:val="20"/>
          <w:shd w:val="clear" w:color="auto" w:fill="FFFFFF"/>
        </w:rPr>
      </w:pPr>
    </w:p>
    <w:p w14:paraId="3BAACD15"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228A6A15"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33147E19"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34365016"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22AB2F04"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C3769D2"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4E36E11"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74022E4E"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2B76604"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20D16EB6"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D910BFE"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6085DAE0"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0A2AA7C8"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2173666B"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632CEAA4"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4D327244"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235668A1"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3ED04302" w14:textId="77777777" w:rsidR="00E21C11" w:rsidRDefault="00E21C11" w:rsidP="00001542">
      <w:pPr>
        <w:pStyle w:val="NoSpacing"/>
        <w:spacing w:line="276" w:lineRule="auto"/>
        <w:rPr>
          <w:rFonts w:ascii="Helvetica" w:hAnsi="Helvetica"/>
          <w:color w:val="333333"/>
          <w:sz w:val="20"/>
          <w:szCs w:val="20"/>
          <w:shd w:val="clear" w:color="auto" w:fill="FFFFFF"/>
        </w:rPr>
      </w:pPr>
    </w:p>
    <w:p w14:paraId="56A76A75" w14:textId="77777777" w:rsidR="00E21C11" w:rsidRDefault="00E21C11" w:rsidP="00001542">
      <w:pPr>
        <w:pStyle w:val="NoSpacing"/>
        <w:spacing w:line="276" w:lineRule="auto"/>
        <w:rPr>
          <w:rFonts w:ascii="Helvetica" w:hAnsi="Helvetica"/>
          <w:color w:val="333333"/>
          <w:sz w:val="20"/>
          <w:szCs w:val="20"/>
          <w:shd w:val="clear" w:color="auto" w:fill="FFFFFF"/>
        </w:rPr>
      </w:pPr>
    </w:p>
    <w:p w14:paraId="44F8BEBB"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5B9E866"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18154A14"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03C79D83" w14:textId="77777777" w:rsidR="0077551C" w:rsidRDefault="0077551C" w:rsidP="00001542">
      <w:pPr>
        <w:pStyle w:val="NoSpacing"/>
        <w:spacing w:line="276" w:lineRule="auto"/>
        <w:rPr>
          <w:rFonts w:ascii="Helvetica" w:hAnsi="Helvetica"/>
          <w:color w:val="333333"/>
          <w:sz w:val="20"/>
          <w:szCs w:val="20"/>
          <w:shd w:val="clear" w:color="auto" w:fill="FFFFFF"/>
        </w:rPr>
      </w:pPr>
    </w:p>
    <w:p w14:paraId="61E4149A" w14:textId="77777777" w:rsidR="00843307" w:rsidRDefault="00843307" w:rsidP="00001542">
      <w:pPr>
        <w:pStyle w:val="NoSpacing"/>
        <w:spacing w:line="276" w:lineRule="auto"/>
        <w:rPr>
          <w:rFonts w:ascii="Times New Roman" w:eastAsia="Times New Roman" w:hAnsi="Times New Roman" w:cs="Times New Roman"/>
          <w:b/>
          <w:sz w:val="24"/>
          <w:szCs w:val="24"/>
        </w:rPr>
      </w:pPr>
    </w:p>
    <w:p w14:paraId="05F7341C" w14:textId="77777777" w:rsidR="00843307" w:rsidRDefault="00843307" w:rsidP="00001542">
      <w:pPr>
        <w:pStyle w:val="NoSpacing"/>
        <w:spacing w:line="276" w:lineRule="auto"/>
        <w:rPr>
          <w:rFonts w:ascii="Times New Roman" w:eastAsia="Times New Roman" w:hAnsi="Times New Roman" w:cs="Times New Roman"/>
          <w:b/>
          <w:sz w:val="24"/>
          <w:szCs w:val="24"/>
        </w:rPr>
      </w:pPr>
    </w:p>
    <w:p w14:paraId="32D19DE2" w14:textId="63781BBE" w:rsidR="00801C27" w:rsidRDefault="00801C27" w:rsidP="00001542">
      <w:pPr>
        <w:pStyle w:val="NoSpacing"/>
        <w:spacing w:line="276" w:lineRule="auto"/>
        <w:rPr>
          <w:rFonts w:ascii="Times New Roman" w:eastAsia="Times New Roman" w:hAnsi="Times New Roman" w:cs="Times New Roman"/>
          <w:b/>
          <w:sz w:val="24"/>
          <w:szCs w:val="24"/>
        </w:rPr>
      </w:pPr>
      <w:r w:rsidRPr="00801C27">
        <w:rPr>
          <w:rFonts w:ascii="Times New Roman" w:eastAsia="Times New Roman" w:hAnsi="Times New Roman" w:cs="Times New Roman"/>
          <w:b/>
          <w:sz w:val="24"/>
          <w:szCs w:val="24"/>
        </w:rPr>
        <w:lastRenderedPageBreak/>
        <w:t xml:space="preserve">Abstract </w:t>
      </w:r>
    </w:p>
    <w:p w14:paraId="6FABF653" w14:textId="77777777" w:rsidR="00E21C11" w:rsidRPr="00801C27" w:rsidRDefault="00E21C11" w:rsidP="00001542">
      <w:pPr>
        <w:pStyle w:val="NoSpacing"/>
        <w:spacing w:line="276" w:lineRule="auto"/>
        <w:rPr>
          <w:rFonts w:ascii="Times New Roman" w:eastAsia="Times New Roman" w:hAnsi="Times New Roman" w:cs="Times New Roman"/>
          <w:b/>
          <w:sz w:val="24"/>
          <w:szCs w:val="24"/>
        </w:rPr>
      </w:pPr>
    </w:p>
    <w:p w14:paraId="533D5F29" w14:textId="77777777" w:rsidR="00B4544A" w:rsidRDefault="00B4544A" w:rsidP="00D56929">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sidR="00D076CF" w:rsidRPr="00801C27">
        <w:rPr>
          <w:rFonts w:ascii="Times New Roman" w:eastAsia="Times New Roman" w:hAnsi="Times New Roman" w:cs="Times New Roman"/>
          <w:b/>
          <w:sz w:val="24"/>
          <w:szCs w:val="24"/>
        </w:rPr>
        <w:t>:</w:t>
      </w:r>
      <w:r w:rsidR="00D076CF" w:rsidRPr="00801C27">
        <w:rPr>
          <w:rFonts w:ascii="Times New Roman" w:eastAsia="Times New Roman" w:hAnsi="Times New Roman" w:cs="Times New Roman"/>
          <w:sz w:val="24"/>
          <w:szCs w:val="24"/>
        </w:rPr>
        <w:t xml:space="preserve"> </w:t>
      </w:r>
      <w:r w:rsidR="001D02A7" w:rsidRPr="00801C27">
        <w:rPr>
          <w:rFonts w:ascii="Times New Roman" w:eastAsia="Times New Roman" w:hAnsi="Times New Roman" w:cs="Times New Roman"/>
          <w:sz w:val="24"/>
          <w:szCs w:val="24"/>
        </w:rPr>
        <w:t>Older people</w:t>
      </w:r>
      <w:r w:rsidR="00D076CF" w:rsidRPr="00801C27">
        <w:rPr>
          <w:rFonts w:ascii="Times New Roman" w:eastAsia="Times New Roman" w:hAnsi="Times New Roman" w:cs="Times New Roman"/>
          <w:sz w:val="24"/>
          <w:szCs w:val="24"/>
        </w:rPr>
        <w:t xml:space="preserve"> with common mental health problems (CMHPs) are </w:t>
      </w:r>
      <w:r w:rsidR="00515FC2">
        <w:rPr>
          <w:rFonts w:ascii="Times New Roman" w:eastAsia="Times New Roman" w:hAnsi="Times New Roman" w:cs="Times New Roman"/>
          <w:sz w:val="24"/>
          <w:szCs w:val="24"/>
        </w:rPr>
        <w:t>known</w:t>
      </w:r>
      <w:r w:rsidR="001D02A7" w:rsidRPr="00801C27">
        <w:rPr>
          <w:rFonts w:ascii="Times New Roman" w:eastAsia="Times New Roman" w:hAnsi="Times New Roman" w:cs="Times New Roman"/>
          <w:sz w:val="24"/>
          <w:szCs w:val="24"/>
        </w:rPr>
        <w:t xml:space="preserve"> </w:t>
      </w:r>
      <w:r w:rsidR="00D076CF" w:rsidRPr="00801C27">
        <w:rPr>
          <w:rFonts w:ascii="Times New Roman" w:eastAsia="Times New Roman" w:hAnsi="Times New Roman" w:cs="Times New Roman"/>
          <w:sz w:val="24"/>
          <w:szCs w:val="24"/>
        </w:rPr>
        <w:t xml:space="preserve">to have </w:t>
      </w:r>
      <w:r w:rsidR="001D02A7" w:rsidRPr="00801C27">
        <w:rPr>
          <w:rFonts w:ascii="Times New Roman" w:eastAsia="Times New Roman" w:hAnsi="Times New Roman" w:cs="Times New Roman"/>
          <w:sz w:val="24"/>
          <w:szCs w:val="24"/>
        </w:rPr>
        <w:t xml:space="preserve">reduced </w:t>
      </w:r>
      <w:r w:rsidR="00D076CF" w:rsidRPr="00801C27">
        <w:rPr>
          <w:rFonts w:ascii="Times New Roman" w:eastAsia="Times New Roman" w:hAnsi="Times New Roman" w:cs="Times New Roman"/>
          <w:sz w:val="24"/>
          <w:szCs w:val="24"/>
        </w:rPr>
        <w:t xml:space="preserve">rates of referral </w:t>
      </w:r>
      <w:r w:rsidR="001D02A7" w:rsidRPr="00801C27">
        <w:rPr>
          <w:rFonts w:ascii="Times New Roman" w:eastAsia="Times New Roman" w:hAnsi="Times New Roman" w:cs="Times New Roman"/>
          <w:sz w:val="24"/>
          <w:szCs w:val="24"/>
        </w:rPr>
        <w:t>to psychological therapy</w:t>
      </w:r>
      <w:r w:rsidR="00F60871" w:rsidRPr="00801C27">
        <w:rPr>
          <w:rFonts w:ascii="Times New Roman" w:eastAsia="Times New Roman" w:hAnsi="Times New Roman" w:cs="Times New Roman"/>
          <w:sz w:val="24"/>
          <w:szCs w:val="24"/>
        </w:rPr>
        <w:t xml:space="preserve">. </w:t>
      </w:r>
    </w:p>
    <w:p w14:paraId="2EA2AAEA" w14:textId="4D89014E" w:rsidR="00084BE2" w:rsidRPr="00801C27" w:rsidRDefault="00B4544A" w:rsidP="00D56929">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Aim: </w:t>
      </w:r>
      <w:r w:rsidR="00D56929" w:rsidRPr="00801C27">
        <w:rPr>
          <w:rFonts w:ascii="Times New Roman" w:eastAsia="Times New Roman" w:hAnsi="Times New Roman" w:cs="Times New Roman"/>
          <w:sz w:val="24"/>
          <w:szCs w:val="24"/>
        </w:rPr>
        <w:t>W</w:t>
      </w:r>
      <w:r w:rsidR="00D076CF" w:rsidRPr="00801C27">
        <w:rPr>
          <w:rFonts w:ascii="Times New Roman" w:eastAsia="Times New Roman" w:hAnsi="Times New Roman" w:cs="Times New Roman"/>
          <w:sz w:val="24"/>
          <w:szCs w:val="24"/>
        </w:rPr>
        <w:t>e aimed to assess referral</w:t>
      </w:r>
      <w:r w:rsidR="000F1E48">
        <w:rPr>
          <w:rFonts w:ascii="Times New Roman" w:eastAsia="Times New Roman" w:hAnsi="Times New Roman" w:cs="Times New Roman"/>
          <w:sz w:val="24"/>
          <w:szCs w:val="24"/>
        </w:rPr>
        <w:t xml:space="preserve"> rates</w:t>
      </w:r>
      <w:r w:rsidR="00D076CF" w:rsidRPr="00801C27">
        <w:rPr>
          <w:rFonts w:ascii="Times New Roman" w:eastAsia="Times New Roman" w:hAnsi="Times New Roman" w:cs="Times New Roman"/>
          <w:sz w:val="24"/>
          <w:szCs w:val="24"/>
        </w:rPr>
        <w:t xml:space="preserve"> to the Improving Access to Psychological Therapies (IAPT) service, contact with a therapist and clinical outcome by age.</w:t>
      </w:r>
    </w:p>
    <w:p w14:paraId="30233803" w14:textId="2876A197" w:rsidR="00547353" w:rsidRDefault="00DD5FE0" w:rsidP="006758E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w:t>
      </w:r>
      <w:r w:rsidR="00547353">
        <w:rPr>
          <w:rFonts w:ascii="Times New Roman" w:eastAsia="Times New Roman" w:hAnsi="Times New Roman" w:cs="Times New Roman"/>
          <w:b/>
          <w:sz w:val="24"/>
          <w:szCs w:val="24"/>
        </w:rPr>
        <w:t xml:space="preserve"> and Setting</w:t>
      </w:r>
      <w:r w:rsidR="00D076CF" w:rsidRPr="00801C27">
        <w:rPr>
          <w:rFonts w:ascii="Times New Roman" w:eastAsia="Times New Roman" w:hAnsi="Times New Roman" w:cs="Times New Roman"/>
          <w:b/>
          <w:sz w:val="24"/>
          <w:szCs w:val="24"/>
        </w:rPr>
        <w:t>:</w:t>
      </w:r>
      <w:r w:rsidR="00D076CF" w:rsidRPr="00801C27">
        <w:rPr>
          <w:rFonts w:ascii="Times New Roman" w:eastAsia="Times New Roman" w:hAnsi="Times New Roman" w:cs="Times New Roman"/>
          <w:sz w:val="24"/>
          <w:szCs w:val="24"/>
        </w:rPr>
        <w:t xml:space="preserve"> </w:t>
      </w:r>
      <w:r w:rsidR="00616FB1" w:rsidRPr="00616FB1">
        <w:rPr>
          <w:rFonts w:ascii="Times New Roman" w:eastAsia="Times New Roman" w:hAnsi="Times New Roman" w:cs="Times New Roman"/>
          <w:sz w:val="24"/>
          <w:szCs w:val="24"/>
        </w:rPr>
        <w:t>E</w:t>
      </w:r>
      <w:r w:rsidR="00616FB1" w:rsidRPr="00616FB1">
        <w:rPr>
          <w:rFonts w:ascii="Times New Roman" w:hAnsi="Times New Roman" w:cs="Times New Roman"/>
          <w:sz w:val="24"/>
          <w:szCs w:val="24"/>
        </w:rPr>
        <w:t>mpirical research using patient episodes of care from South West IAPT</w:t>
      </w:r>
      <w:r w:rsidR="00616FB1">
        <w:rPr>
          <w:rFonts w:ascii="Times New Roman" w:hAnsi="Times New Roman" w:cs="Times New Roman"/>
          <w:sz w:val="24"/>
          <w:szCs w:val="24"/>
        </w:rPr>
        <w:t>.</w:t>
      </w:r>
    </w:p>
    <w:p w14:paraId="3183953F" w14:textId="1DB51605" w:rsidR="00084BE2" w:rsidRPr="00801C27" w:rsidRDefault="00547353" w:rsidP="006758E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 </w:t>
      </w:r>
      <w:r w:rsidR="001D02A7" w:rsidRPr="00801C27">
        <w:rPr>
          <w:rFonts w:ascii="Times New Roman" w:eastAsia="Times New Roman" w:hAnsi="Times New Roman" w:cs="Times New Roman"/>
          <w:sz w:val="24"/>
          <w:szCs w:val="24"/>
        </w:rPr>
        <w:t xml:space="preserve">By analysing 82,513 episodes of care </w:t>
      </w:r>
      <w:r w:rsidR="006173AC">
        <w:rPr>
          <w:rFonts w:ascii="Times New Roman" w:eastAsia="Times New Roman" w:hAnsi="Times New Roman" w:cs="Times New Roman"/>
          <w:sz w:val="24"/>
          <w:szCs w:val="24"/>
        </w:rPr>
        <w:t>(2010</w:t>
      </w:r>
      <w:r w:rsidR="007A1364">
        <w:rPr>
          <w:rFonts w:ascii="Times New Roman" w:eastAsia="Times New Roman" w:hAnsi="Times New Roman" w:cs="Times New Roman"/>
          <w:sz w:val="24"/>
          <w:szCs w:val="24"/>
        </w:rPr>
        <w:t>-</w:t>
      </w:r>
      <w:r w:rsidR="006173AC">
        <w:rPr>
          <w:rFonts w:ascii="Times New Roman" w:eastAsia="Times New Roman" w:hAnsi="Times New Roman" w:cs="Times New Roman"/>
          <w:sz w:val="24"/>
          <w:szCs w:val="24"/>
        </w:rPr>
        <w:t>2011)</w:t>
      </w:r>
      <w:r w:rsidR="001D02A7" w:rsidRPr="00801C27">
        <w:rPr>
          <w:rFonts w:ascii="Times New Roman" w:eastAsia="Times New Roman" w:hAnsi="Times New Roman" w:cs="Times New Roman"/>
          <w:sz w:val="24"/>
          <w:szCs w:val="24"/>
        </w:rPr>
        <w:t xml:space="preserve">, </w:t>
      </w:r>
      <w:r w:rsidR="00D56929" w:rsidRPr="00801C27">
        <w:rPr>
          <w:rFonts w:ascii="Times New Roman" w:eastAsia="Times New Roman" w:hAnsi="Times New Roman" w:cs="Times New Roman"/>
          <w:sz w:val="24"/>
          <w:szCs w:val="24"/>
        </w:rPr>
        <w:t>r</w:t>
      </w:r>
      <w:r w:rsidR="009149C7">
        <w:rPr>
          <w:rFonts w:ascii="Times New Roman" w:eastAsia="Times New Roman" w:hAnsi="Times New Roman" w:cs="Times New Roman"/>
          <w:sz w:val="24"/>
          <w:szCs w:val="24"/>
        </w:rPr>
        <w:t>eferral rates</w:t>
      </w:r>
      <w:r w:rsidR="00D076CF" w:rsidRPr="00801C27">
        <w:rPr>
          <w:rFonts w:ascii="Times New Roman" w:eastAsia="Times New Roman" w:hAnsi="Times New Roman" w:cs="Times New Roman"/>
          <w:sz w:val="24"/>
          <w:szCs w:val="24"/>
        </w:rPr>
        <w:t xml:space="preserve"> and</w:t>
      </w:r>
      <w:r w:rsidR="00B72134">
        <w:rPr>
          <w:rFonts w:ascii="Times New Roman" w:eastAsia="Times New Roman" w:hAnsi="Times New Roman" w:cs="Times New Roman"/>
          <w:sz w:val="24"/>
          <w:szCs w:val="24"/>
        </w:rPr>
        <w:t xml:space="preserve"> </w:t>
      </w:r>
      <w:r w:rsidR="006D1199">
        <w:rPr>
          <w:rFonts w:ascii="Times New Roman" w:eastAsia="Times New Roman" w:hAnsi="Times New Roman" w:cs="Times New Roman"/>
          <w:sz w:val="24"/>
          <w:szCs w:val="24"/>
        </w:rPr>
        <w:t xml:space="preserve">clinical </w:t>
      </w:r>
      <w:r w:rsidR="00B72134">
        <w:rPr>
          <w:rFonts w:ascii="Times New Roman" w:eastAsia="Times New Roman" w:hAnsi="Times New Roman" w:cs="Times New Roman"/>
          <w:sz w:val="24"/>
          <w:szCs w:val="24"/>
        </w:rPr>
        <w:t>improvement</w:t>
      </w:r>
      <w:r w:rsidR="000D5561">
        <w:rPr>
          <w:rFonts w:ascii="Times New Roman" w:eastAsia="Times New Roman" w:hAnsi="Times New Roman" w:cs="Times New Roman"/>
          <w:sz w:val="24"/>
          <w:szCs w:val="24"/>
        </w:rPr>
        <w:t xml:space="preserve"> </w:t>
      </w:r>
      <w:r w:rsidR="00D076CF" w:rsidRPr="00801C27">
        <w:rPr>
          <w:rFonts w:ascii="Times New Roman" w:eastAsia="Times New Roman" w:hAnsi="Times New Roman" w:cs="Times New Roman"/>
          <w:sz w:val="24"/>
          <w:szCs w:val="24"/>
        </w:rPr>
        <w:t xml:space="preserve">were compared to </w:t>
      </w:r>
      <w:r w:rsidR="003A4A51" w:rsidRPr="00801C27">
        <w:rPr>
          <w:rFonts w:ascii="Times New Roman" w:eastAsia="Times New Roman" w:hAnsi="Times New Roman" w:cs="Times New Roman"/>
          <w:sz w:val="24"/>
          <w:szCs w:val="24"/>
        </w:rPr>
        <w:t xml:space="preserve">both total population and </w:t>
      </w:r>
      <w:r w:rsidR="00D076CF" w:rsidRPr="00801C27">
        <w:rPr>
          <w:rFonts w:ascii="Times New Roman" w:eastAsia="Times New Roman" w:hAnsi="Times New Roman" w:cs="Times New Roman"/>
          <w:sz w:val="24"/>
          <w:szCs w:val="24"/>
        </w:rPr>
        <w:t xml:space="preserve">estimated prevalence in each age group using </w:t>
      </w:r>
      <w:r w:rsidR="00B72134">
        <w:rPr>
          <w:rFonts w:ascii="Times New Roman" w:eastAsia="Times New Roman" w:hAnsi="Times New Roman" w:cs="Times New Roman"/>
          <w:sz w:val="24"/>
          <w:szCs w:val="24"/>
        </w:rPr>
        <w:t xml:space="preserve">IAPT </w:t>
      </w:r>
      <w:r w:rsidR="00D076CF" w:rsidRPr="00801C27">
        <w:rPr>
          <w:rFonts w:ascii="Times New Roman" w:eastAsia="Times New Roman" w:hAnsi="Times New Roman" w:cs="Times New Roman"/>
          <w:sz w:val="24"/>
          <w:szCs w:val="24"/>
        </w:rPr>
        <w:t xml:space="preserve">data. </w:t>
      </w:r>
      <w:r w:rsidR="007A1364">
        <w:rPr>
          <w:rFonts w:ascii="Times New Roman" w:eastAsia="Times New Roman" w:hAnsi="Times New Roman" w:cs="Times New Roman"/>
          <w:sz w:val="24"/>
          <w:szCs w:val="24"/>
        </w:rPr>
        <w:t>P</w:t>
      </w:r>
      <w:r w:rsidR="00D56929" w:rsidRPr="00801C27">
        <w:rPr>
          <w:rFonts w:ascii="Times New Roman" w:eastAsia="Times New Roman" w:hAnsi="Times New Roman" w:cs="Times New Roman"/>
          <w:sz w:val="24"/>
          <w:szCs w:val="24"/>
        </w:rPr>
        <w:t>robab</w:t>
      </w:r>
      <w:r w:rsidR="00B72134">
        <w:rPr>
          <w:rFonts w:ascii="Times New Roman" w:eastAsia="Times New Roman" w:hAnsi="Times New Roman" w:cs="Times New Roman"/>
          <w:sz w:val="24"/>
          <w:szCs w:val="24"/>
        </w:rPr>
        <w:t>le recovery</w:t>
      </w:r>
      <w:r w:rsidR="009149C7">
        <w:rPr>
          <w:rFonts w:ascii="Times New Roman" w:eastAsia="Times New Roman" w:hAnsi="Times New Roman" w:cs="Times New Roman"/>
          <w:sz w:val="24"/>
          <w:szCs w:val="24"/>
        </w:rPr>
        <w:t xml:space="preserve"> </w:t>
      </w:r>
      <w:r w:rsidR="00D076CF" w:rsidRPr="00801C27">
        <w:rPr>
          <w:rFonts w:ascii="Times New Roman" w:eastAsia="Times New Roman" w:hAnsi="Times New Roman" w:cs="Times New Roman"/>
          <w:sz w:val="24"/>
          <w:szCs w:val="24"/>
        </w:rPr>
        <w:t>of those completing treatment were calculated for each group.</w:t>
      </w:r>
    </w:p>
    <w:p w14:paraId="20015B3E" w14:textId="5C621CF3" w:rsidR="009A3004" w:rsidRPr="00801C27" w:rsidRDefault="009A3004" w:rsidP="009A3004">
      <w:pPr>
        <w:spacing w:before="240" w:after="200" w:line="276" w:lineRule="auto"/>
        <w:rPr>
          <w:rFonts w:ascii="Times New Roman" w:eastAsia="Times New Roman" w:hAnsi="Times New Roman" w:cs="Times New Roman"/>
          <w:sz w:val="24"/>
          <w:szCs w:val="24"/>
        </w:rPr>
      </w:pPr>
      <w:r w:rsidRPr="00343AA6">
        <w:rPr>
          <w:rFonts w:ascii="Times New Roman" w:eastAsia="Times New Roman" w:hAnsi="Times New Roman" w:cs="Times New Roman"/>
          <w:b/>
          <w:sz w:val="24"/>
          <w:szCs w:val="24"/>
        </w:rPr>
        <w:t>Results:</w:t>
      </w:r>
      <w:r w:rsidR="0099393D">
        <w:rPr>
          <w:rFonts w:ascii="Times New Roman" w:eastAsia="Times New Roman" w:hAnsi="Times New Roman" w:cs="Times New Roman"/>
          <w:sz w:val="24"/>
          <w:szCs w:val="24"/>
        </w:rPr>
        <w:t xml:space="preserve"> E</w:t>
      </w:r>
      <w:r w:rsidRPr="00343AA6">
        <w:rPr>
          <w:rFonts w:ascii="Times New Roman" w:eastAsia="Times New Roman" w:hAnsi="Times New Roman" w:cs="Times New Roman"/>
          <w:sz w:val="24"/>
          <w:szCs w:val="24"/>
        </w:rPr>
        <w:t>stimated prevalence of CMHPs peaks in 45–49 year olds (20.5</w:t>
      </w:r>
      <w:r w:rsidR="00EE4840">
        <w:rPr>
          <w:rFonts w:ascii="Times New Roman" w:eastAsia="Times New Roman" w:hAnsi="Times New Roman" w:cs="Times New Roman"/>
          <w:sz w:val="24"/>
          <w:szCs w:val="24"/>
        </w:rPr>
        <w:t>9</w:t>
      </w:r>
      <w:r w:rsidRPr="00343AA6">
        <w:rPr>
          <w:rFonts w:ascii="Times New Roman" w:eastAsia="Times New Roman" w:hAnsi="Times New Roman" w:cs="Times New Roman"/>
          <w:sz w:val="24"/>
          <w:szCs w:val="24"/>
        </w:rPr>
        <w:t>% of population). The proportions of patients identified with CMHPs being referred peaks at 2</w:t>
      </w:r>
      <w:r w:rsidR="00EE4840">
        <w:rPr>
          <w:rFonts w:ascii="Times New Roman" w:eastAsia="Times New Roman" w:hAnsi="Times New Roman" w:cs="Times New Roman"/>
          <w:sz w:val="24"/>
          <w:szCs w:val="24"/>
        </w:rPr>
        <w:t>0</w:t>
      </w:r>
      <w:r w:rsidRPr="00343AA6">
        <w:rPr>
          <w:rFonts w:ascii="Times New Roman" w:eastAsia="Times New Roman" w:hAnsi="Times New Roman" w:cs="Times New Roman"/>
          <w:sz w:val="24"/>
          <w:szCs w:val="24"/>
        </w:rPr>
        <w:t>-2</w:t>
      </w:r>
      <w:r w:rsidR="00EE4840">
        <w:rPr>
          <w:rFonts w:ascii="Times New Roman" w:eastAsia="Times New Roman" w:hAnsi="Times New Roman" w:cs="Times New Roman"/>
          <w:sz w:val="24"/>
          <w:szCs w:val="24"/>
        </w:rPr>
        <w:t>4 years (22</w:t>
      </w:r>
      <w:r w:rsidRPr="00343AA6">
        <w:rPr>
          <w:rFonts w:ascii="Times New Roman" w:eastAsia="Times New Roman" w:hAnsi="Times New Roman" w:cs="Times New Roman"/>
          <w:sz w:val="24"/>
          <w:szCs w:val="24"/>
        </w:rPr>
        <w:t>.</w:t>
      </w:r>
      <w:r w:rsidR="00EE4840">
        <w:rPr>
          <w:rFonts w:ascii="Times New Roman" w:eastAsia="Times New Roman" w:hAnsi="Times New Roman" w:cs="Times New Roman"/>
          <w:sz w:val="24"/>
          <w:szCs w:val="24"/>
        </w:rPr>
        <w:t>95</w:t>
      </w:r>
      <w:r w:rsidR="00616FB1">
        <w:rPr>
          <w:rFonts w:ascii="Times New Roman" w:eastAsia="Times New Roman" w:hAnsi="Times New Roman" w:cs="Times New Roman"/>
          <w:sz w:val="24"/>
          <w:szCs w:val="24"/>
        </w:rPr>
        <w:t>%</w:t>
      </w:r>
      <w:r w:rsidRPr="00343AA6">
        <w:rPr>
          <w:rFonts w:ascii="Times New Roman" w:eastAsia="Times New Roman" w:hAnsi="Times New Roman" w:cs="Times New Roman"/>
          <w:sz w:val="24"/>
          <w:szCs w:val="24"/>
        </w:rPr>
        <w:t>) and reduces with increase in age thereafter to 6.</w:t>
      </w:r>
      <w:r w:rsidR="00EE4840">
        <w:rPr>
          <w:rFonts w:ascii="Times New Roman" w:eastAsia="Times New Roman" w:hAnsi="Times New Roman" w:cs="Times New Roman"/>
          <w:sz w:val="24"/>
          <w:szCs w:val="24"/>
        </w:rPr>
        <w:t>0</w:t>
      </w:r>
      <w:r w:rsidRPr="00343AA6">
        <w:rPr>
          <w:rFonts w:ascii="Times New Roman" w:eastAsia="Times New Roman" w:hAnsi="Times New Roman" w:cs="Times New Roman"/>
          <w:sz w:val="24"/>
          <w:szCs w:val="24"/>
        </w:rPr>
        <w:t xml:space="preserve">0% for 70-74 year olds. Once referred, the proportion of those attending </w:t>
      </w:r>
      <w:r w:rsidR="00343AA6" w:rsidRPr="00343AA6">
        <w:rPr>
          <w:rFonts w:ascii="Times New Roman" w:eastAsia="Times New Roman" w:hAnsi="Times New Roman" w:cs="Times New Roman"/>
          <w:sz w:val="24"/>
          <w:szCs w:val="24"/>
        </w:rPr>
        <w:t xml:space="preserve">first </w:t>
      </w:r>
      <w:r w:rsidRPr="00343AA6">
        <w:rPr>
          <w:rFonts w:ascii="Times New Roman" w:eastAsia="Times New Roman" w:hAnsi="Times New Roman" w:cs="Times New Roman"/>
          <w:sz w:val="24"/>
          <w:szCs w:val="24"/>
        </w:rPr>
        <w:t>treatment</w:t>
      </w:r>
      <w:r w:rsidR="00343AA6" w:rsidRPr="00343AA6">
        <w:rPr>
          <w:rFonts w:ascii="Times New Roman" w:eastAsia="Times New Roman" w:hAnsi="Times New Roman" w:cs="Times New Roman"/>
          <w:sz w:val="24"/>
          <w:szCs w:val="24"/>
        </w:rPr>
        <w:t xml:space="preserve"> </w:t>
      </w:r>
      <w:r w:rsidRPr="00343AA6">
        <w:rPr>
          <w:rFonts w:ascii="Times New Roman" w:eastAsia="Times New Roman" w:hAnsi="Times New Roman" w:cs="Times New Roman"/>
          <w:sz w:val="24"/>
          <w:szCs w:val="24"/>
        </w:rPr>
        <w:t>increas</w:t>
      </w:r>
      <w:r w:rsidR="00EE4840">
        <w:rPr>
          <w:rFonts w:ascii="Times New Roman" w:eastAsia="Times New Roman" w:hAnsi="Times New Roman" w:cs="Times New Roman"/>
          <w:sz w:val="24"/>
          <w:szCs w:val="24"/>
        </w:rPr>
        <w:t>es with age between 18 years (57.64%) and 64</w:t>
      </w:r>
      <w:r w:rsidRPr="00343AA6">
        <w:rPr>
          <w:rFonts w:ascii="Times New Roman" w:eastAsia="Times New Roman" w:hAnsi="Times New Roman" w:cs="Times New Roman"/>
          <w:sz w:val="24"/>
          <w:szCs w:val="24"/>
        </w:rPr>
        <w:t xml:space="preserve"> years (7</w:t>
      </w:r>
      <w:r w:rsidR="00EE4840">
        <w:rPr>
          <w:rFonts w:ascii="Times New Roman" w:eastAsia="Times New Roman" w:hAnsi="Times New Roman" w:cs="Times New Roman"/>
          <w:sz w:val="24"/>
          <w:szCs w:val="24"/>
        </w:rPr>
        <w:t>6.97</w:t>
      </w:r>
      <w:r w:rsidRPr="00343AA6">
        <w:rPr>
          <w:rFonts w:ascii="Times New Roman" w:eastAsia="Times New Roman" w:hAnsi="Times New Roman" w:cs="Times New Roman"/>
          <w:sz w:val="24"/>
          <w:szCs w:val="24"/>
        </w:rPr>
        <w:t>%). In addition, the percentage of those having a clinical improvement gradually incre</w:t>
      </w:r>
      <w:r w:rsidR="00EE4840">
        <w:rPr>
          <w:rFonts w:ascii="Times New Roman" w:eastAsia="Times New Roman" w:hAnsi="Times New Roman" w:cs="Times New Roman"/>
          <w:sz w:val="24"/>
          <w:szCs w:val="24"/>
        </w:rPr>
        <w:t>ases from the age 20 years (12.94%) to 69 years (20.74</w:t>
      </w:r>
      <w:r w:rsidRPr="00343AA6">
        <w:rPr>
          <w:rFonts w:ascii="Times New Roman" w:eastAsia="Times New Roman" w:hAnsi="Times New Roman" w:cs="Times New Roman"/>
          <w:sz w:val="24"/>
          <w:szCs w:val="24"/>
        </w:rPr>
        <w:t>%).</w:t>
      </w:r>
    </w:p>
    <w:p w14:paraId="6F162CB1" w14:textId="6DCEF2CF" w:rsidR="00084BE2" w:rsidRPr="00801C27" w:rsidRDefault="00D076CF" w:rsidP="00D56929">
      <w:pPr>
        <w:spacing w:after="200" w:line="276" w:lineRule="auto"/>
        <w:rPr>
          <w:rFonts w:ascii="Times New Roman" w:eastAsia="Times New Roman" w:hAnsi="Times New Roman" w:cs="Times New Roman"/>
          <w:sz w:val="24"/>
          <w:szCs w:val="24"/>
        </w:rPr>
      </w:pPr>
      <w:r w:rsidRPr="00801C27">
        <w:rPr>
          <w:rFonts w:ascii="Times New Roman" w:eastAsia="Times New Roman" w:hAnsi="Times New Roman" w:cs="Times New Roman"/>
          <w:b/>
          <w:sz w:val="24"/>
          <w:szCs w:val="24"/>
        </w:rPr>
        <w:t>Conclusion:</w:t>
      </w:r>
      <w:r w:rsidRPr="00801C27">
        <w:rPr>
          <w:rFonts w:ascii="Times New Roman" w:eastAsia="Times New Roman" w:hAnsi="Times New Roman" w:cs="Times New Roman"/>
          <w:sz w:val="24"/>
          <w:szCs w:val="24"/>
        </w:rPr>
        <w:t xml:space="preserve"> </w:t>
      </w:r>
      <w:r w:rsidR="001D02A7" w:rsidRPr="00801C27">
        <w:rPr>
          <w:rFonts w:ascii="Times New Roman" w:eastAsia="Times New Roman" w:hAnsi="Times New Roman" w:cs="Times New Roman"/>
          <w:sz w:val="24"/>
          <w:szCs w:val="24"/>
        </w:rPr>
        <w:t>Y</w:t>
      </w:r>
      <w:r w:rsidRPr="00801C27">
        <w:rPr>
          <w:rFonts w:ascii="Times New Roman" w:eastAsia="Times New Roman" w:hAnsi="Times New Roman" w:cs="Times New Roman"/>
          <w:sz w:val="24"/>
          <w:szCs w:val="24"/>
        </w:rPr>
        <w:t xml:space="preserve">ounger adults are </w:t>
      </w:r>
      <w:r w:rsidR="001D02A7" w:rsidRPr="00801C27">
        <w:rPr>
          <w:rFonts w:ascii="Times New Roman" w:eastAsia="Times New Roman" w:hAnsi="Times New Roman" w:cs="Times New Roman"/>
          <w:sz w:val="24"/>
          <w:szCs w:val="24"/>
        </w:rPr>
        <w:t xml:space="preserve">more readily </w:t>
      </w:r>
      <w:r w:rsidR="00D56929" w:rsidRPr="00801C27">
        <w:rPr>
          <w:rFonts w:ascii="Times New Roman" w:eastAsia="Times New Roman" w:hAnsi="Times New Roman" w:cs="Times New Roman"/>
          <w:sz w:val="24"/>
          <w:szCs w:val="24"/>
        </w:rPr>
        <w:t xml:space="preserve">referred </w:t>
      </w:r>
      <w:r w:rsidRPr="00801C27">
        <w:rPr>
          <w:rFonts w:ascii="Times New Roman" w:eastAsia="Times New Roman" w:hAnsi="Times New Roman" w:cs="Times New Roman"/>
          <w:sz w:val="24"/>
          <w:szCs w:val="24"/>
        </w:rPr>
        <w:t>to IAPT</w:t>
      </w:r>
      <w:r w:rsidR="00067F1C" w:rsidRPr="00801C27">
        <w:rPr>
          <w:rFonts w:ascii="Times New Roman" w:eastAsia="Times New Roman" w:hAnsi="Times New Roman" w:cs="Times New Roman"/>
          <w:sz w:val="24"/>
          <w:szCs w:val="24"/>
        </w:rPr>
        <w:t xml:space="preserve"> servic</w:t>
      </w:r>
      <w:r w:rsidR="001D02A7" w:rsidRPr="00801C27">
        <w:rPr>
          <w:rFonts w:ascii="Times New Roman" w:eastAsia="Times New Roman" w:hAnsi="Times New Roman" w:cs="Times New Roman"/>
          <w:sz w:val="24"/>
          <w:szCs w:val="24"/>
        </w:rPr>
        <w:t>es</w:t>
      </w:r>
      <w:r w:rsidR="00D56929" w:rsidRPr="00801C27">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w:t>
      </w:r>
      <w:r w:rsidR="00D56929" w:rsidRPr="00801C27">
        <w:rPr>
          <w:rFonts w:ascii="Times New Roman" w:eastAsia="Times New Roman" w:hAnsi="Times New Roman" w:cs="Times New Roman"/>
          <w:sz w:val="24"/>
          <w:szCs w:val="24"/>
        </w:rPr>
        <w:t>H</w:t>
      </w:r>
      <w:r w:rsidRPr="00801C27">
        <w:rPr>
          <w:rFonts w:ascii="Times New Roman" w:eastAsia="Times New Roman" w:hAnsi="Times New Roman" w:cs="Times New Roman"/>
          <w:sz w:val="24"/>
          <w:szCs w:val="24"/>
        </w:rPr>
        <w:t>owever</w:t>
      </w:r>
      <w:r w:rsidR="006758EB">
        <w:rPr>
          <w:rFonts w:ascii="Times New Roman" w:eastAsia="Times New Roman" w:hAnsi="Times New Roman" w:cs="Times New Roman"/>
          <w:sz w:val="24"/>
          <w:szCs w:val="24"/>
        </w:rPr>
        <w:t>,</w:t>
      </w:r>
      <w:r w:rsidR="001D02A7" w:rsidRPr="00801C27">
        <w:rPr>
          <w:rFonts w:ascii="Times New Roman" w:eastAsia="Times New Roman" w:hAnsi="Times New Roman" w:cs="Times New Roman"/>
          <w:sz w:val="24"/>
          <w:szCs w:val="24"/>
        </w:rPr>
        <w:t xml:space="preserve"> as a proportion of those referred</w:t>
      </w:r>
      <w:r w:rsidR="006758EB">
        <w:rPr>
          <w:rFonts w:ascii="Times New Roman" w:eastAsia="Times New Roman" w:hAnsi="Times New Roman" w:cs="Times New Roman"/>
          <w:sz w:val="24"/>
          <w:szCs w:val="24"/>
        </w:rPr>
        <w:t>,</w:t>
      </w:r>
      <w:r w:rsidR="001D02A7" w:rsidRPr="00801C27">
        <w:rPr>
          <w:rFonts w:ascii="Times New Roman" w:eastAsia="Times New Roman" w:hAnsi="Times New Roman" w:cs="Times New Roman"/>
          <w:sz w:val="24"/>
          <w:szCs w:val="24"/>
        </w:rPr>
        <w:t xml:space="preserve"> </w:t>
      </w:r>
      <w:r w:rsidR="00D56929" w:rsidRPr="00801C27">
        <w:rPr>
          <w:rFonts w:ascii="Times New Roman" w:eastAsia="Times New Roman" w:hAnsi="Times New Roman" w:cs="Times New Roman"/>
          <w:sz w:val="24"/>
          <w:szCs w:val="24"/>
        </w:rPr>
        <w:t xml:space="preserve">probabilities </w:t>
      </w:r>
      <w:r w:rsidRPr="00801C27">
        <w:rPr>
          <w:rFonts w:ascii="Times New Roman" w:eastAsia="Times New Roman" w:hAnsi="Times New Roman" w:cs="Times New Roman"/>
          <w:sz w:val="24"/>
          <w:szCs w:val="24"/>
        </w:rPr>
        <w:t xml:space="preserve">of </w:t>
      </w:r>
      <w:r w:rsidR="00D56929" w:rsidRPr="00801C27">
        <w:rPr>
          <w:rFonts w:ascii="Times New Roman" w:eastAsia="Times New Roman" w:hAnsi="Times New Roman" w:cs="Times New Roman"/>
          <w:sz w:val="24"/>
          <w:szCs w:val="24"/>
        </w:rPr>
        <w:t>attending once</w:t>
      </w:r>
      <w:r w:rsidR="003A588C" w:rsidRPr="00801C27">
        <w:rPr>
          <w:rFonts w:ascii="Times New Roman" w:eastAsia="Times New Roman" w:hAnsi="Times New Roman" w:cs="Times New Roman"/>
          <w:sz w:val="24"/>
          <w:szCs w:val="24"/>
        </w:rPr>
        <w:t>, atten</w:t>
      </w:r>
      <w:r w:rsidR="00D56929" w:rsidRPr="00801C27">
        <w:rPr>
          <w:rFonts w:ascii="Times New Roman" w:eastAsia="Times New Roman" w:hAnsi="Times New Roman" w:cs="Times New Roman"/>
          <w:sz w:val="24"/>
          <w:szCs w:val="24"/>
        </w:rPr>
        <w:t>ding more than once</w:t>
      </w:r>
      <w:r w:rsidR="006758EB">
        <w:rPr>
          <w:rFonts w:ascii="Times New Roman" w:eastAsia="Times New Roman" w:hAnsi="Times New Roman" w:cs="Times New Roman"/>
          <w:sz w:val="24"/>
          <w:szCs w:val="24"/>
        </w:rPr>
        <w:t>,</w:t>
      </w:r>
      <w:r w:rsidR="00D56929" w:rsidRPr="00801C27">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and clinical improvement</w:t>
      </w:r>
      <w:r w:rsidR="006758EB">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w:t>
      </w:r>
      <w:r w:rsidR="001D02A7" w:rsidRPr="00801C27">
        <w:rPr>
          <w:rFonts w:ascii="Times New Roman" w:eastAsia="Times New Roman" w:hAnsi="Times New Roman" w:cs="Times New Roman"/>
          <w:sz w:val="24"/>
          <w:szCs w:val="24"/>
        </w:rPr>
        <w:t>increase with age</w:t>
      </w:r>
      <w:r w:rsidRPr="00801C27">
        <w:rPr>
          <w:rFonts w:ascii="Times New Roman" w:eastAsia="Times New Roman" w:hAnsi="Times New Roman" w:cs="Times New Roman"/>
          <w:sz w:val="24"/>
          <w:szCs w:val="24"/>
        </w:rPr>
        <w:t xml:space="preserve">. </w:t>
      </w:r>
      <w:r w:rsidR="00067F1C" w:rsidRPr="00801C27">
        <w:rPr>
          <w:rFonts w:ascii="Times New Roman" w:eastAsia="Times New Roman" w:hAnsi="Times New Roman" w:cs="Times New Roman"/>
          <w:sz w:val="24"/>
          <w:szCs w:val="24"/>
        </w:rPr>
        <w:t xml:space="preserve">It is uncertain whether optimum levels of referral have been reached for young adults. </w:t>
      </w:r>
      <w:r w:rsidRPr="00801C27">
        <w:rPr>
          <w:rFonts w:ascii="Times New Roman" w:eastAsia="Times New Roman" w:hAnsi="Times New Roman" w:cs="Times New Roman"/>
          <w:sz w:val="24"/>
          <w:szCs w:val="24"/>
        </w:rPr>
        <w:t xml:space="preserve">It </w:t>
      </w:r>
      <w:r w:rsidR="001D02A7" w:rsidRPr="00801C27">
        <w:rPr>
          <w:rFonts w:ascii="Times New Roman" w:eastAsia="Times New Roman" w:hAnsi="Times New Roman" w:cs="Times New Roman"/>
          <w:sz w:val="24"/>
          <w:szCs w:val="24"/>
        </w:rPr>
        <w:t>is</w:t>
      </w:r>
      <w:r w:rsidRPr="00801C27">
        <w:rPr>
          <w:rFonts w:ascii="Times New Roman" w:eastAsia="Times New Roman" w:hAnsi="Times New Roman" w:cs="Times New Roman"/>
          <w:sz w:val="24"/>
          <w:szCs w:val="24"/>
        </w:rPr>
        <w:t xml:space="preserve"> important to establish whether changes to service configuration</w:t>
      </w:r>
      <w:r w:rsidR="000F1E48">
        <w:rPr>
          <w:rFonts w:ascii="Times New Roman" w:eastAsia="Times New Roman" w:hAnsi="Times New Roman" w:cs="Times New Roman"/>
          <w:sz w:val="24"/>
          <w:szCs w:val="24"/>
        </w:rPr>
        <w:t>, treatment options</w:t>
      </w:r>
      <w:r w:rsidR="006758EB">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and GP behaviour can </w:t>
      </w:r>
      <w:r w:rsidR="00067F1C" w:rsidRPr="00801C27">
        <w:rPr>
          <w:rFonts w:ascii="Times New Roman" w:eastAsia="Times New Roman" w:hAnsi="Times New Roman" w:cs="Times New Roman"/>
          <w:sz w:val="24"/>
          <w:szCs w:val="24"/>
        </w:rPr>
        <w:t>increase referrals for middle</w:t>
      </w:r>
      <w:r w:rsidR="00D56929" w:rsidRPr="00801C27">
        <w:rPr>
          <w:rFonts w:ascii="Times New Roman" w:eastAsia="Times New Roman" w:hAnsi="Times New Roman" w:cs="Times New Roman"/>
          <w:sz w:val="24"/>
          <w:szCs w:val="24"/>
        </w:rPr>
        <w:t>-</w:t>
      </w:r>
      <w:r w:rsidR="00067F1C" w:rsidRPr="00801C27">
        <w:rPr>
          <w:rFonts w:ascii="Times New Roman" w:eastAsia="Times New Roman" w:hAnsi="Times New Roman" w:cs="Times New Roman"/>
          <w:sz w:val="24"/>
          <w:szCs w:val="24"/>
        </w:rPr>
        <w:t>aged and older adults</w:t>
      </w:r>
      <w:r w:rsidRPr="00801C27">
        <w:rPr>
          <w:rFonts w:ascii="Times New Roman" w:eastAsia="Times New Roman" w:hAnsi="Times New Roman" w:cs="Times New Roman"/>
          <w:sz w:val="24"/>
          <w:szCs w:val="24"/>
        </w:rPr>
        <w:t>.</w:t>
      </w:r>
    </w:p>
    <w:p w14:paraId="54A030EA" w14:textId="77777777" w:rsidR="009605C5" w:rsidRDefault="009605C5" w:rsidP="009605C5">
      <w:pPr>
        <w:spacing w:after="0" w:line="276" w:lineRule="auto"/>
        <w:rPr>
          <w:rFonts w:ascii="Times New Roman" w:eastAsia="Times New Roman" w:hAnsi="Times New Roman" w:cs="Times New Roman"/>
          <w:b/>
          <w:sz w:val="24"/>
          <w:szCs w:val="24"/>
        </w:rPr>
      </w:pPr>
    </w:p>
    <w:p w14:paraId="40BD73F8" w14:textId="4EED8D84" w:rsidR="00084BE2" w:rsidRPr="00801C27" w:rsidRDefault="00D076CF" w:rsidP="009605C5">
      <w:pPr>
        <w:spacing w:after="0" w:line="276" w:lineRule="auto"/>
        <w:ind w:left="1440" w:hanging="1440"/>
        <w:rPr>
          <w:rFonts w:ascii="Times New Roman" w:eastAsia="Times New Roman" w:hAnsi="Times New Roman" w:cs="Times New Roman"/>
          <w:sz w:val="24"/>
          <w:szCs w:val="24"/>
        </w:rPr>
      </w:pPr>
      <w:r w:rsidRPr="00801C27">
        <w:rPr>
          <w:rFonts w:ascii="Times New Roman" w:eastAsia="Times New Roman" w:hAnsi="Times New Roman" w:cs="Times New Roman"/>
          <w:b/>
          <w:sz w:val="24"/>
          <w:szCs w:val="24"/>
        </w:rPr>
        <w:t>Keywords:</w:t>
      </w:r>
      <w:r w:rsidRPr="00801C27">
        <w:rPr>
          <w:rFonts w:ascii="Times New Roman" w:eastAsia="Times New Roman" w:hAnsi="Times New Roman" w:cs="Times New Roman"/>
          <w:sz w:val="24"/>
          <w:szCs w:val="24"/>
        </w:rPr>
        <w:t xml:space="preserve"> </w:t>
      </w:r>
      <w:r w:rsidR="009605C5">
        <w:rPr>
          <w:rFonts w:ascii="Times New Roman" w:eastAsia="Times New Roman" w:hAnsi="Times New Roman" w:cs="Times New Roman"/>
          <w:sz w:val="24"/>
          <w:szCs w:val="24"/>
        </w:rPr>
        <w:tab/>
      </w:r>
      <w:r w:rsidRPr="009605C5">
        <w:rPr>
          <w:rFonts w:ascii="Times New Roman" w:eastAsia="Times New Roman" w:hAnsi="Times New Roman" w:cs="Times New Roman"/>
          <w:sz w:val="24"/>
          <w:szCs w:val="24"/>
        </w:rPr>
        <w:t>IAPT, Age</w:t>
      </w:r>
      <w:r w:rsidR="009605C5" w:rsidRPr="009605C5">
        <w:rPr>
          <w:rFonts w:ascii="Times New Roman" w:eastAsia="Times New Roman" w:hAnsi="Times New Roman" w:cs="Times New Roman"/>
          <w:sz w:val="24"/>
          <w:szCs w:val="24"/>
        </w:rPr>
        <w:t xml:space="preserve"> Factors;</w:t>
      </w:r>
      <w:r w:rsidRPr="009605C5">
        <w:rPr>
          <w:rFonts w:ascii="Times New Roman" w:eastAsia="Times New Roman" w:hAnsi="Times New Roman" w:cs="Times New Roman"/>
          <w:sz w:val="24"/>
          <w:szCs w:val="24"/>
        </w:rPr>
        <w:t xml:space="preserve"> Mental Health</w:t>
      </w:r>
      <w:r w:rsidR="009605C5" w:rsidRPr="009605C5">
        <w:rPr>
          <w:rFonts w:ascii="Times New Roman" w:eastAsia="Times New Roman" w:hAnsi="Times New Roman" w:cs="Times New Roman"/>
          <w:sz w:val="24"/>
          <w:szCs w:val="24"/>
        </w:rPr>
        <w:t xml:space="preserve">; </w:t>
      </w:r>
      <w:r w:rsidR="00D33E4B" w:rsidRPr="009605C5">
        <w:rPr>
          <w:rFonts w:ascii="Times New Roman" w:eastAsia="Times New Roman" w:hAnsi="Times New Roman" w:cs="Times New Roman"/>
          <w:sz w:val="24"/>
          <w:szCs w:val="24"/>
        </w:rPr>
        <w:t>R</w:t>
      </w:r>
      <w:r w:rsidR="00067F1C" w:rsidRPr="009605C5">
        <w:rPr>
          <w:rFonts w:ascii="Times New Roman" w:eastAsia="Times New Roman" w:hAnsi="Times New Roman" w:cs="Times New Roman"/>
          <w:sz w:val="24"/>
          <w:szCs w:val="24"/>
        </w:rPr>
        <w:t>eferral</w:t>
      </w:r>
      <w:r w:rsidR="009605C5" w:rsidRPr="009605C5">
        <w:rPr>
          <w:rFonts w:ascii="Times New Roman" w:eastAsia="Times New Roman" w:hAnsi="Times New Roman" w:cs="Times New Roman"/>
          <w:sz w:val="24"/>
          <w:szCs w:val="24"/>
        </w:rPr>
        <w:t>;</w:t>
      </w:r>
      <w:r w:rsidR="00067F1C" w:rsidRPr="009605C5">
        <w:rPr>
          <w:rFonts w:ascii="Times New Roman" w:eastAsia="Times New Roman" w:hAnsi="Times New Roman" w:cs="Times New Roman"/>
          <w:sz w:val="24"/>
          <w:szCs w:val="24"/>
        </w:rPr>
        <w:t xml:space="preserve"> </w:t>
      </w:r>
      <w:r w:rsidR="00D33E4B" w:rsidRPr="009605C5">
        <w:rPr>
          <w:rFonts w:ascii="Times New Roman" w:eastAsia="Times New Roman" w:hAnsi="Times New Roman" w:cs="Times New Roman"/>
          <w:sz w:val="24"/>
          <w:szCs w:val="24"/>
        </w:rPr>
        <w:t>P</w:t>
      </w:r>
      <w:r w:rsidR="00067F1C" w:rsidRPr="009605C5">
        <w:rPr>
          <w:rFonts w:ascii="Times New Roman" w:eastAsia="Times New Roman" w:hAnsi="Times New Roman" w:cs="Times New Roman"/>
          <w:sz w:val="24"/>
          <w:szCs w:val="24"/>
        </w:rPr>
        <w:t xml:space="preserve">sychological </w:t>
      </w:r>
      <w:r w:rsidR="00D33E4B" w:rsidRPr="009605C5">
        <w:rPr>
          <w:rFonts w:ascii="Times New Roman" w:eastAsia="Times New Roman" w:hAnsi="Times New Roman" w:cs="Times New Roman"/>
          <w:sz w:val="24"/>
          <w:szCs w:val="24"/>
        </w:rPr>
        <w:t>T</w:t>
      </w:r>
      <w:r w:rsidR="00067F1C" w:rsidRPr="009605C5">
        <w:rPr>
          <w:rFonts w:ascii="Times New Roman" w:eastAsia="Times New Roman" w:hAnsi="Times New Roman" w:cs="Times New Roman"/>
          <w:sz w:val="24"/>
          <w:szCs w:val="24"/>
        </w:rPr>
        <w:t>herapy</w:t>
      </w:r>
    </w:p>
    <w:p w14:paraId="3F16B9B3" w14:textId="77777777" w:rsidR="00084BE2" w:rsidRDefault="00084BE2">
      <w:pPr>
        <w:spacing w:after="0" w:line="276" w:lineRule="auto"/>
        <w:rPr>
          <w:rFonts w:ascii="Verdana" w:eastAsia="Verdana" w:hAnsi="Verdana" w:cs="Verdana"/>
          <w:color w:val="C00000"/>
          <w:sz w:val="24"/>
          <w:szCs w:val="24"/>
        </w:rPr>
      </w:pPr>
    </w:p>
    <w:p w14:paraId="7DA021D9" w14:textId="77777777" w:rsidR="009605C5" w:rsidRDefault="009605C5">
      <w:pPr>
        <w:spacing w:after="0" w:line="276" w:lineRule="auto"/>
        <w:rPr>
          <w:rFonts w:ascii="Verdana" w:eastAsia="Verdana" w:hAnsi="Verdana" w:cs="Verdana"/>
          <w:color w:val="C00000"/>
          <w:sz w:val="24"/>
          <w:szCs w:val="24"/>
        </w:rPr>
      </w:pPr>
    </w:p>
    <w:p w14:paraId="033F8842" w14:textId="77777777" w:rsidR="009605C5" w:rsidRDefault="009605C5">
      <w:pPr>
        <w:spacing w:after="0" w:line="276" w:lineRule="auto"/>
        <w:rPr>
          <w:rFonts w:ascii="Verdana" w:eastAsia="Verdana" w:hAnsi="Verdana" w:cs="Verdana"/>
          <w:color w:val="C00000"/>
          <w:sz w:val="24"/>
          <w:szCs w:val="24"/>
        </w:rPr>
      </w:pPr>
    </w:p>
    <w:p w14:paraId="77A01617" w14:textId="77777777" w:rsidR="002751F5" w:rsidRDefault="002751F5">
      <w:pPr>
        <w:spacing w:after="0" w:line="276" w:lineRule="auto"/>
        <w:rPr>
          <w:rFonts w:ascii="Verdana" w:eastAsia="Verdana" w:hAnsi="Verdana" w:cs="Verdana"/>
          <w:color w:val="C00000"/>
          <w:sz w:val="24"/>
          <w:szCs w:val="24"/>
        </w:rPr>
      </w:pPr>
    </w:p>
    <w:p w14:paraId="537C779A" w14:textId="77777777" w:rsidR="002751F5" w:rsidRDefault="002751F5">
      <w:pPr>
        <w:spacing w:after="0" w:line="276" w:lineRule="auto"/>
        <w:rPr>
          <w:rFonts w:ascii="Verdana" w:eastAsia="Verdana" w:hAnsi="Verdana" w:cs="Verdana"/>
          <w:color w:val="C00000"/>
          <w:sz w:val="24"/>
          <w:szCs w:val="24"/>
        </w:rPr>
      </w:pPr>
    </w:p>
    <w:p w14:paraId="6905238A" w14:textId="77777777" w:rsidR="002751F5" w:rsidRDefault="002751F5">
      <w:pPr>
        <w:spacing w:after="0" w:line="276" w:lineRule="auto"/>
        <w:rPr>
          <w:rFonts w:ascii="Verdana" w:eastAsia="Verdana" w:hAnsi="Verdana" w:cs="Verdana"/>
          <w:color w:val="C00000"/>
          <w:sz w:val="24"/>
          <w:szCs w:val="24"/>
        </w:rPr>
      </w:pPr>
    </w:p>
    <w:p w14:paraId="053141C0" w14:textId="77777777" w:rsidR="002751F5" w:rsidRDefault="002751F5">
      <w:pPr>
        <w:spacing w:after="0" w:line="276" w:lineRule="auto"/>
        <w:rPr>
          <w:rFonts w:ascii="Verdana" w:eastAsia="Verdana" w:hAnsi="Verdana" w:cs="Verdana"/>
          <w:color w:val="C00000"/>
          <w:sz w:val="24"/>
          <w:szCs w:val="24"/>
        </w:rPr>
      </w:pPr>
    </w:p>
    <w:p w14:paraId="4DB40358" w14:textId="77777777" w:rsidR="002751F5" w:rsidRDefault="002751F5">
      <w:pPr>
        <w:spacing w:after="0" w:line="276" w:lineRule="auto"/>
        <w:rPr>
          <w:rFonts w:ascii="Verdana" w:eastAsia="Verdana" w:hAnsi="Verdana" w:cs="Verdana"/>
          <w:color w:val="C00000"/>
          <w:sz w:val="24"/>
          <w:szCs w:val="24"/>
        </w:rPr>
      </w:pPr>
    </w:p>
    <w:p w14:paraId="0DF12156" w14:textId="77777777" w:rsidR="002751F5" w:rsidRDefault="002751F5">
      <w:pPr>
        <w:spacing w:after="0" w:line="276" w:lineRule="auto"/>
        <w:rPr>
          <w:rFonts w:ascii="Verdana" w:eastAsia="Verdana" w:hAnsi="Verdana" w:cs="Verdana"/>
          <w:color w:val="C00000"/>
          <w:sz w:val="24"/>
          <w:szCs w:val="24"/>
        </w:rPr>
      </w:pPr>
    </w:p>
    <w:p w14:paraId="769895F6" w14:textId="77777777" w:rsidR="002751F5" w:rsidRDefault="002751F5">
      <w:pPr>
        <w:spacing w:after="0" w:line="276" w:lineRule="auto"/>
        <w:rPr>
          <w:rFonts w:ascii="Verdana" w:eastAsia="Verdana" w:hAnsi="Verdana" w:cs="Verdana"/>
          <w:color w:val="C00000"/>
          <w:sz w:val="24"/>
          <w:szCs w:val="24"/>
        </w:rPr>
      </w:pPr>
    </w:p>
    <w:p w14:paraId="56BE07A2" w14:textId="77777777" w:rsidR="002751F5" w:rsidRDefault="002751F5">
      <w:pPr>
        <w:spacing w:after="0" w:line="276" w:lineRule="auto"/>
        <w:rPr>
          <w:rFonts w:ascii="Verdana" w:eastAsia="Verdana" w:hAnsi="Verdana" w:cs="Verdana"/>
          <w:color w:val="C00000"/>
          <w:sz w:val="24"/>
          <w:szCs w:val="24"/>
        </w:rPr>
      </w:pPr>
    </w:p>
    <w:p w14:paraId="5337C910" w14:textId="77777777" w:rsidR="002751F5" w:rsidRDefault="002751F5">
      <w:pPr>
        <w:spacing w:after="0" w:line="276" w:lineRule="auto"/>
        <w:rPr>
          <w:rFonts w:ascii="Verdana" w:eastAsia="Verdana" w:hAnsi="Verdana" w:cs="Verdana"/>
          <w:color w:val="C00000"/>
          <w:sz w:val="24"/>
          <w:szCs w:val="24"/>
        </w:rPr>
      </w:pPr>
    </w:p>
    <w:p w14:paraId="09104C99" w14:textId="77777777" w:rsidR="002751F5" w:rsidRDefault="002751F5" w:rsidP="009605C5">
      <w:pPr>
        <w:pStyle w:val="NormalWeb"/>
        <w:rPr>
          <w:rStyle w:val="Strong"/>
          <w:rFonts w:ascii="Arial" w:hAnsi="Arial"/>
          <w:sz w:val="22"/>
          <w:szCs w:val="22"/>
        </w:rPr>
      </w:pPr>
    </w:p>
    <w:p w14:paraId="7C7CDF5A" w14:textId="77777777" w:rsidR="004177FA" w:rsidRDefault="004177FA" w:rsidP="009605C5">
      <w:pPr>
        <w:pStyle w:val="NormalWeb"/>
        <w:rPr>
          <w:rStyle w:val="Strong"/>
          <w:rFonts w:ascii="Arial" w:hAnsi="Arial"/>
          <w:sz w:val="22"/>
          <w:szCs w:val="22"/>
        </w:rPr>
      </w:pPr>
    </w:p>
    <w:p w14:paraId="1674A5F4" w14:textId="5BA1623F" w:rsidR="002D6104" w:rsidRPr="00801C27" w:rsidRDefault="000B5C54" w:rsidP="002D610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140F3BCA" w14:textId="77777777" w:rsidR="002D6104" w:rsidRPr="00801C27" w:rsidRDefault="002D6104" w:rsidP="002D6104">
      <w:pPr>
        <w:spacing w:after="0" w:line="360" w:lineRule="auto"/>
        <w:jc w:val="both"/>
        <w:rPr>
          <w:rFonts w:ascii="Times New Roman" w:eastAsia="Times New Roman" w:hAnsi="Times New Roman" w:cs="Times New Roman"/>
          <w:b/>
          <w:sz w:val="24"/>
          <w:szCs w:val="24"/>
        </w:rPr>
      </w:pPr>
    </w:p>
    <w:p w14:paraId="27756610" w14:textId="7273DFBA" w:rsidR="002D6104" w:rsidRPr="001D55A1" w:rsidRDefault="002D6104" w:rsidP="002D6104">
      <w:pPr>
        <w:spacing w:after="0" w:line="360" w:lineRule="auto"/>
        <w:jc w:val="both"/>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In 2009, the Royal College of Psychiatrists suggested the UK currently provides more mental health services for those younger than 65 years of age than older people</w:t>
      </w:r>
      <w:r w:rsidR="00811526">
        <w:rPr>
          <w:rFonts w:ascii="Times New Roman" w:eastAsia="Times New Roman" w:hAnsi="Times New Roman" w:cs="Times New Roman"/>
          <w:sz w:val="24"/>
          <w:szCs w:val="24"/>
        </w:rPr>
        <w:t>[1]</w:t>
      </w:r>
      <w:r w:rsidRPr="00801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801C27">
        <w:rPr>
          <w:rFonts w:ascii="Times New Roman" w:eastAsia="Times New Roman" w:hAnsi="Times New Roman" w:cs="Times New Roman"/>
          <w:sz w:val="24"/>
          <w:szCs w:val="24"/>
        </w:rPr>
        <w:t xml:space="preserve">arriers to mental health treatment </w:t>
      </w:r>
      <w:r>
        <w:rPr>
          <w:rFonts w:ascii="Times New Roman" w:eastAsia="Times New Roman" w:hAnsi="Times New Roman" w:cs="Times New Roman"/>
          <w:sz w:val="24"/>
          <w:szCs w:val="24"/>
        </w:rPr>
        <w:t xml:space="preserve">are known to </w:t>
      </w:r>
      <w:r w:rsidRPr="00801C27">
        <w:rPr>
          <w:rFonts w:ascii="Times New Roman" w:eastAsia="Times New Roman" w:hAnsi="Times New Roman" w:cs="Times New Roman"/>
          <w:sz w:val="24"/>
          <w:szCs w:val="24"/>
        </w:rPr>
        <w:t>differ by age</w:t>
      </w:r>
      <w:r w:rsidR="0081152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c</w:t>
      </w:r>
      <w:r w:rsidRPr="00801C27">
        <w:rPr>
          <w:rFonts w:ascii="Times New Roman" w:eastAsia="Times New Roman" w:hAnsi="Times New Roman" w:cs="Times New Roman"/>
          <w:sz w:val="24"/>
          <w:szCs w:val="24"/>
        </w:rPr>
        <w:t xml:space="preserve">oncerns that discrimination </w:t>
      </w:r>
      <w:r>
        <w:rPr>
          <w:rFonts w:ascii="Times New Roman" w:eastAsia="Times New Roman" w:hAnsi="Times New Roman" w:cs="Times New Roman"/>
          <w:sz w:val="24"/>
          <w:szCs w:val="24"/>
        </w:rPr>
        <w:t xml:space="preserve">against </w:t>
      </w:r>
      <w:r w:rsidRPr="00801C27">
        <w:rPr>
          <w:rFonts w:ascii="Times New Roman" w:eastAsia="Times New Roman" w:hAnsi="Times New Roman" w:cs="Times New Roman"/>
          <w:sz w:val="24"/>
          <w:szCs w:val="24"/>
        </w:rPr>
        <w:t xml:space="preserve">older adults </w:t>
      </w:r>
      <w:r>
        <w:rPr>
          <w:rFonts w:ascii="Times New Roman" w:eastAsia="Times New Roman" w:hAnsi="Times New Roman" w:cs="Times New Roman"/>
          <w:sz w:val="24"/>
          <w:szCs w:val="24"/>
        </w:rPr>
        <w:t xml:space="preserve">may cause </w:t>
      </w:r>
      <w:r w:rsidRPr="00801C27">
        <w:rPr>
          <w:rFonts w:ascii="Times New Roman" w:eastAsia="Times New Roman" w:hAnsi="Times New Roman" w:cs="Times New Roman"/>
          <w:sz w:val="24"/>
          <w:szCs w:val="24"/>
        </w:rPr>
        <w:t xml:space="preserve">reduced access to mental health treatments including talking </w:t>
      </w:r>
      <w:r w:rsidR="00811526">
        <w:rPr>
          <w:rFonts w:ascii="Times New Roman" w:eastAsia="Times New Roman" w:hAnsi="Times New Roman" w:cs="Times New Roman"/>
          <w:sz w:val="24"/>
          <w:szCs w:val="24"/>
        </w:rPr>
        <w:t>therapies are expressed[3]</w:t>
      </w:r>
      <w:r w:rsidRPr="00BA395F">
        <w:rPr>
          <w:rFonts w:ascii="Times New Roman" w:eastAsia="Times New Roman" w:hAnsi="Times New Roman" w:cs="Times New Roman"/>
          <w:sz w:val="24"/>
          <w:szCs w:val="24"/>
        </w:rPr>
        <w:t>. Data</w:t>
      </w:r>
      <w:r w:rsidRPr="00801C27">
        <w:rPr>
          <w:rFonts w:ascii="Times New Roman" w:eastAsia="Times New Roman" w:hAnsi="Times New Roman" w:cs="Times New Roman"/>
          <w:sz w:val="24"/>
          <w:szCs w:val="24"/>
        </w:rPr>
        <w:t xml:space="preserve"> available from the Improving Access to Psychological Therapies (IAPT) programme, which aimed </w:t>
      </w:r>
      <w:r w:rsidRPr="001D55A1">
        <w:rPr>
          <w:rFonts w:ascii="Times New Roman" w:eastAsia="Times New Roman" w:hAnsi="Times New Roman" w:cs="Times New Roman"/>
          <w:sz w:val="24"/>
          <w:szCs w:val="24"/>
        </w:rPr>
        <w:t>to equitably improve access, allows us to explore the degree to which inequalities persist across different age groups.</w:t>
      </w:r>
    </w:p>
    <w:p w14:paraId="5DD937B2" w14:textId="77777777" w:rsidR="002D6104" w:rsidRPr="001D55A1" w:rsidRDefault="002D6104" w:rsidP="002D6104">
      <w:pPr>
        <w:spacing w:after="0" w:line="360" w:lineRule="auto"/>
        <w:jc w:val="both"/>
        <w:rPr>
          <w:rFonts w:ascii="Times New Roman" w:eastAsia="Times New Roman" w:hAnsi="Times New Roman" w:cs="Times New Roman"/>
          <w:sz w:val="24"/>
          <w:szCs w:val="24"/>
        </w:rPr>
      </w:pPr>
    </w:p>
    <w:p w14:paraId="44B601AD" w14:textId="31448852" w:rsidR="001D55A1" w:rsidRPr="001D55A1" w:rsidRDefault="002D6104" w:rsidP="002D6104">
      <w:pPr>
        <w:spacing w:after="0" w:line="360" w:lineRule="auto"/>
        <w:jc w:val="both"/>
        <w:rPr>
          <w:rFonts w:ascii="Times New Roman" w:eastAsia="Times New Roman" w:hAnsi="Times New Roman" w:cs="Times New Roman"/>
          <w:sz w:val="24"/>
          <w:szCs w:val="24"/>
        </w:rPr>
      </w:pPr>
      <w:r w:rsidRPr="001D55A1">
        <w:rPr>
          <w:rFonts w:ascii="Times New Roman" w:eastAsia="Times New Roman" w:hAnsi="Times New Roman" w:cs="Times New Roman"/>
          <w:sz w:val="24"/>
          <w:szCs w:val="24"/>
        </w:rPr>
        <w:t xml:space="preserve">The Adult Psychiatric Morbidity Survey (APMS) provides data on the prevalence of psychiatric disorder (treated and untreated) in the English adult population. </w:t>
      </w:r>
      <w:r w:rsidR="001D55A1" w:rsidRPr="001D55A1">
        <w:rPr>
          <w:rFonts w:ascii="Times New Roman" w:hAnsi="Times New Roman" w:cs="Times New Roman"/>
          <w:sz w:val="24"/>
          <w:szCs w:val="24"/>
        </w:rPr>
        <w:t xml:space="preserve">‘Common Mental Health Problems’ (CMHPs) </w:t>
      </w:r>
      <w:r w:rsidR="003341E9">
        <w:rPr>
          <w:rFonts w:ascii="Times New Roman" w:hAnsi="Times New Roman" w:cs="Times New Roman"/>
          <w:sz w:val="24"/>
          <w:szCs w:val="24"/>
        </w:rPr>
        <w:t xml:space="preserve">is an umbrella term describing difficulties in low mood and anxiety and </w:t>
      </w:r>
      <w:r w:rsidR="001D55A1" w:rsidRPr="001D55A1">
        <w:rPr>
          <w:rFonts w:ascii="Times New Roman" w:hAnsi="Times New Roman" w:cs="Times New Roman"/>
          <w:sz w:val="24"/>
          <w:szCs w:val="24"/>
        </w:rPr>
        <w:t>is a descendent of the term ‘</w:t>
      </w:r>
      <w:r w:rsidR="003341E9">
        <w:rPr>
          <w:rFonts w:ascii="Times New Roman" w:hAnsi="Times New Roman" w:cs="Times New Roman"/>
          <w:sz w:val="24"/>
          <w:szCs w:val="24"/>
        </w:rPr>
        <w:t>c</w:t>
      </w:r>
      <w:r w:rsidR="001D55A1" w:rsidRPr="001D55A1">
        <w:rPr>
          <w:rFonts w:ascii="Times New Roman" w:hAnsi="Times New Roman" w:cs="Times New Roman"/>
          <w:sz w:val="24"/>
          <w:szCs w:val="24"/>
        </w:rPr>
        <w:t xml:space="preserve">ommon </w:t>
      </w:r>
      <w:r w:rsidR="003341E9">
        <w:rPr>
          <w:rFonts w:ascii="Times New Roman" w:hAnsi="Times New Roman" w:cs="Times New Roman"/>
          <w:sz w:val="24"/>
          <w:szCs w:val="24"/>
        </w:rPr>
        <w:t>m</w:t>
      </w:r>
      <w:r w:rsidR="001D55A1" w:rsidRPr="001D55A1">
        <w:rPr>
          <w:rFonts w:ascii="Times New Roman" w:hAnsi="Times New Roman" w:cs="Times New Roman"/>
          <w:sz w:val="24"/>
          <w:szCs w:val="24"/>
        </w:rPr>
        <w:t xml:space="preserve">ental </w:t>
      </w:r>
      <w:r w:rsidR="003341E9">
        <w:rPr>
          <w:rFonts w:ascii="Times New Roman" w:hAnsi="Times New Roman" w:cs="Times New Roman"/>
          <w:sz w:val="24"/>
          <w:szCs w:val="24"/>
        </w:rPr>
        <w:t>d</w:t>
      </w:r>
      <w:r w:rsidR="001D55A1" w:rsidRPr="001D55A1">
        <w:rPr>
          <w:rFonts w:ascii="Times New Roman" w:hAnsi="Times New Roman" w:cs="Times New Roman"/>
          <w:sz w:val="24"/>
          <w:szCs w:val="24"/>
        </w:rPr>
        <w:t>isorders’</w:t>
      </w:r>
      <w:r w:rsidR="003341E9">
        <w:rPr>
          <w:rFonts w:ascii="Times New Roman" w:hAnsi="Times New Roman" w:cs="Times New Roman"/>
          <w:sz w:val="24"/>
          <w:szCs w:val="24"/>
        </w:rPr>
        <w:t xml:space="preserve">. </w:t>
      </w:r>
      <w:r w:rsidR="001D55A1" w:rsidRPr="001D55A1">
        <w:rPr>
          <w:rFonts w:ascii="Times New Roman" w:hAnsi="Times New Roman" w:cs="Times New Roman"/>
          <w:sz w:val="24"/>
          <w:szCs w:val="24"/>
        </w:rPr>
        <w:t>The APMS describes common mental disorder</w:t>
      </w:r>
      <w:r w:rsidR="003341E9">
        <w:rPr>
          <w:rFonts w:ascii="Times New Roman" w:hAnsi="Times New Roman" w:cs="Times New Roman"/>
          <w:sz w:val="24"/>
          <w:szCs w:val="24"/>
        </w:rPr>
        <w:t>s</w:t>
      </w:r>
      <w:r w:rsidR="001D55A1" w:rsidRPr="001D55A1">
        <w:rPr>
          <w:rFonts w:ascii="Times New Roman" w:hAnsi="Times New Roman" w:cs="Times New Roman"/>
          <w:sz w:val="24"/>
          <w:szCs w:val="24"/>
        </w:rPr>
        <w:t xml:space="preserve"> as </w:t>
      </w:r>
      <w:r w:rsidR="001D55A1" w:rsidRPr="001D55A1">
        <w:rPr>
          <w:rFonts w:ascii="Times New Roman" w:eastAsia="Times New Roman" w:hAnsi="Times New Roman" w:cs="Times New Roman"/>
          <w:sz w:val="24"/>
          <w:szCs w:val="24"/>
        </w:rPr>
        <w:t xml:space="preserve">conditions comprising of different types of depression and anxiety[4]. </w:t>
      </w:r>
      <w:r w:rsidRPr="001D55A1">
        <w:rPr>
          <w:rFonts w:ascii="Times New Roman" w:eastAsia="Times New Roman" w:hAnsi="Times New Roman" w:cs="Times New Roman"/>
          <w:sz w:val="24"/>
          <w:szCs w:val="24"/>
        </w:rPr>
        <w:t>Data from the APMS suggest prevalence of depression reduces with age from middle-age onwards</w:t>
      </w:r>
      <w:r w:rsidR="00811526" w:rsidRPr="001D55A1">
        <w:rPr>
          <w:rFonts w:ascii="Times New Roman" w:eastAsia="Times New Roman" w:hAnsi="Times New Roman" w:cs="Times New Roman"/>
          <w:sz w:val="24"/>
          <w:szCs w:val="24"/>
        </w:rPr>
        <w:t>[4]</w:t>
      </w:r>
      <w:r w:rsidRPr="001D55A1">
        <w:rPr>
          <w:rFonts w:ascii="Times New Roman" w:eastAsia="Times New Roman" w:hAnsi="Times New Roman" w:cs="Times New Roman"/>
          <w:sz w:val="24"/>
          <w:szCs w:val="24"/>
        </w:rPr>
        <w:t>, a finding supported by others</w:t>
      </w:r>
      <w:r w:rsidR="00811526" w:rsidRPr="001D55A1">
        <w:rPr>
          <w:rFonts w:ascii="Times New Roman" w:eastAsia="Times New Roman" w:hAnsi="Times New Roman" w:cs="Times New Roman"/>
          <w:sz w:val="24"/>
          <w:szCs w:val="24"/>
        </w:rPr>
        <w:t>[5]</w:t>
      </w:r>
      <w:r w:rsidRPr="001D55A1">
        <w:rPr>
          <w:rFonts w:ascii="Times New Roman" w:eastAsia="Times New Roman" w:hAnsi="Times New Roman" w:cs="Times New Roman"/>
          <w:sz w:val="24"/>
          <w:szCs w:val="24"/>
        </w:rPr>
        <w:t xml:space="preserve"> but not by Stordal and colleagues</w:t>
      </w:r>
      <w:r w:rsidR="00811526" w:rsidRPr="001D55A1">
        <w:rPr>
          <w:rFonts w:ascii="Times New Roman" w:eastAsia="Times New Roman" w:hAnsi="Times New Roman" w:cs="Times New Roman"/>
          <w:sz w:val="24"/>
          <w:szCs w:val="24"/>
        </w:rPr>
        <w:t>[6]</w:t>
      </w:r>
      <w:r w:rsidRPr="001D55A1">
        <w:rPr>
          <w:rFonts w:ascii="Times New Roman" w:eastAsia="Times New Roman" w:hAnsi="Times New Roman" w:cs="Times New Roman"/>
          <w:sz w:val="24"/>
          <w:szCs w:val="24"/>
        </w:rPr>
        <w:t xml:space="preserve"> who reported a linear increase of depression with increasing age after carefully adjusting for confounders for </w:t>
      </w:r>
      <w:r w:rsidR="00AA25EB" w:rsidRPr="001D55A1">
        <w:rPr>
          <w:rFonts w:ascii="Times New Roman" w:eastAsia="Times New Roman" w:hAnsi="Times New Roman" w:cs="Times New Roman"/>
          <w:sz w:val="24"/>
          <w:szCs w:val="24"/>
        </w:rPr>
        <w:t xml:space="preserve">individuals </w:t>
      </w:r>
      <w:r w:rsidRPr="001D55A1">
        <w:rPr>
          <w:rFonts w:ascii="Times New Roman" w:eastAsia="Times New Roman" w:hAnsi="Times New Roman" w:cs="Times New Roman"/>
          <w:sz w:val="24"/>
          <w:szCs w:val="24"/>
        </w:rPr>
        <w:t>in Norway. Whatever the truth about prevalence, inequity of access appears clear. In t</w:t>
      </w:r>
      <w:r w:rsidR="00BE29F8" w:rsidRPr="001D55A1">
        <w:rPr>
          <w:rFonts w:ascii="Times New Roman" w:eastAsia="Times New Roman" w:hAnsi="Times New Roman" w:cs="Times New Roman"/>
          <w:sz w:val="24"/>
          <w:szCs w:val="24"/>
        </w:rPr>
        <w:t>he 1990's fewer than 3% of</w:t>
      </w:r>
      <w:r w:rsidRPr="001D55A1">
        <w:rPr>
          <w:rFonts w:ascii="Times New Roman" w:eastAsia="Times New Roman" w:hAnsi="Times New Roman" w:cs="Times New Roman"/>
          <w:sz w:val="24"/>
          <w:szCs w:val="24"/>
        </w:rPr>
        <w:t xml:space="preserve"> adults </w:t>
      </w:r>
      <w:r w:rsidR="00BE29F8" w:rsidRPr="001D55A1">
        <w:rPr>
          <w:rFonts w:ascii="Times New Roman" w:eastAsia="Times New Roman" w:hAnsi="Times New Roman" w:cs="Times New Roman"/>
          <w:sz w:val="24"/>
          <w:szCs w:val="24"/>
        </w:rPr>
        <w:t xml:space="preserve">aged over 65 years </w:t>
      </w:r>
      <w:r w:rsidRPr="001D55A1">
        <w:rPr>
          <w:rFonts w:ascii="Times New Roman" w:eastAsia="Times New Roman" w:hAnsi="Times New Roman" w:cs="Times New Roman"/>
          <w:sz w:val="24"/>
          <w:szCs w:val="24"/>
        </w:rPr>
        <w:t>reported seeing a mental health professional</w:t>
      </w:r>
      <w:r w:rsidR="007A52D2" w:rsidRPr="001D55A1">
        <w:rPr>
          <w:rFonts w:ascii="Times New Roman" w:eastAsia="Times New Roman" w:hAnsi="Times New Roman" w:cs="Times New Roman"/>
          <w:sz w:val="24"/>
          <w:szCs w:val="24"/>
        </w:rPr>
        <w:t>[7]</w:t>
      </w:r>
      <w:r w:rsidRPr="001D55A1">
        <w:rPr>
          <w:rFonts w:ascii="Times New Roman" w:eastAsia="Times New Roman" w:hAnsi="Times New Roman" w:cs="Times New Roman"/>
          <w:sz w:val="24"/>
          <w:szCs w:val="24"/>
        </w:rPr>
        <w:t>. Using data from the A</w:t>
      </w:r>
      <w:r w:rsidR="00A5452E" w:rsidRPr="001D55A1">
        <w:rPr>
          <w:rFonts w:ascii="Times New Roman" w:eastAsia="Times New Roman" w:hAnsi="Times New Roman" w:cs="Times New Roman"/>
          <w:sz w:val="24"/>
          <w:szCs w:val="24"/>
        </w:rPr>
        <w:t>PM</w:t>
      </w:r>
      <w:r w:rsidRPr="001D55A1">
        <w:rPr>
          <w:rFonts w:ascii="Times New Roman" w:eastAsia="Times New Roman" w:hAnsi="Times New Roman" w:cs="Times New Roman"/>
          <w:sz w:val="24"/>
          <w:szCs w:val="24"/>
        </w:rPr>
        <w:t>S (2007), Cooper and colleagues</w:t>
      </w:r>
      <w:r w:rsidR="007A52D2" w:rsidRPr="001D55A1">
        <w:rPr>
          <w:rFonts w:ascii="Times New Roman" w:eastAsia="Times New Roman" w:hAnsi="Times New Roman" w:cs="Times New Roman"/>
          <w:sz w:val="24"/>
          <w:szCs w:val="24"/>
        </w:rPr>
        <w:t>[8]</w:t>
      </w:r>
      <w:r w:rsidRPr="001D55A1">
        <w:rPr>
          <w:rFonts w:ascii="Times New Roman" w:eastAsia="Times New Roman" w:hAnsi="Times New Roman" w:cs="Times New Roman"/>
          <w:sz w:val="24"/>
          <w:szCs w:val="24"/>
        </w:rPr>
        <w:t xml:space="preserve"> found younger adults (16-34 years) to be 80% more likely than older adults (75+ years) with the same severity of common mental health problems (CMHPs) to be receiving talking therapy. In contrast, older adults were more likely than younger adults to receive anti-depressants or anxiolytics and hypnotics, suggesting older adults are being prescribed medication rather than talking therapy and vice versa. </w:t>
      </w:r>
    </w:p>
    <w:p w14:paraId="1B3DD74A" w14:textId="77777777" w:rsidR="003341E9" w:rsidRPr="001D55A1" w:rsidRDefault="003341E9" w:rsidP="002D6104">
      <w:pPr>
        <w:spacing w:after="0" w:line="360" w:lineRule="auto"/>
        <w:jc w:val="both"/>
        <w:rPr>
          <w:rFonts w:ascii="Times New Roman" w:eastAsia="Times New Roman" w:hAnsi="Times New Roman" w:cs="Times New Roman"/>
          <w:sz w:val="24"/>
          <w:szCs w:val="24"/>
        </w:rPr>
      </w:pPr>
    </w:p>
    <w:p w14:paraId="68E778C0" w14:textId="77777777" w:rsidR="00E87F11" w:rsidRPr="00E87F11" w:rsidRDefault="00E87F11" w:rsidP="00E87F11">
      <w:pPr>
        <w:spacing w:after="0" w:line="360" w:lineRule="auto"/>
        <w:jc w:val="both"/>
        <w:rPr>
          <w:rFonts w:ascii="Times New Roman" w:eastAsia="Times New Roman" w:hAnsi="Times New Roman" w:cs="Times New Roman"/>
          <w:sz w:val="24"/>
          <w:szCs w:val="24"/>
        </w:rPr>
      </w:pPr>
      <w:r w:rsidRPr="001D55A1">
        <w:rPr>
          <w:rFonts w:ascii="Times New Roman" w:eastAsia="Times New Roman" w:hAnsi="Times New Roman" w:cs="Times New Roman"/>
          <w:sz w:val="24"/>
          <w:szCs w:val="24"/>
        </w:rPr>
        <w:t xml:space="preserve">Inequities in access to talking therapies across age may be dependent on patient attitudes, practitioner attitudes and/or system factors. Depressive </w:t>
      </w:r>
      <w:r w:rsidRPr="00E87F11">
        <w:rPr>
          <w:rFonts w:ascii="Times New Roman" w:eastAsia="Times New Roman" w:hAnsi="Times New Roman" w:cs="Times New Roman"/>
          <w:sz w:val="24"/>
          <w:szCs w:val="24"/>
        </w:rPr>
        <w:t>symptoms are common in older adults, but psychological adjustment to aging and chronic illness may mean symptoms are not acknowledged or revealed</w:t>
      </w:r>
      <w:r w:rsidRPr="00E87F11">
        <w:rPr>
          <w:rFonts w:eastAsia="Times New Roman"/>
        </w:rPr>
        <w:t>[9]</w:t>
      </w:r>
      <w:r w:rsidRPr="00E87F11">
        <w:rPr>
          <w:rFonts w:ascii="Times New Roman" w:eastAsia="Times New Roman" w:hAnsi="Times New Roman" w:cs="Times New Roman"/>
          <w:sz w:val="24"/>
          <w:szCs w:val="24"/>
        </w:rPr>
        <w:t xml:space="preserve">. It may be assumed by some health care professionals that older adults experience psychological distress as a natural and inevitable consequence of aging[9, 10]. Ross and Hardy[11] found GP decisions were influenced by patients’ help-seeking behaviours as well as their representations of mental health problems. GPs may believe older adults are less responsive to cognitive behavioural therapy than younger adults[12, 13]. Patients believing they can ‘manage </w:t>
      </w:r>
      <w:r w:rsidRPr="00E87F11">
        <w:rPr>
          <w:rFonts w:ascii="Times New Roman" w:eastAsia="Times New Roman" w:hAnsi="Times New Roman" w:cs="Times New Roman"/>
          <w:sz w:val="24"/>
          <w:szCs w:val="24"/>
        </w:rPr>
        <w:lastRenderedPageBreak/>
        <w:t>themselves’ increases with age, making it less likely they will disclose their mental health problems to a GP, less likely they will be referred, and less likely they will accept offered treatment[14, 15]. It is possible that older adults attribute their symptoms to physical complaints, whereas younger adults have greater awareness of psychological problems[10].</w:t>
      </w:r>
      <w:r w:rsidRPr="00E87F11">
        <w:rPr>
          <w:rFonts w:eastAsia="Times New Roman"/>
        </w:rPr>
        <w:t xml:space="preserve"> O</w:t>
      </w:r>
      <w:r w:rsidRPr="00E87F11">
        <w:rPr>
          <w:rFonts w:ascii="Times New Roman" w:eastAsia="Times New Roman" w:hAnsi="Times New Roman" w:cs="Times New Roman"/>
          <w:sz w:val="24"/>
          <w:szCs w:val="24"/>
        </w:rPr>
        <w:t>lder adult’s inability to express their psychological problems, and greater self-stigma reduces the likelihood they are to seek help</w:t>
      </w:r>
      <w:r w:rsidRPr="00E87F11">
        <w:rPr>
          <w:rFonts w:eastAsia="Times New Roman"/>
        </w:rPr>
        <w:t>[10]</w:t>
      </w:r>
      <w:r w:rsidRPr="00E87F11">
        <w:rPr>
          <w:rFonts w:ascii="Times New Roman" w:eastAsia="Times New Roman" w:hAnsi="Times New Roman" w:cs="Times New Roman"/>
          <w:sz w:val="24"/>
          <w:szCs w:val="24"/>
        </w:rPr>
        <w:t>, or be offered appropriate help by health care professionals</w:t>
      </w:r>
      <w:r w:rsidRPr="00E87F11">
        <w:rPr>
          <w:rFonts w:eastAsia="Times New Roman"/>
        </w:rPr>
        <w:t>[11]</w:t>
      </w:r>
      <w:r w:rsidRPr="00E87F11">
        <w:rPr>
          <w:rFonts w:ascii="Times New Roman" w:eastAsia="Times New Roman" w:hAnsi="Times New Roman" w:cs="Times New Roman"/>
          <w:sz w:val="24"/>
          <w:szCs w:val="24"/>
        </w:rPr>
        <w:t>, creating further inequities in access to mental health treatment dependant on age.</w:t>
      </w:r>
    </w:p>
    <w:p w14:paraId="474465FF" w14:textId="77777777" w:rsidR="002D6104" w:rsidRPr="00801C27" w:rsidRDefault="002D6104" w:rsidP="002D6104">
      <w:pPr>
        <w:spacing w:after="0" w:line="360" w:lineRule="auto"/>
        <w:jc w:val="both"/>
        <w:rPr>
          <w:rFonts w:ascii="Times New Roman" w:eastAsia="Times New Roman" w:hAnsi="Times New Roman" w:cs="Times New Roman"/>
          <w:sz w:val="24"/>
          <w:szCs w:val="24"/>
        </w:rPr>
      </w:pPr>
    </w:p>
    <w:p w14:paraId="2609C8F8" w14:textId="14ED723C" w:rsidR="002D6104" w:rsidRDefault="002D6104" w:rsidP="002D6104">
      <w:pPr>
        <w:spacing w:after="0" w:line="360" w:lineRule="auto"/>
        <w:jc w:val="both"/>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 xml:space="preserve">In 2008, </w:t>
      </w:r>
      <w:r>
        <w:rPr>
          <w:rFonts w:ascii="Times New Roman" w:eastAsia="Times New Roman" w:hAnsi="Times New Roman" w:cs="Times New Roman"/>
          <w:sz w:val="24"/>
          <w:szCs w:val="24"/>
        </w:rPr>
        <w:t xml:space="preserve">the development of </w:t>
      </w:r>
      <w:r w:rsidRPr="00801C27">
        <w:rPr>
          <w:rFonts w:ascii="Times New Roman" w:eastAsia="Times New Roman" w:hAnsi="Times New Roman" w:cs="Times New Roman"/>
          <w:sz w:val="24"/>
          <w:szCs w:val="24"/>
        </w:rPr>
        <w:t>new psychological therapy services across England under the IAPT programme, improve</w:t>
      </w:r>
      <w:r>
        <w:rPr>
          <w:rFonts w:ascii="Times New Roman" w:eastAsia="Times New Roman" w:hAnsi="Times New Roman" w:cs="Times New Roman"/>
          <w:sz w:val="24"/>
          <w:szCs w:val="24"/>
        </w:rPr>
        <w:t>d</w:t>
      </w:r>
      <w:r w:rsidRPr="00801C27">
        <w:rPr>
          <w:rFonts w:ascii="Times New Roman" w:eastAsia="Times New Roman" w:hAnsi="Times New Roman" w:cs="Times New Roman"/>
          <w:sz w:val="24"/>
          <w:szCs w:val="24"/>
        </w:rPr>
        <w:t xml:space="preserve"> access to treatments for CMHPs</w:t>
      </w:r>
      <w:r w:rsidR="007A52D2">
        <w:rPr>
          <w:rFonts w:ascii="Times New Roman" w:eastAsia="Times New Roman" w:hAnsi="Times New Roman" w:cs="Times New Roman"/>
          <w:sz w:val="24"/>
          <w:szCs w:val="24"/>
        </w:rPr>
        <w:t>[2]</w:t>
      </w:r>
      <w:r w:rsidR="00FB71BE">
        <w:rPr>
          <w:rFonts w:ascii="Times New Roman" w:eastAsia="Times New Roman" w:hAnsi="Times New Roman" w:cs="Times New Roman"/>
          <w:sz w:val="24"/>
          <w:szCs w:val="24"/>
        </w:rPr>
        <w:t xml:space="preserve"> which included</w:t>
      </w:r>
      <w:r w:rsidR="00FB71BE" w:rsidRPr="005C4B8E">
        <w:rPr>
          <w:rFonts w:ascii="Times New Roman" w:eastAsia="Times New Roman" w:hAnsi="Times New Roman" w:cs="Times New Roman"/>
          <w:sz w:val="24"/>
          <w:szCs w:val="24"/>
        </w:rPr>
        <w:t xml:space="preserve"> </w:t>
      </w:r>
      <w:r w:rsidR="00FB71BE" w:rsidRPr="0095266F">
        <w:rPr>
          <w:rFonts w:ascii="Times New Roman" w:eastAsia="Times New Roman" w:hAnsi="Times New Roman" w:cs="Times New Roman"/>
          <w:sz w:val="24"/>
          <w:szCs w:val="24"/>
        </w:rPr>
        <w:t>individuals with obsessive compulsive disorder (OCD) and post-traumatic stress disorder (PTSD) as well as the more prevalent anxiety and depression</w:t>
      </w:r>
      <w:r w:rsidR="00FB71BE" w:rsidRPr="005C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By 2011, 142 Primary Care Trusts (PCTs) had </w:t>
      </w:r>
      <w:r w:rsidRPr="008A2B75">
        <w:rPr>
          <w:rFonts w:ascii="Times New Roman" w:eastAsia="Times New Roman" w:hAnsi="Times New Roman" w:cs="Times New Roman"/>
          <w:sz w:val="24"/>
          <w:szCs w:val="24"/>
        </w:rPr>
        <w:t xml:space="preserve">an IAPT service and £400 million was being invested up to 2015. Targets for rates of access to psychological therapy </w:t>
      </w:r>
      <w:r w:rsidR="00AA25EB" w:rsidRPr="008A2B75">
        <w:rPr>
          <w:rFonts w:ascii="Times New Roman" w:eastAsia="Times New Roman" w:hAnsi="Times New Roman" w:cs="Times New Roman"/>
          <w:sz w:val="24"/>
          <w:szCs w:val="24"/>
        </w:rPr>
        <w:t>included</w:t>
      </w:r>
      <w:r w:rsidRPr="008A2B75">
        <w:rPr>
          <w:rFonts w:ascii="Times New Roman" w:eastAsia="Times New Roman" w:hAnsi="Times New Roman" w:cs="Times New Roman"/>
          <w:sz w:val="24"/>
          <w:szCs w:val="24"/>
        </w:rPr>
        <w:t xml:space="preserve"> services provid</w:t>
      </w:r>
      <w:r w:rsidR="00AA25EB" w:rsidRPr="008A2B75">
        <w:rPr>
          <w:rFonts w:ascii="Times New Roman" w:eastAsia="Times New Roman" w:hAnsi="Times New Roman" w:cs="Times New Roman"/>
          <w:sz w:val="24"/>
          <w:szCs w:val="24"/>
        </w:rPr>
        <w:t>ing</w:t>
      </w:r>
      <w:r w:rsidRPr="008A2B75">
        <w:rPr>
          <w:rFonts w:ascii="Times New Roman" w:eastAsia="Times New Roman" w:hAnsi="Times New Roman" w:cs="Times New Roman"/>
          <w:sz w:val="24"/>
          <w:szCs w:val="24"/>
        </w:rPr>
        <w:t xml:space="preserve"> enough therapists to meet the needs of the whole PCT population, with half of those who complete the programme moving to recovery</w:t>
      </w:r>
      <w:r w:rsidR="007A52D2" w:rsidRPr="008A2B75">
        <w:rPr>
          <w:rFonts w:ascii="Times New Roman" w:eastAsia="Times New Roman" w:hAnsi="Times New Roman" w:cs="Times New Roman"/>
          <w:sz w:val="24"/>
          <w:szCs w:val="24"/>
        </w:rPr>
        <w:t>[16]</w:t>
      </w:r>
      <w:r w:rsidRPr="008A2B75">
        <w:rPr>
          <w:rFonts w:ascii="Times New Roman" w:eastAsia="Times New Roman" w:hAnsi="Times New Roman" w:cs="Times New Roman"/>
          <w:sz w:val="24"/>
          <w:szCs w:val="24"/>
        </w:rPr>
        <w:t>. IAPT services</w:t>
      </w:r>
      <w:r w:rsidRPr="00801C27">
        <w:rPr>
          <w:rFonts w:ascii="Times New Roman" w:eastAsia="Times New Roman" w:hAnsi="Times New Roman" w:cs="Times New Roman"/>
          <w:sz w:val="24"/>
          <w:szCs w:val="24"/>
        </w:rPr>
        <w:t xml:space="preserve"> include routine collection of </w:t>
      </w:r>
      <w:r>
        <w:rPr>
          <w:rFonts w:ascii="Times New Roman" w:eastAsia="Times New Roman" w:hAnsi="Times New Roman" w:cs="Times New Roman"/>
          <w:sz w:val="24"/>
          <w:szCs w:val="24"/>
        </w:rPr>
        <w:t xml:space="preserve">session by session outcome </w:t>
      </w:r>
      <w:r w:rsidRPr="00801C27">
        <w:rPr>
          <w:rFonts w:ascii="Times New Roman" w:eastAsia="Times New Roman" w:hAnsi="Times New Roman" w:cs="Times New Roman"/>
          <w:sz w:val="24"/>
          <w:szCs w:val="24"/>
        </w:rPr>
        <w:t>data for all individuals referred. The IAPT data allow</w:t>
      </w:r>
      <w:r>
        <w:rPr>
          <w:rFonts w:ascii="Times New Roman" w:eastAsia="Times New Roman" w:hAnsi="Times New Roman" w:cs="Times New Roman"/>
          <w:sz w:val="24"/>
          <w:szCs w:val="24"/>
        </w:rPr>
        <w:t>s</w:t>
      </w:r>
      <w:r w:rsidRPr="00801C27">
        <w:rPr>
          <w:rFonts w:ascii="Times New Roman" w:eastAsia="Times New Roman" w:hAnsi="Times New Roman" w:cs="Times New Roman"/>
          <w:sz w:val="24"/>
          <w:szCs w:val="24"/>
        </w:rPr>
        <w:t xml:space="preserve"> exploration of differences in access to mental health treatments across age, allowing comparisons of referrals, access to the services and responses to treatment. </w:t>
      </w:r>
    </w:p>
    <w:p w14:paraId="606FAA0F" w14:textId="77777777" w:rsidR="002D6104" w:rsidRDefault="002D6104" w:rsidP="002D6104">
      <w:pPr>
        <w:spacing w:after="0" w:line="360" w:lineRule="auto"/>
        <w:jc w:val="both"/>
        <w:rPr>
          <w:rFonts w:ascii="Times New Roman" w:eastAsia="Times New Roman" w:hAnsi="Times New Roman" w:cs="Times New Roman"/>
          <w:sz w:val="24"/>
          <w:szCs w:val="24"/>
        </w:rPr>
      </w:pPr>
    </w:p>
    <w:p w14:paraId="36DBE4BB" w14:textId="6CD87337" w:rsidR="002D6104" w:rsidRDefault="002D6104" w:rsidP="002D610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audits and monitoring suggest access to talking therapies is greater for younger individuals</w:t>
      </w:r>
      <w:r w:rsidR="007A52D2">
        <w:rPr>
          <w:rFonts w:ascii="Times New Roman" w:eastAsia="Times New Roman" w:hAnsi="Times New Roman" w:cs="Times New Roman"/>
          <w:sz w:val="24"/>
          <w:szCs w:val="24"/>
        </w:rPr>
        <w:t>[8]</w:t>
      </w:r>
      <w:r>
        <w:rPr>
          <w:rFonts w:ascii="Times New Roman" w:eastAsia="Times New Roman" w:hAnsi="Times New Roman" w:cs="Times New Roman"/>
          <w:sz w:val="24"/>
          <w:szCs w:val="24"/>
        </w:rPr>
        <w:t>. This paper aimed to accurately estimate differences in referral and access rates to the IAPT service and to compare pathway through treatment across age bands, controlling for predicted prevalence of CMHPs.</w:t>
      </w:r>
    </w:p>
    <w:p w14:paraId="2CE2A743" w14:textId="77777777" w:rsidR="004048D3" w:rsidRDefault="004048D3" w:rsidP="004048D3">
      <w:pPr>
        <w:spacing w:after="0" w:line="360" w:lineRule="auto"/>
        <w:jc w:val="both"/>
        <w:rPr>
          <w:rFonts w:ascii="Times New Roman" w:eastAsia="Times New Roman" w:hAnsi="Times New Roman" w:cs="Times New Roman"/>
          <w:sz w:val="24"/>
          <w:szCs w:val="24"/>
        </w:rPr>
      </w:pPr>
    </w:p>
    <w:p w14:paraId="0E377A34" w14:textId="295A1BAE" w:rsidR="005463F3" w:rsidRDefault="000B5C54" w:rsidP="005463F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2EEE45CB" w14:textId="77777777" w:rsidR="005B7DCB" w:rsidRDefault="005B7DCB" w:rsidP="005463F3">
      <w:pPr>
        <w:spacing w:after="0" w:line="360" w:lineRule="auto"/>
        <w:rPr>
          <w:rFonts w:ascii="Times New Roman" w:eastAsia="Times New Roman" w:hAnsi="Times New Roman" w:cs="Times New Roman"/>
          <w:b/>
          <w:sz w:val="24"/>
          <w:szCs w:val="24"/>
        </w:rPr>
      </w:pPr>
    </w:p>
    <w:p w14:paraId="3AC0A7F3" w14:textId="1A065CAD" w:rsidR="00E97569" w:rsidRPr="00E97569" w:rsidRDefault="005463F3" w:rsidP="00E97569">
      <w:pPr>
        <w:spacing w:after="0" w:line="360" w:lineRule="auto"/>
        <w:rPr>
          <w:rFonts w:ascii="Times New Roman" w:eastAsia="Times New Roman" w:hAnsi="Times New Roman" w:cs="Times New Roman"/>
          <w:b/>
          <w:color w:val="FF0000"/>
          <w:sz w:val="28"/>
          <w:szCs w:val="24"/>
        </w:rPr>
      </w:pPr>
      <w:r w:rsidRPr="00801C27">
        <w:rPr>
          <w:rFonts w:ascii="Times New Roman" w:eastAsia="Times New Roman" w:hAnsi="Times New Roman" w:cs="Times New Roman"/>
          <w:sz w:val="24"/>
          <w:szCs w:val="24"/>
        </w:rPr>
        <w:t>Our overall design was to derive figures in each age band for total population, estimated prevalence and numbers referred, seen</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and </w:t>
      </w:r>
      <w:r w:rsidR="000D5561">
        <w:rPr>
          <w:rFonts w:ascii="Times New Roman" w:eastAsia="Times New Roman" w:hAnsi="Times New Roman" w:cs="Times New Roman"/>
          <w:sz w:val="24"/>
          <w:szCs w:val="24"/>
        </w:rPr>
        <w:t xml:space="preserve">patients who achieved the minimal clinical </w:t>
      </w:r>
      <w:r w:rsidR="00BA5438">
        <w:rPr>
          <w:rFonts w:ascii="Times New Roman" w:eastAsia="Times New Roman" w:hAnsi="Times New Roman" w:cs="Times New Roman"/>
          <w:sz w:val="24"/>
          <w:szCs w:val="24"/>
        </w:rPr>
        <w:t>important difference (MCID) in symptoms</w:t>
      </w:r>
      <w:r w:rsidRPr="00801C27">
        <w:rPr>
          <w:rFonts w:ascii="Times New Roman" w:eastAsia="Times New Roman" w:hAnsi="Times New Roman" w:cs="Times New Roman"/>
          <w:sz w:val="24"/>
          <w:szCs w:val="24"/>
        </w:rPr>
        <w:t>; and then to calculate rates using different key denominators.  The most recent APMS (survey three</w:t>
      </w:r>
      <w:r w:rsidR="001B404D">
        <w:rPr>
          <w:rFonts w:ascii="Times New Roman" w:eastAsia="Times New Roman" w:hAnsi="Times New Roman" w:cs="Times New Roman"/>
          <w:sz w:val="24"/>
          <w:szCs w:val="24"/>
        </w:rPr>
        <w:t>, 2007</w:t>
      </w:r>
      <w:r w:rsidRPr="00801C27">
        <w:rPr>
          <w:rFonts w:ascii="Times New Roman" w:eastAsia="Times New Roman" w:hAnsi="Times New Roman" w:cs="Times New Roman"/>
          <w:sz w:val="24"/>
          <w:szCs w:val="24"/>
        </w:rPr>
        <w:t>) data w</w:t>
      </w:r>
      <w:r>
        <w:rPr>
          <w:rFonts w:ascii="Times New Roman" w:eastAsia="Times New Roman" w:hAnsi="Times New Roman" w:cs="Times New Roman"/>
          <w:sz w:val="24"/>
          <w:szCs w:val="24"/>
        </w:rPr>
        <w:t>ere</w:t>
      </w:r>
      <w:r w:rsidRPr="00801C27">
        <w:rPr>
          <w:rFonts w:ascii="Times New Roman" w:eastAsia="Times New Roman" w:hAnsi="Times New Roman" w:cs="Times New Roman"/>
          <w:sz w:val="24"/>
          <w:szCs w:val="24"/>
        </w:rPr>
        <w:t xml:space="preserve"> analysed with data collected from IAPT services in thirteen Primary Care Trusts (PCTs) from 2010-20</w:t>
      </w:r>
      <w:r w:rsidRPr="00E97569">
        <w:rPr>
          <w:rFonts w:ascii="Times New Roman" w:eastAsia="Times New Roman" w:hAnsi="Times New Roman" w:cs="Times New Roman"/>
          <w:sz w:val="24"/>
          <w:szCs w:val="24"/>
        </w:rPr>
        <w:t>11.</w:t>
      </w:r>
      <w:r w:rsidRPr="00E97569" w:rsidDel="00074AF7">
        <w:rPr>
          <w:rFonts w:ascii="Times New Roman" w:eastAsia="Times New Roman" w:hAnsi="Times New Roman" w:cs="Times New Roman"/>
          <w:sz w:val="24"/>
          <w:szCs w:val="24"/>
        </w:rPr>
        <w:t xml:space="preserve"> </w:t>
      </w:r>
      <w:r w:rsidR="00E97569" w:rsidRPr="00E97569">
        <w:rPr>
          <w:rFonts w:ascii="Times New Roman" w:hAnsi="Times New Roman" w:cs="Times New Roman"/>
          <w:sz w:val="24"/>
        </w:rPr>
        <w:t>The dataset was created for a service evaluation project of the IAPT services commissioned by the South We</w:t>
      </w:r>
      <w:r w:rsidR="003A4B0D">
        <w:rPr>
          <w:rFonts w:ascii="Times New Roman" w:hAnsi="Times New Roman" w:cs="Times New Roman"/>
          <w:sz w:val="24"/>
        </w:rPr>
        <w:t>st Strategic Health Authority.</w:t>
      </w:r>
    </w:p>
    <w:p w14:paraId="5E81F5D4" w14:textId="77777777" w:rsidR="00E97569" w:rsidRPr="00801C27" w:rsidRDefault="00E97569" w:rsidP="005463F3">
      <w:pPr>
        <w:spacing w:after="0" w:line="360" w:lineRule="auto"/>
        <w:rPr>
          <w:rFonts w:ascii="Times New Roman" w:eastAsia="Times New Roman" w:hAnsi="Times New Roman" w:cs="Times New Roman"/>
          <w:sz w:val="24"/>
          <w:szCs w:val="24"/>
        </w:rPr>
      </w:pPr>
    </w:p>
    <w:p w14:paraId="14913EBA" w14:textId="74442862" w:rsidR="005463F3" w:rsidRPr="00801C27" w:rsidRDefault="005463F3" w:rsidP="005463F3">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lastRenderedPageBreak/>
        <w:t>Population and prevalence data w</w:t>
      </w:r>
      <w:r>
        <w:rPr>
          <w:rFonts w:ascii="Times New Roman" w:eastAsia="Times New Roman" w:hAnsi="Times New Roman" w:cs="Times New Roman"/>
          <w:sz w:val="24"/>
          <w:szCs w:val="24"/>
        </w:rPr>
        <w:t>ere</w:t>
      </w:r>
      <w:r w:rsidRPr="00801C27">
        <w:rPr>
          <w:rFonts w:ascii="Times New Roman" w:eastAsia="Times New Roman" w:hAnsi="Times New Roman" w:cs="Times New Roman"/>
          <w:sz w:val="24"/>
          <w:szCs w:val="24"/>
        </w:rPr>
        <w:t xml:space="preserve"> obtained from the APMS survey which use</w:t>
      </w:r>
      <w:r>
        <w:rPr>
          <w:rFonts w:ascii="Times New Roman" w:eastAsia="Times New Roman" w:hAnsi="Times New Roman" w:cs="Times New Roman"/>
          <w:sz w:val="24"/>
          <w:szCs w:val="24"/>
        </w:rPr>
        <w:t>d</w:t>
      </w:r>
      <w:r w:rsidRPr="00801C27">
        <w:rPr>
          <w:rFonts w:ascii="Times New Roman" w:eastAsia="Times New Roman" w:hAnsi="Times New Roman" w:cs="Times New Roman"/>
          <w:sz w:val="24"/>
          <w:szCs w:val="24"/>
        </w:rPr>
        <w:t xml:space="preserve"> a robust stratified, multi-stage probability sample of households which assesse</w:t>
      </w:r>
      <w:r>
        <w:rPr>
          <w:rFonts w:ascii="Times New Roman" w:eastAsia="Times New Roman" w:hAnsi="Times New Roman" w:cs="Times New Roman"/>
          <w:sz w:val="24"/>
          <w:szCs w:val="24"/>
        </w:rPr>
        <w:t>d</w:t>
      </w:r>
      <w:r w:rsidRPr="00801C27">
        <w:rPr>
          <w:rFonts w:ascii="Times New Roman" w:eastAsia="Times New Roman" w:hAnsi="Times New Roman" w:cs="Times New Roman"/>
          <w:sz w:val="24"/>
          <w:szCs w:val="24"/>
        </w:rPr>
        <w:t xml:space="preserve"> and diagnos</w:t>
      </w:r>
      <w:r>
        <w:rPr>
          <w:rFonts w:ascii="Times New Roman" w:eastAsia="Times New Roman" w:hAnsi="Times New Roman" w:cs="Times New Roman"/>
          <w:sz w:val="24"/>
          <w:szCs w:val="24"/>
        </w:rPr>
        <w:t>ed</w:t>
      </w:r>
      <w:r w:rsidRPr="00801C27">
        <w:rPr>
          <w:rFonts w:ascii="Times New Roman" w:eastAsia="Times New Roman" w:hAnsi="Times New Roman" w:cs="Times New Roman"/>
          <w:sz w:val="24"/>
          <w:szCs w:val="24"/>
        </w:rPr>
        <w:t xml:space="preserve"> psychiatric disorder according to diagnostic criteria where possible. Participants complete</w:t>
      </w:r>
      <w:r>
        <w:rPr>
          <w:rFonts w:ascii="Times New Roman" w:eastAsia="Times New Roman" w:hAnsi="Times New Roman" w:cs="Times New Roman"/>
          <w:sz w:val="24"/>
          <w:szCs w:val="24"/>
        </w:rPr>
        <w:t>d</w:t>
      </w:r>
      <w:r w:rsidRPr="00801C27">
        <w:rPr>
          <w:rFonts w:ascii="Times New Roman" w:eastAsia="Times New Roman" w:hAnsi="Times New Roman" w:cs="Times New Roman"/>
          <w:sz w:val="24"/>
          <w:szCs w:val="24"/>
        </w:rPr>
        <w:t xml:space="preserve"> the revised Clin</w:t>
      </w:r>
      <w:r w:rsidR="007A52D2">
        <w:rPr>
          <w:rFonts w:ascii="Times New Roman" w:eastAsia="Times New Roman" w:hAnsi="Times New Roman" w:cs="Times New Roman"/>
          <w:sz w:val="24"/>
          <w:szCs w:val="24"/>
        </w:rPr>
        <w:t>ical Interview Schedule (CIS-R)[17]</w:t>
      </w:r>
      <w:r w:rsidRPr="00801C27">
        <w:rPr>
          <w:rFonts w:ascii="Times New Roman" w:eastAsia="Times New Roman" w:hAnsi="Times New Roman" w:cs="Times New Roman"/>
          <w:sz w:val="24"/>
          <w:szCs w:val="24"/>
        </w:rPr>
        <w:t xml:space="preserve"> which measures symptoms </w:t>
      </w:r>
      <w:r w:rsidR="00FB71BE">
        <w:rPr>
          <w:rFonts w:ascii="Times New Roman" w:eastAsia="Times New Roman" w:hAnsi="Times New Roman" w:cs="Times New Roman"/>
          <w:sz w:val="24"/>
          <w:szCs w:val="24"/>
        </w:rPr>
        <w:t>linked to the diagnosis of anxiety and depression</w:t>
      </w:r>
      <w:r w:rsidR="00C665EA">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and provides an overall score </w:t>
      </w:r>
      <w:r>
        <w:rPr>
          <w:rFonts w:ascii="Times New Roman" w:eastAsia="Times New Roman" w:hAnsi="Times New Roman" w:cs="Times New Roman"/>
          <w:sz w:val="24"/>
          <w:szCs w:val="24"/>
        </w:rPr>
        <w:t xml:space="preserve">for the presence </w:t>
      </w:r>
      <w:r w:rsidRPr="00801C27">
        <w:rPr>
          <w:rFonts w:ascii="Times New Roman" w:eastAsia="Times New Roman" w:hAnsi="Times New Roman" w:cs="Times New Roman"/>
          <w:sz w:val="24"/>
          <w:szCs w:val="24"/>
        </w:rPr>
        <w:t>of CMHPs (indicated by a score of 12 or above). The APMS series is the largest, most detailed</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and most recent (2007) data available for comparison of IAPT service use. The APMS provided numbers on estimated prevalence of CMHPs across gender (which we combined), as well as total population, in each of the thirteen </w:t>
      </w:r>
      <w:r w:rsidR="00936952" w:rsidRPr="00801C27">
        <w:rPr>
          <w:rFonts w:ascii="Times New Roman" w:eastAsia="Times New Roman" w:hAnsi="Times New Roman" w:cs="Times New Roman"/>
          <w:sz w:val="24"/>
          <w:szCs w:val="24"/>
        </w:rPr>
        <w:t>PCTs individually.</w:t>
      </w:r>
      <w:r w:rsidRPr="00801C27">
        <w:rPr>
          <w:rFonts w:ascii="Times New Roman" w:eastAsia="Times New Roman" w:hAnsi="Times New Roman" w:cs="Times New Roman"/>
          <w:sz w:val="24"/>
          <w:szCs w:val="24"/>
        </w:rPr>
        <w:t xml:space="preserve"> Using th</w:t>
      </w:r>
      <w:r>
        <w:rPr>
          <w:rFonts w:ascii="Times New Roman" w:eastAsia="Times New Roman" w:hAnsi="Times New Roman" w:cs="Times New Roman"/>
          <w:sz w:val="24"/>
          <w:szCs w:val="24"/>
        </w:rPr>
        <w:t>is</w:t>
      </w:r>
      <w:r w:rsidRPr="00801C27">
        <w:rPr>
          <w:rFonts w:ascii="Times New Roman" w:eastAsia="Times New Roman" w:hAnsi="Times New Roman" w:cs="Times New Roman"/>
          <w:sz w:val="24"/>
          <w:szCs w:val="24"/>
        </w:rPr>
        <w:t xml:space="preserve"> data, the numbers of people in each age group in the South West and the numbers of people in each age group in the South West who were estimated to have CMHPs were totalled, and these were used as denominators to calculate rates and proportions. </w:t>
      </w:r>
    </w:p>
    <w:p w14:paraId="23203170" w14:textId="77777777" w:rsidR="005463F3" w:rsidRPr="00801C27" w:rsidRDefault="005463F3" w:rsidP="005463F3">
      <w:pPr>
        <w:spacing w:after="0" w:line="360" w:lineRule="auto"/>
        <w:rPr>
          <w:rFonts w:ascii="Times New Roman" w:eastAsia="Times New Roman" w:hAnsi="Times New Roman" w:cs="Times New Roman"/>
          <w:sz w:val="24"/>
          <w:szCs w:val="24"/>
        </w:rPr>
      </w:pPr>
    </w:p>
    <w:p w14:paraId="251558F0" w14:textId="60559979" w:rsidR="005463F3" w:rsidRPr="00801C27" w:rsidRDefault="005463F3" w:rsidP="005463F3">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 xml:space="preserve">Numbers </w:t>
      </w:r>
      <w:r>
        <w:rPr>
          <w:rFonts w:ascii="Times New Roman" w:eastAsia="Times New Roman" w:hAnsi="Times New Roman" w:cs="Times New Roman"/>
          <w:sz w:val="24"/>
          <w:szCs w:val="24"/>
        </w:rPr>
        <w:t xml:space="preserve">of people </w:t>
      </w:r>
      <w:r w:rsidRPr="00801C27">
        <w:rPr>
          <w:rFonts w:ascii="Times New Roman" w:eastAsia="Times New Roman" w:hAnsi="Times New Roman" w:cs="Times New Roman"/>
          <w:sz w:val="24"/>
          <w:szCs w:val="24"/>
        </w:rPr>
        <w:t xml:space="preserve">referred, </w:t>
      </w:r>
      <w:r w:rsidR="00F1200B">
        <w:rPr>
          <w:rFonts w:ascii="Times New Roman" w:eastAsia="Times New Roman" w:hAnsi="Times New Roman" w:cs="Times New Roman"/>
          <w:sz w:val="24"/>
          <w:szCs w:val="24"/>
        </w:rPr>
        <w:t>obtaining</w:t>
      </w:r>
      <w:r w:rsidRPr="00801C27">
        <w:rPr>
          <w:rFonts w:ascii="Times New Roman" w:eastAsia="Times New Roman" w:hAnsi="Times New Roman" w:cs="Times New Roman"/>
          <w:sz w:val="24"/>
          <w:szCs w:val="24"/>
        </w:rPr>
        <w:t xml:space="preserve"> access and the associated clinical outcomes were derived from the South West IAPT evaluation database which includes information from the IAPT service providers’ databases relating to 13 South West PCTs.  We included in</w:t>
      </w:r>
      <w:r w:rsidR="001B404D">
        <w:rPr>
          <w:rFonts w:ascii="Times New Roman" w:eastAsia="Times New Roman" w:hAnsi="Times New Roman" w:cs="Times New Roman"/>
          <w:sz w:val="24"/>
          <w:szCs w:val="24"/>
        </w:rPr>
        <w:t xml:space="preserve">dividuals aged between </w:t>
      </w:r>
      <w:r w:rsidR="00936952">
        <w:rPr>
          <w:rFonts w:ascii="Times New Roman" w:eastAsia="Times New Roman" w:hAnsi="Times New Roman" w:cs="Times New Roman"/>
          <w:sz w:val="24"/>
          <w:szCs w:val="24"/>
        </w:rPr>
        <w:t xml:space="preserve">18 </w:t>
      </w:r>
      <w:r w:rsidR="00936952" w:rsidRPr="00801C27">
        <w:rPr>
          <w:rFonts w:ascii="Times New Roman" w:eastAsia="Times New Roman" w:hAnsi="Times New Roman" w:cs="Times New Roman"/>
          <w:sz w:val="24"/>
          <w:szCs w:val="24"/>
        </w:rPr>
        <w:t>and 7</w:t>
      </w:r>
      <w:r w:rsidR="00936952">
        <w:rPr>
          <w:rFonts w:ascii="Times New Roman" w:eastAsia="Times New Roman" w:hAnsi="Times New Roman" w:cs="Times New Roman"/>
          <w:sz w:val="24"/>
          <w:szCs w:val="24"/>
        </w:rPr>
        <w:t>4</w:t>
      </w:r>
      <w:r w:rsidR="00936952" w:rsidRPr="00801C27">
        <w:rPr>
          <w:rFonts w:ascii="Times New Roman" w:eastAsia="Times New Roman" w:hAnsi="Times New Roman" w:cs="Times New Roman"/>
          <w:sz w:val="24"/>
          <w:szCs w:val="24"/>
        </w:rPr>
        <w:t xml:space="preserve"> years of age in the study to reflect data taken </w:t>
      </w:r>
      <w:r w:rsidR="00936952">
        <w:rPr>
          <w:rFonts w:ascii="Times New Roman" w:eastAsia="Times New Roman" w:hAnsi="Times New Roman" w:cs="Times New Roman"/>
          <w:sz w:val="24"/>
          <w:szCs w:val="24"/>
        </w:rPr>
        <w:t>from the APMS</w:t>
      </w:r>
      <w:r w:rsidR="00936952" w:rsidRPr="00801C27">
        <w:rPr>
          <w:rFonts w:ascii="Times New Roman" w:eastAsia="Times New Roman" w:hAnsi="Times New Roman" w:cs="Times New Roman"/>
          <w:sz w:val="24"/>
          <w:szCs w:val="24"/>
        </w:rPr>
        <w:t xml:space="preserve"> </w:t>
      </w:r>
      <w:r w:rsidR="00F70F84">
        <w:rPr>
          <w:rFonts w:ascii="Times New Roman" w:eastAsia="Times New Roman" w:hAnsi="Times New Roman" w:cs="Times New Roman"/>
          <w:sz w:val="24"/>
          <w:szCs w:val="24"/>
        </w:rPr>
        <w:t>(which excludes those in care homes)</w:t>
      </w:r>
      <w:r w:rsidRPr="00801C27">
        <w:rPr>
          <w:rFonts w:ascii="Times New Roman" w:eastAsia="Times New Roman" w:hAnsi="Times New Roman" w:cs="Times New Roman"/>
          <w:sz w:val="24"/>
          <w:szCs w:val="24"/>
        </w:rPr>
        <w:t>. The anonymised referral, access and outcome data were generated from 82,513 individual episodes of care (76,734 patients).</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Patients’ demographic information (including age) and details of attendance, and health outcomes were recorded at every clinical contact. </w:t>
      </w:r>
      <w:r w:rsidRPr="00801C27" w:rsidDel="001547A2">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The latter included the Patient Health Questionnaire (PHQ-9</w:t>
      </w:r>
      <w:r w:rsidR="007A52D2">
        <w:rPr>
          <w:rFonts w:ascii="Times New Roman" w:eastAsia="Times New Roman" w:hAnsi="Times New Roman" w:cs="Times New Roman"/>
          <w:sz w:val="24"/>
          <w:szCs w:val="24"/>
        </w:rPr>
        <w:t>)[18]</w:t>
      </w:r>
      <w:r w:rsidRPr="00801C27">
        <w:rPr>
          <w:rFonts w:ascii="Times New Roman" w:eastAsia="Times New Roman" w:hAnsi="Times New Roman" w:cs="Times New Roman"/>
          <w:sz w:val="24"/>
          <w:szCs w:val="24"/>
        </w:rPr>
        <w:t xml:space="preserve"> as a measure of depression, and the Generalised Anxiety Disorder (GAD-7</w:t>
      </w:r>
      <w:r w:rsidR="007A52D2">
        <w:rPr>
          <w:rFonts w:ascii="Times New Roman" w:eastAsia="Times New Roman" w:hAnsi="Times New Roman" w:cs="Times New Roman"/>
          <w:sz w:val="24"/>
          <w:szCs w:val="24"/>
        </w:rPr>
        <w:t>)[19]</w:t>
      </w:r>
      <w:r w:rsidRPr="00801C27">
        <w:rPr>
          <w:rFonts w:ascii="Times New Roman" w:eastAsia="Times New Roman" w:hAnsi="Times New Roman" w:cs="Times New Roman"/>
          <w:sz w:val="24"/>
          <w:szCs w:val="24"/>
        </w:rPr>
        <w:t xml:space="preserve"> questionnaire as a measure of anxiety.</w:t>
      </w:r>
    </w:p>
    <w:p w14:paraId="3F01B6B5" w14:textId="77777777" w:rsidR="005463F3" w:rsidRPr="00801C27" w:rsidRDefault="005463F3" w:rsidP="005463F3">
      <w:pPr>
        <w:spacing w:after="0" w:line="360" w:lineRule="auto"/>
        <w:rPr>
          <w:rFonts w:ascii="Times New Roman" w:eastAsia="Times New Roman" w:hAnsi="Times New Roman" w:cs="Times New Roman"/>
          <w:sz w:val="24"/>
          <w:szCs w:val="24"/>
        </w:rPr>
      </w:pPr>
    </w:p>
    <w:p w14:paraId="3FCB12D6" w14:textId="5A7EE9FC" w:rsidR="005463F3" w:rsidRPr="00801C27" w:rsidRDefault="005463F3" w:rsidP="005463F3">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We estimated the proportions of the total populations having CMHPs</w:t>
      </w:r>
      <w:r w:rsidR="00F1200B">
        <w:rPr>
          <w:rFonts w:ascii="Times New Roman" w:eastAsia="Times New Roman" w:hAnsi="Times New Roman" w:cs="Times New Roman"/>
          <w:sz w:val="24"/>
          <w:szCs w:val="24"/>
        </w:rPr>
        <w:t>; being referred to IAPT; obtainin</w:t>
      </w:r>
      <w:r w:rsidRPr="00801C27">
        <w:rPr>
          <w:rFonts w:ascii="Times New Roman" w:eastAsia="Times New Roman" w:hAnsi="Times New Roman" w:cs="Times New Roman"/>
          <w:sz w:val="24"/>
          <w:szCs w:val="24"/>
        </w:rPr>
        <w:t>g access by attending their first session with an IAPT therapist;</w:t>
      </w:r>
      <w:r w:rsidR="00184428">
        <w:rPr>
          <w:rFonts w:ascii="Times New Roman" w:eastAsia="Times New Roman" w:hAnsi="Times New Roman" w:cs="Times New Roman"/>
          <w:sz w:val="24"/>
          <w:szCs w:val="24"/>
        </w:rPr>
        <w:t xml:space="preserve"> </w:t>
      </w:r>
      <w:r w:rsidR="00471FA3">
        <w:rPr>
          <w:rFonts w:ascii="Times New Roman" w:eastAsia="Times New Roman" w:hAnsi="Times New Roman" w:cs="Times New Roman"/>
          <w:sz w:val="24"/>
          <w:szCs w:val="24"/>
        </w:rPr>
        <w:t>t</w:t>
      </w:r>
      <w:r w:rsidR="00471FA3" w:rsidRPr="00801C27">
        <w:rPr>
          <w:rFonts w:ascii="Times New Roman" w:eastAsia="Times New Roman" w:hAnsi="Times New Roman" w:cs="Times New Roman"/>
          <w:sz w:val="24"/>
          <w:szCs w:val="24"/>
        </w:rPr>
        <w:t xml:space="preserve">reatment </w:t>
      </w:r>
      <w:r w:rsidR="00471FA3">
        <w:rPr>
          <w:rFonts w:ascii="Times New Roman" w:eastAsia="Times New Roman" w:hAnsi="Times New Roman" w:cs="Times New Roman"/>
          <w:sz w:val="24"/>
          <w:szCs w:val="24"/>
        </w:rPr>
        <w:t xml:space="preserve">engagement </w:t>
      </w:r>
      <w:r w:rsidR="00471FA3" w:rsidRPr="00801C27">
        <w:rPr>
          <w:rFonts w:ascii="Times New Roman" w:eastAsia="Times New Roman" w:hAnsi="Times New Roman" w:cs="Times New Roman"/>
          <w:sz w:val="24"/>
          <w:szCs w:val="24"/>
        </w:rPr>
        <w:t xml:space="preserve">by </w:t>
      </w:r>
      <w:r w:rsidR="00471FA3">
        <w:rPr>
          <w:rFonts w:ascii="Times New Roman" w:eastAsia="Times New Roman" w:hAnsi="Times New Roman" w:cs="Times New Roman"/>
          <w:sz w:val="24"/>
          <w:szCs w:val="24"/>
        </w:rPr>
        <w:t>attending at</w:t>
      </w:r>
      <w:r w:rsidR="00471FA3" w:rsidRPr="00801C27">
        <w:rPr>
          <w:rFonts w:ascii="Times New Roman" w:eastAsia="Times New Roman" w:hAnsi="Times New Roman" w:cs="Times New Roman"/>
          <w:sz w:val="24"/>
          <w:szCs w:val="24"/>
        </w:rPr>
        <w:t xml:space="preserve"> least one further session</w:t>
      </w:r>
      <w:r w:rsidRPr="00801C27">
        <w:rPr>
          <w:rFonts w:ascii="Times New Roman" w:eastAsia="Times New Roman" w:hAnsi="Times New Roman" w:cs="Times New Roman"/>
          <w:sz w:val="24"/>
          <w:szCs w:val="24"/>
        </w:rPr>
        <w:t xml:space="preserve">; and those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in both the PHQ-9 and the GAD-7.  We calculated the proportions of those </w:t>
      </w:r>
      <w:r>
        <w:rPr>
          <w:rFonts w:ascii="Times New Roman" w:eastAsia="Times New Roman" w:hAnsi="Times New Roman" w:cs="Times New Roman"/>
          <w:sz w:val="24"/>
          <w:szCs w:val="24"/>
        </w:rPr>
        <w:t>estimated to have CMHPs</w:t>
      </w:r>
      <w:r w:rsidRPr="00801C27">
        <w:rPr>
          <w:rFonts w:ascii="Times New Roman" w:eastAsia="Times New Roman" w:hAnsi="Times New Roman" w:cs="Times New Roman"/>
          <w:sz w:val="24"/>
          <w:szCs w:val="24"/>
        </w:rPr>
        <w:t xml:space="preserve"> being referred to I</w:t>
      </w:r>
      <w:r w:rsidR="00F1200B">
        <w:rPr>
          <w:rFonts w:ascii="Times New Roman" w:eastAsia="Times New Roman" w:hAnsi="Times New Roman" w:cs="Times New Roman"/>
          <w:sz w:val="24"/>
          <w:szCs w:val="24"/>
        </w:rPr>
        <w:t>APT; obtaining</w:t>
      </w:r>
      <w:r w:rsidRPr="00801C27">
        <w:rPr>
          <w:rFonts w:ascii="Times New Roman" w:eastAsia="Times New Roman" w:hAnsi="Times New Roman" w:cs="Times New Roman"/>
          <w:sz w:val="24"/>
          <w:szCs w:val="24"/>
        </w:rPr>
        <w:t xml:space="preserve"> access by attending their first session with an IAPT therapist; </w:t>
      </w:r>
      <w:r w:rsidR="00471FA3">
        <w:rPr>
          <w:rFonts w:ascii="Times New Roman" w:eastAsia="Times New Roman" w:hAnsi="Times New Roman" w:cs="Times New Roman"/>
          <w:sz w:val="24"/>
          <w:szCs w:val="24"/>
        </w:rPr>
        <w:t>t</w:t>
      </w:r>
      <w:r w:rsidR="00471FA3" w:rsidRPr="00801C27">
        <w:rPr>
          <w:rFonts w:ascii="Times New Roman" w:eastAsia="Times New Roman" w:hAnsi="Times New Roman" w:cs="Times New Roman"/>
          <w:sz w:val="24"/>
          <w:szCs w:val="24"/>
        </w:rPr>
        <w:t xml:space="preserve">reatment </w:t>
      </w:r>
      <w:r w:rsidR="00471FA3">
        <w:rPr>
          <w:rFonts w:ascii="Times New Roman" w:eastAsia="Times New Roman" w:hAnsi="Times New Roman" w:cs="Times New Roman"/>
          <w:sz w:val="24"/>
          <w:szCs w:val="24"/>
        </w:rPr>
        <w:t xml:space="preserve">engagement </w:t>
      </w:r>
      <w:r w:rsidR="00471FA3" w:rsidRPr="00801C27">
        <w:rPr>
          <w:rFonts w:ascii="Times New Roman" w:eastAsia="Times New Roman" w:hAnsi="Times New Roman" w:cs="Times New Roman"/>
          <w:sz w:val="24"/>
          <w:szCs w:val="24"/>
        </w:rPr>
        <w:t xml:space="preserve">by </w:t>
      </w:r>
      <w:r w:rsidR="00471FA3">
        <w:rPr>
          <w:rFonts w:ascii="Times New Roman" w:eastAsia="Times New Roman" w:hAnsi="Times New Roman" w:cs="Times New Roman"/>
          <w:sz w:val="24"/>
          <w:szCs w:val="24"/>
        </w:rPr>
        <w:t>attending at</w:t>
      </w:r>
      <w:r w:rsidR="00471FA3" w:rsidRPr="00801C27">
        <w:rPr>
          <w:rFonts w:ascii="Times New Roman" w:eastAsia="Times New Roman" w:hAnsi="Times New Roman" w:cs="Times New Roman"/>
          <w:sz w:val="24"/>
          <w:szCs w:val="24"/>
        </w:rPr>
        <w:t xml:space="preserve"> least one further session</w:t>
      </w:r>
      <w:r w:rsidRPr="00801C27">
        <w:rPr>
          <w:rFonts w:ascii="Times New Roman" w:eastAsia="Times New Roman" w:hAnsi="Times New Roman" w:cs="Times New Roman"/>
          <w:sz w:val="24"/>
          <w:szCs w:val="24"/>
        </w:rPr>
        <w:t xml:space="preserve">; and those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We then calculated the proportions of </w:t>
      </w:r>
      <w:r>
        <w:rPr>
          <w:rFonts w:ascii="Times New Roman" w:eastAsia="Times New Roman" w:hAnsi="Times New Roman" w:cs="Times New Roman"/>
          <w:sz w:val="24"/>
          <w:szCs w:val="24"/>
        </w:rPr>
        <w:t xml:space="preserve">referred </w:t>
      </w:r>
      <w:r w:rsidR="00F1200B">
        <w:rPr>
          <w:rFonts w:ascii="Times New Roman" w:eastAsia="Times New Roman" w:hAnsi="Times New Roman" w:cs="Times New Roman"/>
          <w:sz w:val="24"/>
          <w:szCs w:val="24"/>
        </w:rPr>
        <w:t>patients obtaining</w:t>
      </w:r>
      <w:r w:rsidRPr="00801C27">
        <w:rPr>
          <w:rFonts w:ascii="Times New Roman" w:eastAsia="Times New Roman" w:hAnsi="Times New Roman" w:cs="Times New Roman"/>
          <w:sz w:val="24"/>
          <w:szCs w:val="24"/>
        </w:rPr>
        <w:t xml:space="preserve"> access; </w:t>
      </w:r>
      <w:r w:rsidR="00471FA3">
        <w:rPr>
          <w:rFonts w:ascii="Times New Roman" w:eastAsia="Times New Roman" w:hAnsi="Times New Roman" w:cs="Times New Roman"/>
          <w:sz w:val="24"/>
          <w:szCs w:val="24"/>
        </w:rPr>
        <w:t>t</w:t>
      </w:r>
      <w:r w:rsidR="00184428" w:rsidRPr="00801C27">
        <w:rPr>
          <w:rFonts w:ascii="Times New Roman" w:eastAsia="Times New Roman" w:hAnsi="Times New Roman" w:cs="Times New Roman"/>
          <w:sz w:val="24"/>
          <w:szCs w:val="24"/>
        </w:rPr>
        <w:t xml:space="preserve">reatment </w:t>
      </w:r>
      <w:r w:rsidR="00471FA3">
        <w:rPr>
          <w:rFonts w:ascii="Times New Roman" w:eastAsia="Times New Roman" w:hAnsi="Times New Roman" w:cs="Times New Roman"/>
          <w:sz w:val="24"/>
          <w:szCs w:val="24"/>
        </w:rPr>
        <w:t xml:space="preserve">engagement </w:t>
      </w:r>
      <w:r w:rsidR="00184428" w:rsidRPr="00801C27">
        <w:rPr>
          <w:rFonts w:ascii="Times New Roman" w:eastAsia="Times New Roman" w:hAnsi="Times New Roman" w:cs="Times New Roman"/>
          <w:sz w:val="24"/>
          <w:szCs w:val="24"/>
        </w:rPr>
        <w:t xml:space="preserve">by </w:t>
      </w:r>
      <w:r w:rsidR="00471FA3">
        <w:rPr>
          <w:rFonts w:ascii="Times New Roman" w:eastAsia="Times New Roman" w:hAnsi="Times New Roman" w:cs="Times New Roman"/>
          <w:sz w:val="24"/>
          <w:szCs w:val="24"/>
        </w:rPr>
        <w:t>attending at</w:t>
      </w:r>
      <w:r w:rsidR="00184428" w:rsidRPr="00801C27">
        <w:rPr>
          <w:rFonts w:ascii="Times New Roman" w:eastAsia="Times New Roman" w:hAnsi="Times New Roman" w:cs="Times New Roman"/>
          <w:sz w:val="24"/>
          <w:szCs w:val="24"/>
        </w:rPr>
        <w:t xml:space="preserve"> least one further session</w:t>
      </w:r>
      <w:r w:rsidRPr="00801C27">
        <w:rPr>
          <w:rFonts w:ascii="Times New Roman" w:eastAsia="Times New Roman" w:hAnsi="Times New Roman" w:cs="Times New Roman"/>
          <w:sz w:val="24"/>
          <w:szCs w:val="24"/>
        </w:rPr>
        <w:t>; and those achieving MCID. MCID w</w:t>
      </w:r>
      <w:r w:rsidR="00BA5438">
        <w:rPr>
          <w:rFonts w:ascii="Times New Roman" w:eastAsia="Times New Roman" w:hAnsi="Times New Roman" w:cs="Times New Roman"/>
          <w:sz w:val="24"/>
          <w:szCs w:val="24"/>
        </w:rPr>
        <w:t>as</w:t>
      </w:r>
      <w:r w:rsidRPr="00801C27">
        <w:rPr>
          <w:rFonts w:ascii="Times New Roman" w:eastAsia="Times New Roman" w:hAnsi="Times New Roman" w:cs="Times New Roman"/>
          <w:sz w:val="24"/>
          <w:szCs w:val="24"/>
        </w:rPr>
        <w:t xml:space="preserve"> also shown as a proportion of those with two or more treatment sessions.</w:t>
      </w:r>
    </w:p>
    <w:p w14:paraId="6C9E6C10" w14:textId="77777777" w:rsidR="005463F3" w:rsidRPr="00801C27" w:rsidRDefault="005463F3" w:rsidP="005463F3">
      <w:pPr>
        <w:spacing w:after="0" w:line="360" w:lineRule="auto"/>
        <w:rPr>
          <w:rFonts w:ascii="Times New Roman" w:eastAsia="Times New Roman" w:hAnsi="Times New Roman" w:cs="Times New Roman"/>
          <w:sz w:val="24"/>
          <w:szCs w:val="24"/>
        </w:rPr>
      </w:pPr>
    </w:p>
    <w:p w14:paraId="14A4973A" w14:textId="44D8E05E" w:rsidR="005463F3" w:rsidRDefault="005463F3" w:rsidP="005463F3">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lastRenderedPageBreak/>
        <w:t>To calculate</w:t>
      </w:r>
      <w:r w:rsidR="0036219B">
        <w:rPr>
          <w:rFonts w:ascii="Times New Roman" w:eastAsia="Times New Roman" w:hAnsi="Times New Roman" w:cs="Times New Roman"/>
          <w:sz w:val="24"/>
          <w:szCs w:val="24"/>
        </w:rPr>
        <w:t xml:space="preserve"> the</w:t>
      </w:r>
      <w:r w:rsidRPr="00801C27">
        <w:rPr>
          <w:rFonts w:ascii="Times New Roman" w:eastAsia="Times New Roman" w:hAnsi="Times New Roman" w:cs="Times New Roman"/>
          <w:sz w:val="24"/>
          <w:szCs w:val="24"/>
        </w:rPr>
        <w:t xml:space="preserve"> </w:t>
      </w:r>
      <w:r w:rsidR="0036219B">
        <w:rPr>
          <w:rFonts w:ascii="Times New Roman" w:eastAsia="Times New Roman" w:hAnsi="Times New Roman" w:cs="Times New Roman"/>
          <w:sz w:val="24"/>
          <w:szCs w:val="24"/>
        </w:rPr>
        <w:t xml:space="preserve">MCID </w:t>
      </w:r>
      <w:r w:rsidRPr="00801C27">
        <w:rPr>
          <w:rFonts w:ascii="Times New Roman" w:eastAsia="Times New Roman" w:hAnsi="Times New Roman" w:cs="Times New Roman"/>
          <w:sz w:val="24"/>
          <w:szCs w:val="24"/>
        </w:rPr>
        <w:t xml:space="preserve">patients must have attended two or more (valid) clinical contacts and </w:t>
      </w:r>
      <w:r>
        <w:rPr>
          <w:rFonts w:ascii="Times New Roman" w:eastAsia="Times New Roman" w:hAnsi="Times New Roman" w:cs="Times New Roman"/>
          <w:sz w:val="24"/>
          <w:szCs w:val="24"/>
        </w:rPr>
        <w:t xml:space="preserve">improvement </w:t>
      </w:r>
      <w:r w:rsidRPr="00801C27">
        <w:rPr>
          <w:rFonts w:ascii="Times New Roman" w:eastAsia="Times New Roman" w:hAnsi="Times New Roman" w:cs="Times New Roman"/>
          <w:sz w:val="24"/>
          <w:szCs w:val="24"/>
        </w:rPr>
        <w:t xml:space="preserve">was measured by comparing final therapy session score with baseline session score on the following outcome measures. The </w:t>
      </w:r>
      <w:r w:rsidR="0036219B">
        <w:rPr>
          <w:rFonts w:ascii="Times New Roman" w:eastAsia="Times New Roman" w:hAnsi="Times New Roman" w:cs="Times New Roman"/>
          <w:sz w:val="24"/>
          <w:szCs w:val="24"/>
        </w:rPr>
        <w:t>MCID</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value for PHQ-9 is a reduction of 5 or more points</w:t>
      </w:r>
      <w:r w:rsidR="00471FA3">
        <w:rPr>
          <w:rFonts w:ascii="Times New Roman" w:eastAsia="Times New Roman" w:hAnsi="Times New Roman" w:cs="Times New Roman"/>
          <w:sz w:val="24"/>
          <w:szCs w:val="24"/>
        </w:rPr>
        <w:t xml:space="preserve"> between first and last session and</w:t>
      </w:r>
      <w:r w:rsidRPr="00801C27">
        <w:rPr>
          <w:rFonts w:ascii="Times New Roman" w:eastAsia="Times New Roman" w:hAnsi="Times New Roman" w:cs="Times New Roman"/>
          <w:sz w:val="24"/>
          <w:szCs w:val="24"/>
        </w:rPr>
        <w:t xml:space="preserve"> </w:t>
      </w:r>
      <w:r w:rsidR="00471FA3">
        <w:rPr>
          <w:rFonts w:ascii="Times New Roman" w:eastAsia="Times New Roman" w:hAnsi="Times New Roman" w:cs="Times New Roman"/>
          <w:sz w:val="24"/>
          <w:szCs w:val="24"/>
        </w:rPr>
        <w:t>f</w:t>
      </w:r>
      <w:r w:rsidRPr="00801C27">
        <w:rPr>
          <w:rFonts w:ascii="Times New Roman" w:eastAsia="Times New Roman" w:hAnsi="Times New Roman" w:cs="Times New Roman"/>
          <w:sz w:val="24"/>
          <w:szCs w:val="24"/>
        </w:rPr>
        <w:t>or GAD-7 it is a reduction of 4 or more points between first and last session</w:t>
      </w:r>
      <w:r w:rsidR="0026359D">
        <w:rPr>
          <w:rFonts w:ascii="Times New Roman" w:eastAsia="Times New Roman" w:hAnsi="Times New Roman" w:cs="Times New Roman"/>
          <w:sz w:val="24"/>
          <w:szCs w:val="24"/>
        </w:rPr>
        <w:t>[20]</w:t>
      </w:r>
      <w:r w:rsidRPr="008F3334">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The proportion achieving the MCID in </w:t>
      </w:r>
      <w:r w:rsidR="0036219B">
        <w:rPr>
          <w:rFonts w:ascii="Times New Roman" w:eastAsia="Times New Roman" w:hAnsi="Times New Roman" w:cs="Times New Roman"/>
          <w:sz w:val="24"/>
          <w:szCs w:val="24"/>
        </w:rPr>
        <w:t xml:space="preserve">both </w:t>
      </w:r>
      <w:r w:rsidRPr="00801C27">
        <w:rPr>
          <w:rFonts w:ascii="Times New Roman" w:eastAsia="Times New Roman" w:hAnsi="Times New Roman" w:cs="Times New Roman"/>
          <w:sz w:val="24"/>
          <w:szCs w:val="24"/>
        </w:rPr>
        <w:t>PHQ-9 and GAD-7 by those with more than two therapy sessions in each age group was then calculated.</w:t>
      </w:r>
    </w:p>
    <w:p w14:paraId="094A57D4" w14:textId="77777777" w:rsidR="00B61C80" w:rsidRPr="00801C27" w:rsidRDefault="00B61C80" w:rsidP="004048D3">
      <w:pPr>
        <w:spacing w:after="0" w:line="360" w:lineRule="auto"/>
        <w:rPr>
          <w:rFonts w:ascii="Times New Roman" w:eastAsia="Times New Roman" w:hAnsi="Times New Roman" w:cs="Times New Roman"/>
          <w:b/>
          <w:sz w:val="24"/>
          <w:szCs w:val="24"/>
        </w:rPr>
      </w:pPr>
    </w:p>
    <w:p w14:paraId="041805A2" w14:textId="75A9798D" w:rsidR="00CC32AB" w:rsidRDefault="000B5C54" w:rsidP="00CC32A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2299B56C" w14:textId="77777777" w:rsidR="00843307" w:rsidRPr="00801C27" w:rsidRDefault="00843307" w:rsidP="00CC32AB">
      <w:pPr>
        <w:spacing w:after="0" w:line="360" w:lineRule="auto"/>
        <w:rPr>
          <w:rFonts w:ascii="Times New Roman" w:eastAsia="Times New Roman" w:hAnsi="Times New Roman" w:cs="Times New Roman"/>
          <w:b/>
          <w:sz w:val="24"/>
          <w:szCs w:val="24"/>
        </w:rPr>
      </w:pPr>
    </w:p>
    <w:p w14:paraId="289CD25F" w14:textId="3E306B04" w:rsidR="00CC32AB" w:rsidRPr="00801C27" w:rsidRDefault="00CC32AB" w:rsidP="00CC32AB">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There were 82,513 treatment episodes recorded across the 13 IAPT services in the South West of England. The number of people in each age group in the study area is shown in table one along with the estimated number of people with CMHPs</w:t>
      </w:r>
      <w:r w:rsidR="00471FA3">
        <w:rPr>
          <w:rFonts w:ascii="Times New Roman" w:eastAsia="Times New Roman" w:hAnsi="Times New Roman" w:cs="Times New Roman"/>
          <w:sz w:val="24"/>
          <w:szCs w:val="24"/>
        </w:rPr>
        <w:t xml:space="preserve"> and</w:t>
      </w:r>
      <w:r w:rsidRPr="00801C27">
        <w:rPr>
          <w:rFonts w:ascii="Times New Roman" w:eastAsia="Times New Roman" w:hAnsi="Times New Roman" w:cs="Times New Roman"/>
          <w:sz w:val="24"/>
          <w:szCs w:val="24"/>
        </w:rPr>
        <w:t xml:space="preserve"> the numbers of people referred to IAPT services, attending at least one session with an IAPT practitioner, </w:t>
      </w:r>
      <w:r w:rsidR="00471FA3">
        <w:rPr>
          <w:rFonts w:ascii="Times New Roman" w:eastAsia="Times New Roman" w:hAnsi="Times New Roman" w:cs="Times New Roman"/>
          <w:sz w:val="24"/>
          <w:szCs w:val="24"/>
        </w:rPr>
        <w:t>uptake of</w:t>
      </w:r>
      <w:r w:rsidR="00471FA3" w:rsidRPr="00801C27">
        <w:rPr>
          <w:rFonts w:ascii="Times New Roman" w:eastAsia="Times New Roman" w:hAnsi="Times New Roman" w:cs="Times New Roman"/>
          <w:sz w:val="24"/>
          <w:szCs w:val="24"/>
        </w:rPr>
        <w:t xml:space="preserve"> treatment by at least one further session</w:t>
      </w:r>
      <w:r w:rsidRPr="00801C27">
        <w:rPr>
          <w:rFonts w:ascii="Times New Roman" w:eastAsia="Times New Roman" w:hAnsi="Times New Roman" w:cs="Times New Roman"/>
          <w:sz w:val="24"/>
          <w:szCs w:val="24"/>
        </w:rPr>
        <w:t xml:space="preserve"> and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The numbers are also expressed as proportions of estimated prevalence, of referrals and of those seen.</w:t>
      </w:r>
    </w:p>
    <w:p w14:paraId="233F5B08" w14:textId="77777777" w:rsidR="00CC32AB" w:rsidRPr="00801C27" w:rsidRDefault="00CC32AB" w:rsidP="00CC32AB">
      <w:pPr>
        <w:spacing w:after="0" w:line="360" w:lineRule="auto"/>
        <w:rPr>
          <w:rFonts w:ascii="Times New Roman" w:eastAsia="Times New Roman" w:hAnsi="Times New Roman" w:cs="Times New Roman"/>
          <w:sz w:val="24"/>
          <w:szCs w:val="24"/>
        </w:rPr>
      </w:pPr>
    </w:p>
    <w:p w14:paraId="5094178C" w14:textId="58A4AF1B" w:rsidR="0003405C" w:rsidRDefault="00CC32AB" w:rsidP="00AD71B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Estimated prevalence of CMHPs peaks in 45-49 year olds (20.5</w:t>
      </w:r>
      <w:r w:rsidR="00835585">
        <w:rPr>
          <w:rFonts w:ascii="Times New Roman" w:eastAsia="Times New Roman" w:hAnsi="Times New Roman" w:cs="Times New Roman"/>
          <w:sz w:val="24"/>
          <w:szCs w:val="24"/>
        </w:rPr>
        <w:t>9</w:t>
      </w:r>
      <w:r w:rsidRPr="00801C27">
        <w:rPr>
          <w:rFonts w:ascii="Times New Roman" w:eastAsia="Times New Roman" w:hAnsi="Times New Roman" w:cs="Times New Roman"/>
          <w:sz w:val="24"/>
          <w:szCs w:val="24"/>
        </w:rPr>
        <w:t>%), with lowest estimated prevalence in 70-74 year olds (9.47%)</w:t>
      </w:r>
      <w:r>
        <w:rPr>
          <w:rFonts w:ascii="Times New Roman" w:eastAsia="Times New Roman" w:hAnsi="Times New Roman" w:cs="Times New Roman"/>
          <w:sz w:val="24"/>
          <w:szCs w:val="24"/>
        </w:rPr>
        <w:t xml:space="preserve">. Referral rates as </w:t>
      </w:r>
      <w:r w:rsidR="00835585">
        <w:rPr>
          <w:rFonts w:ascii="Times New Roman" w:eastAsia="Times New Roman" w:hAnsi="Times New Roman" w:cs="Times New Roman"/>
          <w:sz w:val="24"/>
          <w:szCs w:val="24"/>
        </w:rPr>
        <w:t>a proportion of CMHPs peak in 20</w:t>
      </w:r>
      <w:r>
        <w:rPr>
          <w:rFonts w:ascii="Times New Roman" w:eastAsia="Times New Roman" w:hAnsi="Times New Roman" w:cs="Times New Roman"/>
          <w:sz w:val="24"/>
          <w:szCs w:val="24"/>
        </w:rPr>
        <w:t>-2</w:t>
      </w:r>
      <w:r w:rsidR="0083558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year olds (22.95%) and then decreases from this point until 74 years of age (6.</w:t>
      </w:r>
      <w:r w:rsidR="0083558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Attendance rates as a proportion of </w:t>
      </w:r>
      <w:r w:rsidR="00835585">
        <w:rPr>
          <w:rFonts w:ascii="Times New Roman" w:eastAsia="Times New Roman" w:hAnsi="Times New Roman" w:cs="Times New Roman"/>
          <w:sz w:val="24"/>
          <w:szCs w:val="24"/>
        </w:rPr>
        <w:t>referrals</w:t>
      </w:r>
      <w:r>
        <w:rPr>
          <w:rFonts w:ascii="Times New Roman" w:eastAsia="Times New Roman" w:hAnsi="Times New Roman" w:cs="Times New Roman"/>
          <w:sz w:val="24"/>
          <w:szCs w:val="24"/>
        </w:rPr>
        <w:t xml:space="preserve"> peak in </w:t>
      </w:r>
      <w:r w:rsidR="00835585">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r w:rsidR="00835585">
        <w:rPr>
          <w:rFonts w:ascii="Times New Roman" w:eastAsia="Times New Roman" w:hAnsi="Times New Roman" w:cs="Times New Roman"/>
          <w:sz w:val="24"/>
          <w:szCs w:val="24"/>
        </w:rPr>
        <w:t>64</w:t>
      </w:r>
      <w:r>
        <w:rPr>
          <w:rFonts w:ascii="Times New Roman" w:eastAsia="Times New Roman" w:hAnsi="Times New Roman" w:cs="Times New Roman"/>
          <w:sz w:val="24"/>
          <w:szCs w:val="24"/>
        </w:rPr>
        <w:t xml:space="preserve"> year olds (</w:t>
      </w:r>
      <w:r w:rsidR="00835585">
        <w:rPr>
          <w:rFonts w:ascii="Times New Roman" w:eastAsia="Times New Roman" w:hAnsi="Times New Roman" w:cs="Times New Roman"/>
          <w:sz w:val="24"/>
          <w:szCs w:val="24"/>
        </w:rPr>
        <w:t>79.97</w:t>
      </w:r>
      <w:r>
        <w:rPr>
          <w:rFonts w:ascii="Times New Roman" w:eastAsia="Times New Roman" w:hAnsi="Times New Roman" w:cs="Times New Roman"/>
          <w:sz w:val="24"/>
          <w:szCs w:val="24"/>
        </w:rPr>
        <w:t>%) wi</w:t>
      </w:r>
      <w:r w:rsidR="00835585">
        <w:rPr>
          <w:rFonts w:ascii="Times New Roman" w:eastAsia="Times New Roman" w:hAnsi="Times New Roman" w:cs="Times New Roman"/>
          <w:sz w:val="24"/>
          <w:szCs w:val="24"/>
        </w:rPr>
        <w:t>th lowest attendance rates in 20-2</w:t>
      </w:r>
      <w:r>
        <w:rPr>
          <w:rFonts w:ascii="Times New Roman" w:eastAsia="Times New Roman" w:hAnsi="Times New Roman" w:cs="Times New Roman"/>
          <w:sz w:val="24"/>
          <w:szCs w:val="24"/>
        </w:rPr>
        <w:t>4 year olds (</w:t>
      </w:r>
      <w:r w:rsidR="00835585">
        <w:rPr>
          <w:rFonts w:ascii="Times New Roman" w:eastAsia="Times New Roman" w:hAnsi="Times New Roman" w:cs="Times New Roman"/>
          <w:sz w:val="24"/>
          <w:szCs w:val="24"/>
        </w:rPr>
        <w:t>57.34%). For those with two or more treatment sessions</w:t>
      </w:r>
      <w:r>
        <w:rPr>
          <w:rFonts w:ascii="Times New Roman" w:eastAsia="Times New Roman" w:hAnsi="Times New Roman" w:cs="Times New Roman"/>
          <w:sz w:val="24"/>
          <w:szCs w:val="24"/>
        </w:rPr>
        <w:t xml:space="preserve">, </w:t>
      </w:r>
      <w:r w:rsidR="00835585">
        <w:rPr>
          <w:rFonts w:ascii="Times New Roman" w:eastAsia="Times New Roman" w:hAnsi="Times New Roman" w:cs="Times New Roman"/>
          <w:sz w:val="24"/>
          <w:szCs w:val="24"/>
        </w:rPr>
        <w:t>there is</w:t>
      </w:r>
      <w:r>
        <w:rPr>
          <w:rFonts w:ascii="Times New Roman" w:eastAsia="Times New Roman" w:hAnsi="Times New Roman" w:cs="Times New Roman"/>
          <w:sz w:val="24"/>
          <w:szCs w:val="24"/>
        </w:rPr>
        <w:t xml:space="preserve"> a peak in</w:t>
      </w:r>
      <w:r w:rsidR="00835585">
        <w:rPr>
          <w:rFonts w:ascii="Times New Roman" w:eastAsia="Times New Roman" w:hAnsi="Times New Roman" w:cs="Times New Roman"/>
          <w:sz w:val="24"/>
          <w:szCs w:val="24"/>
        </w:rPr>
        <w:t xml:space="preserve"> </w:t>
      </w:r>
      <w:r w:rsidR="00BA5438">
        <w:rPr>
          <w:rFonts w:ascii="Times New Roman" w:eastAsia="Times New Roman" w:hAnsi="Times New Roman" w:cs="Times New Roman"/>
          <w:sz w:val="24"/>
          <w:szCs w:val="24"/>
        </w:rPr>
        <w:t>MCID</w:t>
      </w:r>
      <w:r>
        <w:rPr>
          <w:rFonts w:ascii="Times New Roman" w:eastAsia="Times New Roman" w:hAnsi="Times New Roman" w:cs="Times New Roman"/>
          <w:sz w:val="24"/>
          <w:szCs w:val="24"/>
        </w:rPr>
        <w:t xml:space="preserve"> </w:t>
      </w:r>
      <w:r w:rsidR="00835585">
        <w:rPr>
          <w:rFonts w:ascii="Times New Roman" w:eastAsia="Times New Roman" w:hAnsi="Times New Roman" w:cs="Times New Roman"/>
          <w:sz w:val="24"/>
          <w:szCs w:val="24"/>
        </w:rPr>
        <w:t>in 65 – 69 year olds (46.17</w:t>
      </w:r>
      <w:r>
        <w:rPr>
          <w:rFonts w:ascii="Times New Roman" w:eastAsia="Times New Roman" w:hAnsi="Times New Roman" w:cs="Times New Roman"/>
          <w:sz w:val="24"/>
          <w:szCs w:val="24"/>
        </w:rPr>
        <w:t>%) wit</w:t>
      </w:r>
      <w:r w:rsidR="00835585">
        <w:rPr>
          <w:rFonts w:ascii="Times New Roman" w:eastAsia="Times New Roman" w:hAnsi="Times New Roman" w:cs="Times New Roman"/>
          <w:sz w:val="24"/>
          <w:szCs w:val="24"/>
        </w:rPr>
        <w:t>h lowest improvement rates in 20-2</w:t>
      </w:r>
      <w:r>
        <w:rPr>
          <w:rFonts w:ascii="Times New Roman" w:eastAsia="Times New Roman" w:hAnsi="Times New Roman" w:cs="Times New Roman"/>
          <w:sz w:val="24"/>
          <w:szCs w:val="24"/>
        </w:rPr>
        <w:t>4 year olds (</w:t>
      </w:r>
      <w:r w:rsidR="00835585">
        <w:rPr>
          <w:rFonts w:ascii="Times New Roman" w:eastAsia="Times New Roman" w:hAnsi="Times New Roman" w:cs="Times New Roman"/>
          <w:sz w:val="24"/>
          <w:szCs w:val="24"/>
        </w:rPr>
        <w:t>37.08</w:t>
      </w:r>
      <w:r>
        <w:rPr>
          <w:rFonts w:ascii="Times New Roman" w:eastAsia="Times New Roman" w:hAnsi="Times New Roman" w:cs="Times New Roman"/>
          <w:sz w:val="24"/>
          <w:szCs w:val="24"/>
        </w:rPr>
        <w:t xml:space="preserve">%). Further detail can be found in table one. </w:t>
      </w:r>
    </w:p>
    <w:p w14:paraId="5C58474D" w14:textId="77777777" w:rsidR="0003405C" w:rsidRDefault="0003405C" w:rsidP="00AD71B2">
      <w:pPr>
        <w:spacing w:after="0" w:line="360" w:lineRule="auto"/>
        <w:rPr>
          <w:rFonts w:ascii="Times New Roman" w:eastAsia="Times New Roman" w:hAnsi="Times New Roman" w:cs="Times New Roman"/>
          <w:sz w:val="24"/>
          <w:szCs w:val="24"/>
        </w:rPr>
      </w:pPr>
    </w:p>
    <w:p w14:paraId="032B704A" w14:textId="77777777" w:rsidR="003A4B0D" w:rsidRDefault="00CC32AB" w:rsidP="003A4B0D">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The proportions of the po</w:t>
      </w:r>
      <w:r w:rsidR="00F1200B">
        <w:rPr>
          <w:rFonts w:ascii="Times New Roman" w:eastAsia="Times New Roman" w:hAnsi="Times New Roman" w:cs="Times New Roman"/>
          <w:sz w:val="24"/>
          <w:szCs w:val="24"/>
        </w:rPr>
        <w:t>pulation being referred, obtaining</w:t>
      </w:r>
      <w:r w:rsidRPr="00801C27">
        <w:rPr>
          <w:rFonts w:ascii="Times New Roman" w:eastAsia="Times New Roman" w:hAnsi="Times New Roman" w:cs="Times New Roman"/>
          <w:sz w:val="24"/>
          <w:szCs w:val="24"/>
        </w:rPr>
        <w:t xml:space="preserve"> access, </w:t>
      </w:r>
      <w:r w:rsidR="00471FA3">
        <w:rPr>
          <w:rFonts w:ascii="Times New Roman" w:eastAsia="Times New Roman" w:hAnsi="Times New Roman" w:cs="Times New Roman"/>
          <w:sz w:val="24"/>
          <w:szCs w:val="24"/>
        </w:rPr>
        <w:t xml:space="preserve">engaging with treatment </w:t>
      </w:r>
      <w:r w:rsidRPr="00801C27">
        <w:rPr>
          <w:rFonts w:ascii="Times New Roman" w:eastAsia="Times New Roman" w:hAnsi="Times New Roman" w:cs="Times New Roman"/>
          <w:sz w:val="24"/>
          <w:szCs w:val="24"/>
        </w:rPr>
        <w:t xml:space="preserve">and achieving </w:t>
      </w:r>
      <w:r w:rsidR="00BA5438">
        <w:rPr>
          <w:rFonts w:ascii="Times New Roman" w:eastAsia="Times New Roman" w:hAnsi="Times New Roman" w:cs="Times New Roman"/>
          <w:sz w:val="24"/>
          <w:szCs w:val="24"/>
        </w:rPr>
        <w:t>MCID</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each peak in 25-29 year olds and decline </w:t>
      </w:r>
      <w:r>
        <w:rPr>
          <w:rFonts w:ascii="Times New Roman" w:eastAsia="Times New Roman" w:hAnsi="Times New Roman" w:cs="Times New Roman"/>
          <w:sz w:val="24"/>
          <w:szCs w:val="24"/>
        </w:rPr>
        <w:t>thereafter</w:t>
      </w:r>
      <w:r w:rsidRPr="00801C27">
        <w:rPr>
          <w:rFonts w:ascii="Times New Roman" w:eastAsia="Times New Roman" w:hAnsi="Times New Roman" w:cs="Times New Roman"/>
          <w:sz w:val="24"/>
          <w:szCs w:val="24"/>
        </w:rPr>
        <w:t xml:space="preserve">, with lowest numbers for 70-74 year olds. Figure </w:t>
      </w:r>
      <w:r w:rsidR="00C75E1C">
        <w:rPr>
          <w:rFonts w:ascii="Times New Roman" w:eastAsia="Times New Roman" w:hAnsi="Times New Roman" w:cs="Times New Roman"/>
          <w:sz w:val="24"/>
          <w:szCs w:val="24"/>
        </w:rPr>
        <w:t xml:space="preserve">one </w:t>
      </w:r>
      <w:r w:rsidRPr="00801C27">
        <w:rPr>
          <w:rFonts w:ascii="Times New Roman" w:eastAsia="Times New Roman" w:hAnsi="Times New Roman" w:cs="Times New Roman"/>
          <w:sz w:val="24"/>
          <w:szCs w:val="24"/>
        </w:rPr>
        <w:t xml:space="preserve">shows the contrast graphically. Figure </w:t>
      </w:r>
      <w:r w:rsidR="00C75E1C">
        <w:rPr>
          <w:rFonts w:ascii="Times New Roman" w:eastAsia="Times New Roman" w:hAnsi="Times New Roman" w:cs="Times New Roman"/>
          <w:sz w:val="24"/>
          <w:szCs w:val="24"/>
        </w:rPr>
        <w:t>two</w:t>
      </w:r>
      <w:r w:rsidRPr="00801C27">
        <w:rPr>
          <w:rFonts w:ascii="Times New Roman" w:eastAsia="Times New Roman" w:hAnsi="Times New Roman" w:cs="Times New Roman"/>
          <w:sz w:val="24"/>
          <w:szCs w:val="24"/>
        </w:rPr>
        <w:t xml:space="preserve"> depicts a </w:t>
      </w:r>
      <w:r w:rsidRPr="00801C27">
        <w:rPr>
          <w:rFonts w:ascii="Times New Roman" w:eastAsia="Times New Roman" w:hAnsi="Times New Roman" w:cs="Times New Roman"/>
          <w:i/>
          <w:iCs/>
          <w:sz w:val="24"/>
          <w:szCs w:val="24"/>
        </w:rPr>
        <w:t>vertically</w:t>
      </w:r>
      <w:r w:rsidRPr="00801C27">
        <w:rPr>
          <w:rFonts w:ascii="Times New Roman" w:eastAsia="Times New Roman" w:hAnsi="Times New Roman" w:cs="Times New Roman"/>
          <w:sz w:val="24"/>
          <w:szCs w:val="24"/>
        </w:rPr>
        <w:t xml:space="preserve"> </w:t>
      </w:r>
      <w:r w:rsidRPr="00801C27">
        <w:rPr>
          <w:rFonts w:ascii="Times New Roman" w:eastAsia="Times New Roman" w:hAnsi="Times New Roman" w:cs="Times New Roman"/>
          <w:i/>
          <w:sz w:val="24"/>
          <w:szCs w:val="24"/>
        </w:rPr>
        <w:t>magnified</w:t>
      </w:r>
      <w:r w:rsidR="00C75E1C">
        <w:rPr>
          <w:rFonts w:ascii="Times New Roman" w:eastAsia="Times New Roman" w:hAnsi="Times New Roman" w:cs="Times New Roman"/>
          <w:sz w:val="24"/>
          <w:szCs w:val="24"/>
        </w:rPr>
        <w:t xml:space="preserve"> version of Figure one</w:t>
      </w:r>
      <w:r w:rsidRPr="00801C27">
        <w:rPr>
          <w:rFonts w:ascii="Times New Roman" w:eastAsia="Times New Roman" w:hAnsi="Times New Roman" w:cs="Times New Roman"/>
          <w:sz w:val="24"/>
          <w:szCs w:val="24"/>
        </w:rPr>
        <w:t xml:space="preserve"> showing the proportion</w:t>
      </w:r>
      <w:r w:rsidR="00F1200B">
        <w:rPr>
          <w:rFonts w:ascii="Times New Roman" w:eastAsia="Times New Roman" w:hAnsi="Times New Roman" w:cs="Times New Roman"/>
          <w:sz w:val="24"/>
          <w:szCs w:val="24"/>
        </w:rPr>
        <w:t xml:space="preserve"> of the population referred, obtai</w:t>
      </w:r>
      <w:r w:rsidRPr="00801C27">
        <w:rPr>
          <w:rFonts w:ascii="Times New Roman" w:eastAsia="Times New Roman" w:hAnsi="Times New Roman" w:cs="Times New Roman"/>
          <w:sz w:val="24"/>
          <w:szCs w:val="24"/>
        </w:rPr>
        <w:t xml:space="preserve">ning access, continuing with treatment and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from the total population.</w:t>
      </w:r>
      <w:r w:rsidR="003A4B0D">
        <w:rPr>
          <w:rFonts w:ascii="Times New Roman" w:eastAsia="Times New Roman" w:hAnsi="Times New Roman" w:cs="Times New Roman"/>
          <w:sz w:val="24"/>
          <w:szCs w:val="24"/>
        </w:rPr>
        <w:t xml:space="preserve"> </w:t>
      </w:r>
    </w:p>
    <w:p w14:paraId="171EC8C6" w14:textId="77777777" w:rsidR="003A4B0D" w:rsidRDefault="003A4B0D" w:rsidP="003A4B0D">
      <w:pPr>
        <w:spacing w:after="0" w:line="360" w:lineRule="auto"/>
        <w:rPr>
          <w:rFonts w:ascii="Times New Roman" w:eastAsia="Times New Roman" w:hAnsi="Times New Roman" w:cs="Times New Roman"/>
          <w:sz w:val="24"/>
          <w:szCs w:val="24"/>
        </w:rPr>
      </w:pPr>
    </w:p>
    <w:p w14:paraId="416D2A1F" w14:textId="13091D83" w:rsidR="00CC32AB" w:rsidRPr="00801C27" w:rsidRDefault="00C75E1C" w:rsidP="003A4B0D">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Access</w:t>
      </w:r>
      <w:r>
        <w:rPr>
          <w:rFonts w:ascii="Times New Roman" w:eastAsia="Times New Roman" w:hAnsi="Times New Roman" w:cs="Times New Roman"/>
          <w:sz w:val="24"/>
          <w:szCs w:val="24"/>
        </w:rPr>
        <w:t xml:space="preserve"> uptake</w:t>
      </w:r>
      <w:r w:rsidRPr="00801C27">
        <w:rPr>
          <w:rFonts w:ascii="Times New Roman" w:eastAsia="Times New Roman" w:hAnsi="Times New Roman" w:cs="Times New Roman"/>
          <w:sz w:val="24"/>
          <w:szCs w:val="24"/>
        </w:rPr>
        <w:t>, continued treatment and achieving MCID</w:t>
      </w:r>
      <w:r>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represented as a proportion of referrals is depicted in figure three. </w:t>
      </w:r>
      <w:r w:rsidR="00CC32AB" w:rsidRPr="00801C27">
        <w:rPr>
          <w:rFonts w:ascii="Times New Roman" w:eastAsia="Times New Roman" w:hAnsi="Times New Roman" w:cs="Times New Roman"/>
          <w:sz w:val="24"/>
          <w:szCs w:val="24"/>
        </w:rPr>
        <w:t>Of those refe</w:t>
      </w:r>
      <w:r w:rsidR="0003405C">
        <w:rPr>
          <w:rFonts w:ascii="Times New Roman" w:eastAsia="Times New Roman" w:hAnsi="Times New Roman" w:cs="Times New Roman"/>
          <w:sz w:val="24"/>
          <w:szCs w:val="24"/>
        </w:rPr>
        <w:t>rred: proportions of people obtaining</w:t>
      </w:r>
      <w:r w:rsidR="00CC32AB" w:rsidRPr="00801C27">
        <w:rPr>
          <w:rFonts w:ascii="Times New Roman" w:eastAsia="Times New Roman" w:hAnsi="Times New Roman" w:cs="Times New Roman"/>
          <w:sz w:val="24"/>
          <w:szCs w:val="24"/>
        </w:rPr>
        <w:t xml:space="preserve"> access increases until 64 years (7</w:t>
      </w:r>
      <w:r w:rsidR="0003405C">
        <w:rPr>
          <w:rFonts w:ascii="Times New Roman" w:eastAsia="Times New Roman" w:hAnsi="Times New Roman" w:cs="Times New Roman"/>
          <w:sz w:val="24"/>
          <w:szCs w:val="24"/>
        </w:rPr>
        <w:t>6.97</w:t>
      </w:r>
      <w:r w:rsidR="00CC32AB" w:rsidRPr="00801C27">
        <w:rPr>
          <w:rFonts w:ascii="Times New Roman" w:eastAsia="Times New Roman" w:hAnsi="Times New Roman" w:cs="Times New Roman"/>
          <w:sz w:val="24"/>
          <w:szCs w:val="24"/>
        </w:rPr>
        <w:t xml:space="preserve">%); proportions of people </w:t>
      </w:r>
      <w:r w:rsidR="00471FA3">
        <w:rPr>
          <w:rFonts w:ascii="Times New Roman" w:eastAsia="Times New Roman" w:hAnsi="Times New Roman" w:cs="Times New Roman"/>
          <w:sz w:val="24"/>
          <w:szCs w:val="24"/>
        </w:rPr>
        <w:t>w</w:t>
      </w:r>
      <w:r w:rsidR="00CC32AB" w:rsidRPr="00801C27">
        <w:rPr>
          <w:rFonts w:ascii="Times New Roman" w:eastAsia="Times New Roman" w:hAnsi="Times New Roman" w:cs="Times New Roman"/>
          <w:sz w:val="24"/>
          <w:szCs w:val="24"/>
        </w:rPr>
        <w:t xml:space="preserve">ith </w:t>
      </w:r>
      <w:r w:rsidR="00471FA3">
        <w:rPr>
          <w:rFonts w:ascii="Times New Roman" w:eastAsia="Times New Roman" w:hAnsi="Times New Roman" w:cs="Times New Roman"/>
          <w:sz w:val="24"/>
          <w:szCs w:val="24"/>
        </w:rPr>
        <w:t xml:space="preserve">2+ </w:t>
      </w:r>
      <w:r w:rsidR="00CC32AB" w:rsidRPr="00801C27">
        <w:rPr>
          <w:rFonts w:ascii="Times New Roman" w:eastAsia="Times New Roman" w:hAnsi="Times New Roman" w:cs="Times New Roman"/>
          <w:sz w:val="24"/>
          <w:szCs w:val="24"/>
        </w:rPr>
        <w:t>treatment</w:t>
      </w:r>
      <w:r w:rsidR="00471FA3">
        <w:rPr>
          <w:rFonts w:ascii="Times New Roman" w:eastAsia="Times New Roman" w:hAnsi="Times New Roman" w:cs="Times New Roman"/>
          <w:sz w:val="24"/>
          <w:szCs w:val="24"/>
        </w:rPr>
        <w:t xml:space="preserve"> sessions</w:t>
      </w:r>
      <w:r w:rsidR="0003405C">
        <w:rPr>
          <w:rFonts w:ascii="Times New Roman" w:eastAsia="Times New Roman" w:hAnsi="Times New Roman" w:cs="Times New Roman"/>
          <w:sz w:val="24"/>
          <w:szCs w:val="24"/>
        </w:rPr>
        <w:t xml:space="preserve"> increases until 59 years (</w:t>
      </w:r>
      <w:r w:rsidR="00CC32AB" w:rsidRPr="00801C27">
        <w:rPr>
          <w:rFonts w:ascii="Times New Roman" w:eastAsia="Times New Roman" w:hAnsi="Times New Roman" w:cs="Times New Roman"/>
          <w:sz w:val="24"/>
          <w:szCs w:val="24"/>
        </w:rPr>
        <w:t>3</w:t>
      </w:r>
      <w:r w:rsidR="0003405C">
        <w:rPr>
          <w:rFonts w:ascii="Times New Roman" w:eastAsia="Times New Roman" w:hAnsi="Times New Roman" w:cs="Times New Roman"/>
          <w:sz w:val="24"/>
          <w:szCs w:val="24"/>
        </w:rPr>
        <w:t>5.3</w:t>
      </w:r>
      <w:r w:rsidR="00CC32AB" w:rsidRPr="00801C27">
        <w:rPr>
          <w:rFonts w:ascii="Times New Roman" w:eastAsia="Times New Roman" w:hAnsi="Times New Roman" w:cs="Times New Roman"/>
          <w:sz w:val="24"/>
          <w:szCs w:val="24"/>
        </w:rPr>
        <w:t xml:space="preserve">1%); proportions of people achieving </w:t>
      </w:r>
      <w:r w:rsidR="00BA5438">
        <w:rPr>
          <w:rFonts w:ascii="Times New Roman" w:eastAsia="Times New Roman" w:hAnsi="Times New Roman" w:cs="Times New Roman"/>
          <w:sz w:val="24"/>
          <w:szCs w:val="24"/>
        </w:rPr>
        <w:t>MCID</w:t>
      </w:r>
      <w:r w:rsidR="0003405C">
        <w:rPr>
          <w:rFonts w:ascii="Times New Roman" w:eastAsia="Times New Roman" w:hAnsi="Times New Roman" w:cs="Times New Roman"/>
          <w:sz w:val="24"/>
          <w:szCs w:val="24"/>
        </w:rPr>
        <w:t xml:space="preserve"> increases until 69 years (15.86</w:t>
      </w:r>
      <w:r w:rsidR="00CC32AB" w:rsidRPr="00801C27">
        <w:rPr>
          <w:rFonts w:ascii="Times New Roman" w:eastAsia="Times New Roman" w:hAnsi="Times New Roman" w:cs="Times New Roman"/>
          <w:sz w:val="24"/>
          <w:szCs w:val="24"/>
        </w:rPr>
        <w:t>%).</w:t>
      </w:r>
    </w:p>
    <w:p w14:paraId="2E7332E8" w14:textId="1988A796" w:rsidR="00CC32AB" w:rsidRPr="00801C27" w:rsidRDefault="00CC32AB" w:rsidP="00CC32AB">
      <w:pPr>
        <w:tabs>
          <w:tab w:val="left" w:pos="3423"/>
        </w:tabs>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lastRenderedPageBreak/>
        <w:t xml:space="preserve">The age group with the lowest proportion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is 70-74 year olds </w:t>
      </w:r>
      <w:r w:rsidR="0003405C">
        <w:rPr>
          <w:rFonts w:ascii="Times New Roman" w:eastAsia="Times New Roman" w:hAnsi="Times New Roman" w:cs="Times New Roman"/>
          <w:sz w:val="24"/>
          <w:szCs w:val="24"/>
        </w:rPr>
        <w:t xml:space="preserve">(32.77%) </w:t>
      </w:r>
      <w:r w:rsidRPr="00801C27">
        <w:rPr>
          <w:rFonts w:ascii="Times New Roman" w:eastAsia="Times New Roman" w:hAnsi="Times New Roman" w:cs="Times New Roman"/>
          <w:sz w:val="24"/>
          <w:szCs w:val="24"/>
        </w:rPr>
        <w:t xml:space="preserve">but otherwise the percentage with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gradually increases from those aged 20-24 (37.08%) to those 65-69 years (46.17%), this age group having the highest proportion achieving </w:t>
      </w:r>
      <w:r w:rsidR="00BA5438">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This is depicted in </w:t>
      </w:r>
      <w:r>
        <w:rPr>
          <w:rFonts w:ascii="Times New Roman" w:eastAsia="Times New Roman" w:hAnsi="Times New Roman" w:cs="Times New Roman"/>
          <w:sz w:val="24"/>
          <w:szCs w:val="24"/>
        </w:rPr>
        <w:t>F</w:t>
      </w:r>
      <w:r w:rsidRPr="00801C27">
        <w:rPr>
          <w:rFonts w:ascii="Times New Roman" w:eastAsia="Times New Roman" w:hAnsi="Times New Roman" w:cs="Times New Roman"/>
          <w:sz w:val="24"/>
          <w:szCs w:val="24"/>
        </w:rPr>
        <w:t xml:space="preserve">igure </w:t>
      </w:r>
      <w:r w:rsidR="00C75E1C">
        <w:rPr>
          <w:rFonts w:ascii="Times New Roman" w:eastAsia="Times New Roman" w:hAnsi="Times New Roman" w:cs="Times New Roman"/>
          <w:sz w:val="24"/>
          <w:szCs w:val="24"/>
        </w:rPr>
        <w:t>four</w:t>
      </w:r>
      <w:r w:rsidRPr="00801C27">
        <w:rPr>
          <w:rFonts w:ascii="Times New Roman" w:eastAsia="Times New Roman" w:hAnsi="Times New Roman" w:cs="Times New Roman"/>
          <w:sz w:val="24"/>
          <w:szCs w:val="24"/>
        </w:rPr>
        <w:t>.</w:t>
      </w:r>
    </w:p>
    <w:p w14:paraId="1474BFF5" w14:textId="77777777" w:rsidR="00CC32AB" w:rsidRPr="00801C27" w:rsidRDefault="00CC32AB" w:rsidP="00CC32AB">
      <w:pPr>
        <w:tabs>
          <w:tab w:val="left" w:pos="3423"/>
        </w:tabs>
        <w:spacing w:after="0" w:line="360" w:lineRule="auto"/>
        <w:rPr>
          <w:rFonts w:ascii="Times New Roman" w:eastAsia="Times New Roman" w:hAnsi="Times New Roman" w:cs="Times New Roman"/>
          <w:sz w:val="24"/>
          <w:szCs w:val="24"/>
        </w:rPr>
      </w:pPr>
    </w:p>
    <w:p w14:paraId="5DF4CD07" w14:textId="77777777" w:rsidR="00CC32AB" w:rsidRPr="00801C27" w:rsidRDefault="00CC32AB" w:rsidP="00CC32AB">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 xml:space="preserve">In summary, </w:t>
      </w:r>
      <w:r>
        <w:rPr>
          <w:rFonts w:ascii="Times New Roman" w:eastAsia="Times New Roman" w:hAnsi="Times New Roman" w:cs="Times New Roman"/>
          <w:sz w:val="24"/>
          <w:szCs w:val="24"/>
        </w:rPr>
        <w:t xml:space="preserve">more referrals are made for younger adults with a peak age </w:t>
      </w:r>
      <w:r w:rsidR="00F1200B">
        <w:rPr>
          <w:rFonts w:ascii="Times New Roman" w:eastAsia="Times New Roman" w:hAnsi="Times New Roman" w:cs="Times New Roman"/>
          <w:sz w:val="24"/>
          <w:szCs w:val="24"/>
        </w:rPr>
        <w:t>of 25-29 years as a proportion of the total population and a peak age</w:t>
      </w:r>
      <w:r>
        <w:rPr>
          <w:rFonts w:ascii="Times New Roman" w:eastAsia="Times New Roman" w:hAnsi="Times New Roman" w:cs="Times New Roman"/>
          <w:sz w:val="24"/>
          <w:szCs w:val="24"/>
        </w:rPr>
        <w:t xml:space="preserve"> </w:t>
      </w:r>
      <w:r w:rsidR="00F1200B">
        <w:rPr>
          <w:rFonts w:ascii="Times New Roman" w:eastAsia="Times New Roman" w:hAnsi="Times New Roman" w:cs="Times New Roman"/>
          <w:sz w:val="24"/>
          <w:szCs w:val="24"/>
        </w:rPr>
        <w:t xml:space="preserve">of 20-24 years as a proportion of those with CMHPs, </w:t>
      </w:r>
      <w:r>
        <w:rPr>
          <w:rFonts w:ascii="Times New Roman" w:eastAsia="Times New Roman" w:hAnsi="Times New Roman" w:cs="Times New Roman"/>
          <w:sz w:val="24"/>
          <w:szCs w:val="24"/>
        </w:rPr>
        <w:t xml:space="preserve">but </w:t>
      </w:r>
      <w:r w:rsidRPr="00801C27">
        <w:rPr>
          <w:rFonts w:ascii="Times New Roman" w:eastAsia="Times New Roman" w:hAnsi="Times New Roman" w:cs="Times New Roman"/>
          <w:sz w:val="24"/>
          <w:szCs w:val="24"/>
        </w:rPr>
        <w:t>once referred</w:t>
      </w:r>
      <w:r>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801C27">
        <w:rPr>
          <w:rFonts w:ascii="Times New Roman" w:eastAsia="Times New Roman" w:hAnsi="Times New Roman" w:cs="Times New Roman"/>
          <w:sz w:val="24"/>
          <w:szCs w:val="24"/>
        </w:rPr>
        <w:t xml:space="preserve">higher proportions of older adults are </w:t>
      </w:r>
      <w:r w:rsidR="00471FA3">
        <w:rPr>
          <w:rFonts w:ascii="Times New Roman" w:eastAsia="Times New Roman" w:hAnsi="Times New Roman" w:cs="Times New Roman"/>
          <w:sz w:val="24"/>
          <w:szCs w:val="24"/>
        </w:rPr>
        <w:t>engaging</w:t>
      </w:r>
      <w:r w:rsidRPr="00801C27">
        <w:rPr>
          <w:rFonts w:ascii="Times New Roman" w:eastAsia="Times New Roman" w:hAnsi="Times New Roman" w:cs="Times New Roman"/>
          <w:sz w:val="24"/>
          <w:szCs w:val="24"/>
        </w:rPr>
        <w:t xml:space="preserve"> with and benefiting from treatment than 2</w:t>
      </w:r>
      <w:r w:rsidR="0003405C">
        <w:rPr>
          <w:rFonts w:ascii="Times New Roman" w:eastAsia="Times New Roman" w:hAnsi="Times New Roman" w:cs="Times New Roman"/>
          <w:sz w:val="24"/>
          <w:szCs w:val="24"/>
        </w:rPr>
        <w:t>0</w:t>
      </w:r>
      <w:r w:rsidRPr="00801C27">
        <w:rPr>
          <w:rFonts w:ascii="Times New Roman" w:eastAsia="Times New Roman" w:hAnsi="Times New Roman" w:cs="Times New Roman"/>
          <w:sz w:val="24"/>
          <w:szCs w:val="24"/>
        </w:rPr>
        <w:t>-2</w:t>
      </w:r>
      <w:r w:rsidR="00F1200B">
        <w:rPr>
          <w:rFonts w:ascii="Times New Roman" w:eastAsia="Times New Roman" w:hAnsi="Times New Roman" w:cs="Times New Roman"/>
          <w:sz w:val="24"/>
          <w:szCs w:val="24"/>
        </w:rPr>
        <w:t>9</w:t>
      </w:r>
      <w:r w:rsidRPr="00801C27">
        <w:rPr>
          <w:rFonts w:ascii="Times New Roman" w:eastAsia="Times New Roman" w:hAnsi="Times New Roman" w:cs="Times New Roman"/>
          <w:sz w:val="24"/>
          <w:szCs w:val="24"/>
        </w:rPr>
        <w:t xml:space="preserve"> year olds. </w:t>
      </w:r>
    </w:p>
    <w:p w14:paraId="136A7A22" w14:textId="77777777" w:rsidR="00084BE2" w:rsidRPr="00801C27" w:rsidRDefault="00084BE2" w:rsidP="004048D3">
      <w:pPr>
        <w:spacing w:after="0" w:line="360" w:lineRule="auto"/>
        <w:rPr>
          <w:rFonts w:ascii="Times New Roman" w:eastAsia="Times New Roman" w:hAnsi="Times New Roman" w:cs="Times New Roman"/>
          <w:b/>
          <w:sz w:val="24"/>
          <w:szCs w:val="24"/>
        </w:rPr>
      </w:pPr>
    </w:p>
    <w:p w14:paraId="4D09C418" w14:textId="77777777" w:rsidR="00CA70F2" w:rsidRPr="00801C27" w:rsidRDefault="00CA70F2" w:rsidP="00CA70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3F6BB8B4" w14:textId="77777777" w:rsidR="00843307" w:rsidRDefault="00843307" w:rsidP="00CA70F2">
      <w:pPr>
        <w:spacing w:after="0" w:line="360" w:lineRule="auto"/>
        <w:jc w:val="both"/>
        <w:rPr>
          <w:rFonts w:ascii="Times New Roman" w:eastAsia="Times New Roman" w:hAnsi="Times New Roman" w:cs="Times New Roman"/>
          <w:i/>
          <w:sz w:val="24"/>
          <w:szCs w:val="24"/>
        </w:rPr>
      </w:pPr>
    </w:p>
    <w:p w14:paraId="0AB4B0AD" w14:textId="77777777" w:rsidR="00CA70F2" w:rsidRPr="00F0131D" w:rsidRDefault="00CA70F2" w:rsidP="00CA70F2">
      <w:pPr>
        <w:spacing w:after="0" w:line="360" w:lineRule="auto"/>
        <w:jc w:val="both"/>
        <w:rPr>
          <w:rFonts w:ascii="Times New Roman" w:eastAsia="Times New Roman" w:hAnsi="Times New Roman" w:cs="Times New Roman"/>
          <w:i/>
          <w:sz w:val="24"/>
          <w:szCs w:val="24"/>
        </w:rPr>
      </w:pPr>
      <w:r w:rsidRPr="00F0131D">
        <w:rPr>
          <w:rFonts w:ascii="Times New Roman" w:eastAsia="Times New Roman" w:hAnsi="Times New Roman" w:cs="Times New Roman"/>
          <w:i/>
          <w:sz w:val="24"/>
          <w:szCs w:val="24"/>
        </w:rPr>
        <w:t>Summary</w:t>
      </w:r>
    </w:p>
    <w:p w14:paraId="50EA9C29" w14:textId="145467B7" w:rsidR="00CA70F2" w:rsidRDefault="00CA70F2" w:rsidP="00CA70F2">
      <w:pPr>
        <w:spacing w:after="0" w:line="360" w:lineRule="auto"/>
        <w:jc w:val="both"/>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 xml:space="preserve">Concerns </w:t>
      </w:r>
      <w:r w:rsidRPr="00684846">
        <w:rPr>
          <w:rFonts w:ascii="Times New Roman" w:eastAsia="Times New Roman" w:hAnsi="Times New Roman" w:cs="Times New Roman"/>
          <w:sz w:val="24"/>
          <w:szCs w:val="24"/>
        </w:rPr>
        <w:t>about discrimination against older adults leading to reduced access to talking therapies have been widely shared</w:t>
      </w:r>
      <w:r>
        <w:rPr>
          <w:rFonts w:ascii="Times New Roman" w:eastAsia="Times New Roman" w:hAnsi="Times New Roman" w:cs="Times New Roman"/>
          <w:sz w:val="24"/>
          <w:szCs w:val="24"/>
        </w:rPr>
        <w:t>[2, 3]</w:t>
      </w:r>
      <w:r w:rsidRPr="00801C27">
        <w:rPr>
          <w:rFonts w:ascii="Times New Roman" w:eastAsia="Times New Roman" w:hAnsi="Times New Roman" w:cs="Times New Roman"/>
          <w:sz w:val="24"/>
          <w:szCs w:val="24"/>
        </w:rPr>
        <w:t>. Our research has shown, taking estimated prevalence into account, that access is indeed lower for older adults and middle age</w:t>
      </w:r>
      <w:r>
        <w:rPr>
          <w:rFonts w:ascii="Times New Roman" w:eastAsia="Times New Roman" w:hAnsi="Times New Roman" w:cs="Times New Roman"/>
          <w:sz w:val="24"/>
          <w:szCs w:val="24"/>
        </w:rPr>
        <w:t xml:space="preserve"> compared to younger adults</w:t>
      </w:r>
      <w:r w:rsidRPr="00801C27">
        <w:rPr>
          <w:rFonts w:ascii="Times New Roman" w:eastAsia="Times New Roman" w:hAnsi="Times New Roman" w:cs="Times New Roman"/>
          <w:sz w:val="24"/>
          <w:szCs w:val="24"/>
        </w:rPr>
        <w:t xml:space="preserve">. The estimated </w:t>
      </w:r>
      <w:r>
        <w:rPr>
          <w:rFonts w:ascii="Times New Roman" w:eastAsia="Times New Roman" w:hAnsi="Times New Roman" w:cs="Times New Roman"/>
          <w:sz w:val="24"/>
          <w:szCs w:val="24"/>
        </w:rPr>
        <w:t xml:space="preserve">prevalence of </w:t>
      </w:r>
      <w:r w:rsidRPr="00801C27">
        <w:rPr>
          <w:rFonts w:ascii="Times New Roman" w:eastAsia="Times New Roman" w:hAnsi="Times New Roman" w:cs="Times New Roman"/>
          <w:sz w:val="24"/>
          <w:szCs w:val="24"/>
        </w:rPr>
        <w:t xml:space="preserve">CMHPs peaks in 45-49 year olds but the proportions of </w:t>
      </w:r>
      <w:r>
        <w:rPr>
          <w:rFonts w:ascii="Times New Roman" w:eastAsia="Times New Roman" w:hAnsi="Times New Roman" w:cs="Times New Roman"/>
          <w:sz w:val="24"/>
          <w:szCs w:val="24"/>
        </w:rPr>
        <w:t>those being referred peaks in 20-24</w:t>
      </w:r>
      <w:r w:rsidRPr="00801C27">
        <w:rPr>
          <w:rFonts w:ascii="Times New Roman" w:eastAsia="Times New Roman" w:hAnsi="Times New Roman" w:cs="Times New Roman"/>
          <w:sz w:val="24"/>
          <w:szCs w:val="24"/>
        </w:rPr>
        <w:t xml:space="preserve"> year olds.</w:t>
      </w:r>
      <w:r>
        <w:rPr>
          <w:rFonts w:ascii="Times New Roman" w:eastAsia="Times New Roman" w:hAnsi="Times New Roman" w:cs="Times New Roman"/>
          <w:sz w:val="24"/>
          <w:szCs w:val="24"/>
        </w:rPr>
        <w:t xml:space="preserve"> This is a</w:t>
      </w:r>
      <w:r w:rsidR="00B90767">
        <w:rPr>
          <w:rFonts w:ascii="Times New Roman" w:eastAsia="Times New Roman" w:hAnsi="Times New Roman" w:cs="Times New Roman"/>
          <w:sz w:val="24"/>
          <w:szCs w:val="24"/>
        </w:rPr>
        <w:t>n important</w:t>
      </w:r>
      <w:r>
        <w:rPr>
          <w:rFonts w:ascii="Times New Roman" w:eastAsia="Times New Roman" w:hAnsi="Times New Roman" w:cs="Times New Roman"/>
          <w:sz w:val="24"/>
          <w:szCs w:val="24"/>
        </w:rPr>
        <w:t xml:space="preserve"> finding as it is possible that, given lower uptake, retention and improvement, there is over-referral of younger patients who either find it difficult to engage, or who are less likely to improve if they do engage or do not see the value of talking therapies at this point in their lives.</w:t>
      </w:r>
    </w:p>
    <w:p w14:paraId="5375BD64" w14:textId="77777777" w:rsidR="00CA70F2" w:rsidRPr="00801C27" w:rsidRDefault="00CA70F2" w:rsidP="00CA70F2">
      <w:pPr>
        <w:spacing w:after="0" w:line="360" w:lineRule="auto"/>
        <w:jc w:val="both"/>
        <w:rPr>
          <w:rFonts w:ascii="Times New Roman" w:eastAsia="Times New Roman" w:hAnsi="Times New Roman" w:cs="Times New Roman"/>
          <w:sz w:val="24"/>
          <w:szCs w:val="24"/>
        </w:rPr>
      </w:pPr>
    </w:p>
    <w:p w14:paraId="230A73C3" w14:textId="351C9842" w:rsidR="00CA70F2" w:rsidRPr="00801C27" w:rsidRDefault="00CA70F2" w:rsidP="00CA70F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We have also shown that</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once referred</w:t>
      </w:r>
      <w:r>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older </w:t>
      </w:r>
      <w:r>
        <w:rPr>
          <w:rFonts w:ascii="Times New Roman" w:eastAsia="Times New Roman" w:hAnsi="Times New Roman" w:cs="Times New Roman"/>
          <w:sz w:val="24"/>
          <w:szCs w:val="24"/>
        </w:rPr>
        <w:t>adults</w:t>
      </w:r>
      <w:r w:rsidRPr="00801C27">
        <w:rPr>
          <w:rFonts w:ascii="Times New Roman" w:eastAsia="Times New Roman" w:hAnsi="Times New Roman" w:cs="Times New Roman"/>
          <w:sz w:val="24"/>
          <w:szCs w:val="24"/>
        </w:rPr>
        <w:t xml:space="preserve"> may benefit more</w:t>
      </w:r>
      <w:r>
        <w:rPr>
          <w:rFonts w:ascii="Times New Roman" w:eastAsia="Times New Roman" w:hAnsi="Times New Roman" w:cs="Times New Roman"/>
          <w:sz w:val="24"/>
          <w:szCs w:val="24"/>
        </w:rPr>
        <w:t xml:space="preserve"> from the IAPT service</w:t>
      </w:r>
      <w:r w:rsidRPr="00801C27">
        <w:rPr>
          <w:rFonts w:ascii="Times New Roman" w:eastAsia="Times New Roman" w:hAnsi="Times New Roman" w:cs="Times New Roman"/>
          <w:sz w:val="24"/>
          <w:szCs w:val="24"/>
        </w:rPr>
        <w:t>. Of those referred</w:t>
      </w:r>
      <w:r>
        <w:rPr>
          <w:rFonts w:ascii="Times New Roman" w:eastAsia="Times New Roman" w:hAnsi="Times New Roman" w:cs="Times New Roman"/>
          <w:sz w:val="24"/>
          <w:szCs w:val="24"/>
        </w:rPr>
        <w:t>; the</w:t>
      </w:r>
      <w:r w:rsidRPr="00801C27">
        <w:rPr>
          <w:rFonts w:ascii="Times New Roman" w:eastAsia="Times New Roman" w:hAnsi="Times New Roman" w:cs="Times New Roman"/>
          <w:sz w:val="24"/>
          <w:szCs w:val="24"/>
        </w:rPr>
        <w:t xml:space="preserve"> proportion of those </w:t>
      </w:r>
      <w:r>
        <w:rPr>
          <w:rFonts w:ascii="Times New Roman" w:eastAsia="Times New Roman" w:hAnsi="Times New Roman" w:cs="Times New Roman"/>
          <w:sz w:val="24"/>
          <w:szCs w:val="24"/>
        </w:rPr>
        <w:t>obtaining</w:t>
      </w:r>
      <w:r w:rsidRPr="00801C27">
        <w:rPr>
          <w:rFonts w:ascii="Times New Roman" w:eastAsia="Times New Roman" w:hAnsi="Times New Roman" w:cs="Times New Roman"/>
          <w:sz w:val="24"/>
          <w:szCs w:val="24"/>
        </w:rPr>
        <w:t xml:space="preserve"> access increases until 64 years, </w:t>
      </w:r>
      <w:r>
        <w:rPr>
          <w:rFonts w:ascii="Times New Roman" w:eastAsia="Times New Roman" w:hAnsi="Times New Roman" w:cs="Times New Roman"/>
          <w:sz w:val="24"/>
          <w:szCs w:val="24"/>
        </w:rPr>
        <w:t>engagin</w:t>
      </w:r>
      <w:r w:rsidRPr="00801C27">
        <w:rPr>
          <w:rFonts w:ascii="Times New Roman" w:eastAsia="Times New Roman" w:hAnsi="Times New Roman" w:cs="Times New Roman"/>
          <w:sz w:val="24"/>
          <w:szCs w:val="24"/>
        </w:rPr>
        <w:t xml:space="preserve">g with treatment increases until 59 years and achieving </w:t>
      </w:r>
      <w:r>
        <w:rPr>
          <w:rFonts w:ascii="Times New Roman" w:eastAsia="Times New Roman" w:hAnsi="Times New Roman" w:cs="Times New Roman"/>
          <w:sz w:val="24"/>
          <w:szCs w:val="24"/>
        </w:rPr>
        <w:t>MCID</w:t>
      </w:r>
      <w:r w:rsidRPr="00801C27">
        <w:rPr>
          <w:rFonts w:ascii="Times New Roman" w:eastAsia="Times New Roman" w:hAnsi="Times New Roman" w:cs="Times New Roman"/>
          <w:sz w:val="24"/>
          <w:szCs w:val="24"/>
        </w:rPr>
        <w:t xml:space="preserve"> increases until 69 years. </w:t>
      </w:r>
      <w:r>
        <w:rPr>
          <w:rFonts w:ascii="Times New Roman" w:eastAsia="Times New Roman" w:hAnsi="Times New Roman" w:cs="Times New Roman"/>
          <w:sz w:val="24"/>
          <w:szCs w:val="24"/>
        </w:rPr>
        <w:t>O</w:t>
      </w:r>
      <w:r w:rsidRPr="00801C27">
        <w:rPr>
          <w:rFonts w:ascii="Times New Roman" w:eastAsia="Times New Roman" w:hAnsi="Times New Roman" w:cs="Times New Roman"/>
          <w:sz w:val="24"/>
          <w:szCs w:val="24"/>
        </w:rPr>
        <w:t>nce referred, adherence to and recovery from treatment increases with increase in age and higher proportions of older adults are ac</w:t>
      </w:r>
      <w:r>
        <w:rPr>
          <w:rFonts w:ascii="Times New Roman" w:eastAsia="Times New Roman" w:hAnsi="Times New Roman" w:cs="Times New Roman"/>
          <w:sz w:val="24"/>
          <w:szCs w:val="24"/>
        </w:rPr>
        <w:t>cessing and engag</w:t>
      </w:r>
      <w:r w:rsidRPr="00801C27">
        <w:rPr>
          <w:rFonts w:ascii="Times New Roman" w:eastAsia="Times New Roman" w:hAnsi="Times New Roman" w:cs="Times New Roman"/>
          <w:sz w:val="24"/>
          <w:szCs w:val="24"/>
        </w:rPr>
        <w:t>ing with tre</w:t>
      </w:r>
      <w:r>
        <w:rPr>
          <w:rFonts w:ascii="Times New Roman" w:eastAsia="Times New Roman" w:hAnsi="Times New Roman" w:cs="Times New Roman"/>
          <w:sz w:val="24"/>
          <w:szCs w:val="24"/>
        </w:rPr>
        <w:t>atment than the 20-24</w:t>
      </w:r>
      <w:r w:rsidRPr="00801C27">
        <w:rPr>
          <w:rFonts w:ascii="Times New Roman" w:eastAsia="Times New Roman" w:hAnsi="Times New Roman" w:cs="Times New Roman"/>
          <w:sz w:val="24"/>
          <w:szCs w:val="24"/>
        </w:rPr>
        <w:t xml:space="preserve"> year olds who are being referred more frequently.</w:t>
      </w:r>
      <w:r>
        <w:rPr>
          <w:rFonts w:ascii="Times New Roman" w:eastAsia="Times New Roman" w:hAnsi="Times New Roman" w:cs="Times New Roman"/>
          <w:sz w:val="24"/>
          <w:szCs w:val="24"/>
        </w:rPr>
        <w:t xml:space="preserve"> </w:t>
      </w:r>
    </w:p>
    <w:p w14:paraId="6307D10F" w14:textId="77777777" w:rsidR="00CA70F2" w:rsidRPr="00801C27" w:rsidRDefault="00CA70F2" w:rsidP="00CA70F2">
      <w:pPr>
        <w:spacing w:after="0" w:line="360" w:lineRule="auto"/>
        <w:rPr>
          <w:rFonts w:ascii="Times New Roman" w:eastAsia="Times New Roman" w:hAnsi="Times New Roman" w:cs="Times New Roman"/>
          <w:sz w:val="24"/>
          <w:szCs w:val="24"/>
        </w:rPr>
      </w:pPr>
    </w:p>
    <w:p w14:paraId="3DEC28C1" w14:textId="77777777" w:rsidR="00CA70F2" w:rsidRDefault="00CA70F2" w:rsidP="00CA70F2">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Comparison with existing literature</w:t>
      </w:r>
    </w:p>
    <w:p w14:paraId="33078438" w14:textId="4307DA2C" w:rsidR="00347807" w:rsidRDefault="00CA70F2" w:rsidP="00CA70F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 xml:space="preserve">Patients can be signposted to the IAPT service by any appropriate referrer, </w:t>
      </w:r>
      <w:r w:rsidR="00B90767">
        <w:rPr>
          <w:rFonts w:ascii="Times New Roman" w:eastAsia="Times New Roman" w:hAnsi="Times New Roman" w:cs="Times New Roman"/>
          <w:sz w:val="24"/>
          <w:szCs w:val="24"/>
        </w:rPr>
        <w:t>and t</w:t>
      </w:r>
      <w:r w:rsidRPr="00801C27">
        <w:rPr>
          <w:rFonts w:ascii="Times New Roman" w:eastAsia="Times New Roman" w:hAnsi="Times New Roman" w:cs="Times New Roman"/>
          <w:sz w:val="24"/>
          <w:szCs w:val="24"/>
        </w:rPr>
        <w:t>he main source of referra</w:t>
      </w:r>
      <w:r>
        <w:rPr>
          <w:rFonts w:ascii="Times New Roman" w:eastAsia="Times New Roman" w:hAnsi="Times New Roman" w:cs="Times New Roman"/>
          <w:sz w:val="24"/>
          <w:szCs w:val="24"/>
        </w:rPr>
        <w:t>ls</w:t>
      </w:r>
      <w:r w:rsidRPr="00801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GP</w:t>
      </w:r>
      <w:r w:rsidRPr="00801C27">
        <w:rPr>
          <w:rFonts w:ascii="Times New Roman" w:eastAsia="Times New Roman" w:hAnsi="Times New Roman" w:cs="Times New Roman"/>
          <w:sz w:val="24"/>
          <w:szCs w:val="24"/>
        </w:rPr>
        <w:t>. As such, GP decision making and practices regarding referral to psychological therapy services will have a large impact on access for patients. Cooper and colleagues</w:t>
      </w:r>
      <w:r>
        <w:rPr>
          <w:rFonts w:ascii="Times New Roman" w:eastAsia="Times New Roman" w:hAnsi="Times New Roman" w:cs="Times New Roman"/>
          <w:sz w:val="24"/>
          <w:szCs w:val="24"/>
        </w:rPr>
        <w:t>[8]</w:t>
      </w:r>
      <w:r w:rsidRPr="00801C27">
        <w:rPr>
          <w:rFonts w:ascii="Times New Roman" w:eastAsia="Times New Roman" w:hAnsi="Times New Roman" w:cs="Times New Roman"/>
          <w:sz w:val="24"/>
          <w:szCs w:val="24"/>
        </w:rPr>
        <w:t xml:space="preserve"> found younger adults (16-34 years) more likely than older adults (75+ years) with the same severity to </w:t>
      </w:r>
      <w:r w:rsidRPr="00801C27">
        <w:rPr>
          <w:rFonts w:ascii="Times New Roman" w:eastAsia="Times New Roman" w:hAnsi="Times New Roman" w:cs="Times New Roman"/>
          <w:sz w:val="24"/>
          <w:szCs w:val="24"/>
        </w:rPr>
        <w:lastRenderedPageBreak/>
        <w:t>have seen their GP regarding a mental health issue and to be recei</w:t>
      </w:r>
      <w:r w:rsidR="00347807">
        <w:rPr>
          <w:rFonts w:ascii="Times New Roman" w:eastAsia="Times New Roman" w:hAnsi="Times New Roman" w:cs="Times New Roman"/>
          <w:sz w:val="24"/>
          <w:szCs w:val="24"/>
        </w:rPr>
        <w:t xml:space="preserve">ving talking therapy treatment. </w:t>
      </w:r>
      <w:r w:rsidR="00347807" w:rsidRPr="00801C27">
        <w:rPr>
          <w:rFonts w:ascii="Times New Roman" w:eastAsia="Times New Roman" w:hAnsi="Times New Roman" w:cs="Times New Roman"/>
          <w:sz w:val="24"/>
          <w:szCs w:val="24"/>
        </w:rPr>
        <w:t>A combination of factors may contribute to lower referral rates of older adults by health care professionals: self-stigma towards mental health in older adults leading to reduced disclosure and requests for hel</w:t>
      </w:r>
      <w:r w:rsidR="00347807">
        <w:rPr>
          <w:rFonts w:ascii="Times New Roman" w:eastAsia="Times New Roman" w:hAnsi="Times New Roman" w:cs="Times New Roman"/>
          <w:sz w:val="24"/>
          <w:szCs w:val="24"/>
        </w:rPr>
        <w:t>p[11, 14, 15]</w:t>
      </w:r>
      <w:r w:rsidR="00347807" w:rsidRPr="00801C27">
        <w:rPr>
          <w:rFonts w:ascii="Times New Roman" w:eastAsia="Times New Roman" w:hAnsi="Times New Roman" w:cs="Times New Roman"/>
          <w:sz w:val="24"/>
          <w:szCs w:val="24"/>
        </w:rPr>
        <w:t>;</w:t>
      </w:r>
      <w:r w:rsidR="00B62D55">
        <w:rPr>
          <w:rFonts w:ascii="Times New Roman" w:eastAsia="Times New Roman" w:hAnsi="Times New Roman" w:cs="Times New Roman"/>
          <w:sz w:val="24"/>
          <w:szCs w:val="24"/>
        </w:rPr>
        <w:t xml:space="preserve"> increased likelihood in receiving </w:t>
      </w:r>
      <w:r w:rsidR="00B62D55" w:rsidRPr="00801C27">
        <w:rPr>
          <w:rFonts w:ascii="Times New Roman" w:eastAsia="Times New Roman" w:hAnsi="Times New Roman" w:cs="Times New Roman"/>
          <w:sz w:val="24"/>
          <w:szCs w:val="24"/>
        </w:rPr>
        <w:t>prescribed medication</w:t>
      </w:r>
      <w:r w:rsidR="009D358A">
        <w:rPr>
          <w:rFonts w:ascii="Times New Roman" w:eastAsia="Times New Roman" w:hAnsi="Times New Roman" w:cs="Times New Roman"/>
          <w:sz w:val="24"/>
          <w:szCs w:val="24"/>
        </w:rPr>
        <w:t>(s)</w:t>
      </w:r>
      <w:r w:rsidR="00B62D55">
        <w:rPr>
          <w:rFonts w:ascii="Times New Roman" w:eastAsia="Times New Roman" w:hAnsi="Times New Roman" w:cs="Times New Roman"/>
          <w:sz w:val="24"/>
          <w:szCs w:val="24"/>
        </w:rPr>
        <w:t>[8];</w:t>
      </w:r>
      <w:r w:rsidR="00B62D55" w:rsidRPr="00684846">
        <w:rPr>
          <w:rFonts w:ascii="Times New Roman" w:eastAsia="Times New Roman" w:hAnsi="Times New Roman" w:cs="Times New Roman"/>
          <w:sz w:val="24"/>
          <w:szCs w:val="24"/>
        </w:rPr>
        <w:t xml:space="preserve"> </w:t>
      </w:r>
      <w:r w:rsidR="00347807" w:rsidRPr="00684846">
        <w:rPr>
          <w:rFonts w:ascii="Times New Roman" w:eastAsia="Times New Roman" w:hAnsi="Times New Roman" w:cs="Times New Roman"/>
          <w:sz w:val="24"/>
          <w:szCs w:val="24"/>
        </w:rPr>
        <w:t>professional attitudes</w:t>
      </w:r>
      <w:r w:rsidR="00347807">
        <w:rPr>
          <w:rFonts w:ascii="Times New Roman" w:eastAsia="Times New Roman" w:hAnsi="Times New Roman" w:cs="Times New Roman"/>
          <w:sz w:val="24"/>
          <w:szCs w:val="24"/>
        </w:rPr>
        <w:t>[10]</w:t>
      </w:r>
      <w:r w:rsidR="00347807" w:rsidRPr="00684846">
        <w:rPr>
          <w:rFonts w:ascii="Times New Roman" w:eastAsia="Times New Roman" w:hAnsi="Times New Roman" w:cs="Times New Roman"/>
          <w:sz w:val="24"/>
          <w:szCs w:val="24"/>
        </w:rPr>
        <w:t>; multi-morbidity</w:t>
      </w:r>
      <w:r w:rsidR="00347807" w:rsidRPr="00801C27">
        <w:rPr>
          <w:rFonts w:ascii="Times New Roman" w:eastAsia="Times New Roman" w:hAnsi="Times New Roman" w:cs="Times New Roman"/>
          <w:sz w:val="24"/>
          <w:szCs w:val="24"/>
        </w:rPr>
        <w:t xml:space="preserve"> reducing recognition; and system factors which prevent access to those who are frail or homebound.</w:t>
      </w:r>
      <w:r w:rsidR="00347807">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It seems likely that reasons for the reduced referral we have shown are multi-factorial. However given the greatly higher contact rates between older adults and GPs than for younger adults, the reduced referral rates are even more striking. </w:t>
      </w:r>
      <w:r w:rsidR="00B90767">
        <w:rPr>
          <w:rFonts w:ascii="Times New Roman" w:eastAsia="Times New Roman" w:hAnsi="Times New Roman" w:cs="Times New Roman"/>
          <w:sz w:val="24"/>
          <w:szCs w:val="24"/>
        </w:rPr>
        <w:t>W</w:t>
      </w:r>
      <w:r w:rsidRPr="00801C27">
        <w:rPr>
          <w:rFonts w:ascii="Times New Roman" w:eastAsia="Times New Roman" w:hAnsi="Times New Roman" w:cs="Times New Roman"/>
          <w:sz w:val="24"/>
          <w:szCs w:val="24"/>
        </w:rPr>
        <w:t xml:space="preserve">hile there are good grounds for believing that GPs may not be offering the opportunity of referral to older adults, it is also likely that </w:t>
      </w:r>
      <w:r>
        <w:rPr>
          <w:rFonts w:ascii="Times New Roman" w:eastAsia="Times New Roman" w:hAnsi="Times New Roman" w:cs="Times New Roman"/>
          <w:sz w:val="24"/>
          <w:szCs w:val="24"/>
        </w:rPr>
        <w:t>patients</w:t>
      </w:r>
      <w:r w:rsidRPr="00801C27">
        <w:rPr>
          <w:rFonts w:ascii="Times New Roman" w:eastAsia="Times New Roman" w:hAnsi="Times New Roman" w:cs="Times New Roman"/>
          <w:sz w:val="24"/>
          <w:szCs w:val="24"/>
        </w:rPr>
        <w:t xml:space="preserve"> may believe they can ‘manage themselves’, making them less likely to disclose information to their GP, or accept suggested help</w:t>
      </w:r>
      <w:r>
        <w:rPr>
          <w:rFonts w:ascii="Times New Roman" w:eastAsia="Times New Roman" w:hAnsi="Times New Roman" w:cs="Times New Roman"/>
          <w:sz w:val="24"/>
          <w:szCs w:val="24"/>
        </w:rPr>
        <w:t>[14, 15]</w:t>
      </w:r>
      <w:r w:rsidR="00B90767">
        <w:rPr>
          <w:rFonts w:ascii="Times New Roman" w:eastAsia="Times New Roman" w:hAnsi="Times New Roman" w:cs="Times New Roman"/>
          <w:sz w:val="24"/>
          <w:szCs w:val="24"/>
        </w:rPr>
        <w:t>.</w:t>
      </w:r>
      <w:r w:rsidR="00347807">
        <w:rPr>
          <w:rFonts w:ascii="Times New Roman" w:eastAsia="Times New Roman" w:hAnsi="Times New Roman" w:cs="Times New Roman"/>
          <w:sz w:val="24"/>
          <w:szCs w:val="24"/>
        </w:rPr>
        <w:t xml:space="preserve"> </w:t>
      </w:r>
    </w:p>
    <w:p w14:paraId="301840BE" w14:textId="77777777" w:rsidR="00347807" w:rsidRDefault="00347807" w:rsidP="00CA70F2">
      <w:pPr>
        <w:spacing w:after="0" w:line="360" w:lineRule="auto"/>
        <w:rPr>
          <w:rFonts w:ascii="Times New Roman" w:eastAsia="Times New Roman" w:hAnsi="Times New Roman" w:cs="Times New Roman"/>
          <w:sz w:val="24"/>
          <w:szCs w:val="24"/>
        </w:rPr>
      </w:pPr>
    </w:p>
    <w:p w14:paraId="04D14852" w14:textId="6014828E" w:rsidR="00CA70F2" w:rsidRPr="00801C27" w:rsidRDefault="00CA70F2" w:rsidP="00CA70F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The estimated capacity of the patient to benefit from psychological therapy is a prominent feature in</w:t>
      </w:r>
      <w:r>
        <w:rPr>
          <w:rFonts w:ascii="Times New Roman" w:eastAsia="Times New Roman" w:hAnsi="Times New Roman" w:cs="Times New Roman"/>
          <w:sz w:val="24"/>
          <w:szCs w:val="24"/>
        </w:rPr>
        <w:t>cluded</w:t>
      </w:r>
      <w:r w:rsidRPr="00801C27">
        <w:rPr>
          <w:rFonts w:ascii="Times New Roman" w:eastAsia="Times New Roman" w:hAnsi="Times New Roman" w:cs="Times New Roman"/>
          <w:sz w:val="24"/>
          <w:szCs w:val="24"/>
        </w:rPr>
        <w:t xml:space="preserve"> in a GP’s referral decision</w:t>
      </w:r>
      <w:r>
        <w:rPr>
          <w:rFonts w:ascii="Times New Roman" w:eastAsia="Times New Roman" w:hAnsi="Times New Roman" w:cs="Times New Roman"/>
          <w:sz w:val="24"/>
          <w:szCs w:val="24"/>
        </w:rPr>
        <w:t>[2</w:t>
      </w:r>
      <w:r w:rsidR="006932F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xml:space="preserve"> and they may also assume certain age groups will not engage with the service. Our study should demonstrate to GPs that older patients are both more likely to attend and more likely to benefit</w:t>
      </w:r>
      <w:r>
        <w:rPr>
          <w:rFonts w:ascii="Times New Roman" w:eastAsia="Times New Roman" w:hAnsi="Times New Roman" w:cs="Times New Roman"/>
          <w:sz w:val="24"/>
          <w:szCs w:val="24"/>
        </w:rPr>
        <w:t xml:space="preserve"> once engaged in treatment</w:t>
      </w:r>
      <w:r w:rsidRPr="00801C27">
        <w:rPr>
          <w:rFonts w:ascii="Times New Roman" w:eastAsia="Times New Roman" w:hAnsi="Times New Roman" w:cs="Times New Roman"/>
          <w:sz w:val="24"/>
          <w:szCs w:val="24"/>
        </w:rPr>
        <w:t xml:space="preserve">. GPs should perhaps therefore work to discuss mental health </w:t>
      </w:r>
      <w:r>
        <w:rPr>
          <w:rFonts w:ascii="Times New Roman" w:eastAsia="Times New Roman" w:hAnsi="Times New Roman" w:cs="Times New Roman"/>
          <w:sz w:val="24"/>
          <w:szCs w:val="24"/>
        </w:rPr>
        <w:t xml:space="preserve">problems with older adults </w:t>
      </w:r>
      <w:r w:rsidRPr="00801C27">
        <w:rPr>
          <w:rFonts w:ascii="Times New Roman" w:eastAsia="Times New Roman" w:hAnsi="Times New Roman" w:cs="Times New Roman"/>
          <w:sz w:val="24"/>
          <w:szCs w:val="24"/>
        </w:rPr>
        <w:t xml:space="preserve">and increase awareness of the different available therapies, and their potential benefits. IAPT services may </w:t>
      </w:r>
      <w:r>
        <w:rPr>
          <w:rFonts w:ascii="Times New Roman" w:eastAsia="Times New Roman" w:hAnsi="Times New Roman" w:cs="Times New Roman"/>
          <w:sz w:val="24"/>
          <w:szCs w:val="24"/>
        </w:rPr>
        <w:t xml:space="preserve">also </w:t>
      </w:r>
      <w:r w:rsidRPr="00801C27">
        <w:rPr>
          <w:rFonts w:ascii="Times New Roman" w:eastAsia="Times New Roman" w:hAnsi="Times New Roman" w:cs="Times New Roman"/>
          <w:sz w:val="24"/>
          <w:szCs w:val="24"/>
        </w:rPr>
        <w:t>need to take note. While those who were referred attended more reliably it is also possible that the nature of services are more suited to young people and that this is a disincentive to</w:t>
      </w:r>
      <w:r w:rsidR="00347807">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 xml:space="preserve">referral. These recommendations </w:t>
      </w:r>
      <w:r w:rsidRPr="00347807">
        <w:rPr>
          <w:rFonts w:ascii="Times New Roman" w:eastAsia="Times New Roman" w:hAnsi="Times New Roman" w:cs="Times New Roman"/>
          <w:sz w:val="24"/>
          <w:szCs w:val="24"/>
        </w:rPr>
        <w:t>may also apply to those in mid-age.  It is harder to draw c</w:t>
      </w:r>
      <w:r w:rsidR="00347807" w:rsidRPr="00347807">
        <w:rPr>
          <w:rFonts w:ascii="Times New Roman" w:eastAsia="Times New Roman" w:hAnsi="Times New Roman" w:cs="Times New Roman"/>
          <w:sz w:val="24"/>
          <w:szCs w:val="24"/>
        </w:rPr>
        <w:t>onclusions about younger people and it</w:t>
      </w:r>
      <w:r w:rsidRPr="00347807">
        <w:rPr>
          <w:rFonts w:ascii="Times New Roman" w:eastAsia="Times New Roman" w:hAnsi="Times New Roman" w:cs="Times New Roman"/>
          <w:sz w:val="24"/>
          <w:szCs w:val="24"/>
        </w:rPr>
        <w:t xml:space="preserve"> is not clear as to whether, in some high referring PCTs, more numbers of young people are presenting with distress</w:t>
      </w:r>
      <w:r w:rsidR="00347807" w:rsidRPr="00347807">
        <w:rPr>
          <w:rFonts w:ascii="Times New Roman" w:eastAsia="Times New Roman" w:hAnsi="Times New Roman" w:cs="Times New Roman"/>
          <w:sz w:val="24"/>
          <w:szCs w:val="24"/>
        </w:rPr>
        <w:t xml:space="preserve"> or</w:t>
      </w:r>
      <w:r w:rsidRPr="00347807">
        <w:rPr>
          <w:rFonts w:ascii="Times New Roman" w:eastAsia="Times New Roman" w:hAnsi="Times New Roman" w:cs="Times New Roman"/>
          <w:sz w:val="24"/>
          <w:szCs w:val="24"/>
        </w:rPr>
        <w:t xml:space="preserve"> access for younger people has achieve</w:t>
      </w:r>
      <w:r w:rsidR="00347807" w:rsidRPr="00347807">
        <w:rPr>
          <w:rFonts w:ascii="Times New Roman" w:eastAsia="Times New Roman" w:hAnsi="Times New Roman" w:cs="Times New Roman"/>
          <w:sz w:val="24"/>
          <w:szCs w:val="24"/>
        </w:rPr>
        <w:t>d an optimum</w:t>
      </w:r>
      <w:r w:rsidRPr="00347807">
        <w:rPr>
          <w:rFonts w:ascii="Times New Roman" w:eastAsia="Times New Roman" w:hAnsi="Times New Roman" w:cs="Times New Roman"/>
          <w:sz w:val="24"/>
          <w:szCs w:val="24"/>
        </w:rPr>
        <w:t>. It is also possible that if we can improve therapy engagement in these younger age groups they will be more likely to benefit from these types of treatments.</w:t>
      </w:r>
    </w:p>
    <w:p w14:paraId="6BD034D9" w14:textId="77777777" w:rsidR="00CA70F2" w:rsidRPr="00801C27" w:rsidRDefault="00CA70F2" w:rsidP="00CA70F2">
      <w:pPr>
        <w:spacing w:after="0" w:line="360" w:lineRule="auto"/>
        <w:rPr>
          <w:rFonts w:ascii="Times New Roman" w:eastAsia="Times New Roman" w:hAnsi="Times New Roman" w:cs="Times New Roman"/>
          <w:sz w:val="24"/>
          <w:szCs w:val="24"/>
        </w:rPr>
      </w:pPr>
    </w:p>
    <w:p w14:paraId="2D88587A" w14:textId="141F2B47" w:rsidR="00CA70F2" w:rsidRPr="00187133" w:rsidRDefault="00CA70F2" w:rsidP="00CA70F2">
      <w:pPr>
        <w:spacing w:after="0" w:line="36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Limitations</w:t>
      </w:r>
      <w:r w:rsidR="003A4B0D">
        <w:rPr>
          <w:rFonts w:ascii="Times New Roman" w:eastAsia="Times New Roman" w:hAnsi="Times New Roman" w:cs="Times New Roman"/>
          <w:bCs/>
          <w:i/>
          <w:iCs/>
          <w:sz w:val="24"/>
          <w:szCs w:val="24"/>
        </w:rPr>
        <w:t xml:space="preserve"> and Strengths</w:t>
      </w:r>
    </w:p>
    <w:p w14:paraId="236DFFD9" w14:textId="0FCF86AE" w:rsidR="00CA70F2" w:rsidRDefault="00CA70F2" w:rsidP="00CA70F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The data represent populations who have been referred to the IAPT service, and not those using other primary or secondary care services.</w:t>
      </w:r>
      <w:r w:rsidR="003A4B0D">
        <w:rPr>
          <w:rFonts w:ascii="Times New Roman" w:eastAsia="Times New Roman" w:hAnsi="Times New Roman" w:cs="Times New Roman"/>
          <w:sz w:val="24"/>
          <w:szCs w:val="24"/>
        </w:rPr>
        <w:t xml:space="preserve"> </w:t>
      </w:r>
      <w:r w:rsidRPr="00801C27">
        <w:rPr>
          <w:rFonts w:ascii="Times New Roman" w:eastAsia="Times New Roman" w:hAnsi="Times New Roman" w:cs="Times New Roman"/>
          <w:sz w:val="24"/>
          <w:szCs w:val="24"/>
        </w:rPr>
        <w:t>It is important to note that the APMS only included those living in private households</w:t>
      </w:r>
      <w:r w:rsidR="003A4B0D">
        <w:rPr>
          <w:rFonts w:ascii="Times New Roman" w:eastAsia="Times New Roman" w:hAnsi="Times New Roman" w:cs="Times New Roman"/>
          <w:sz w:val="24"/>
          <w:szCs w:val="24"/>
        </w:rPr>
        <w:t>, excluding those in care homes</w:t>
      </w:r>
      <w:r>
        <w:rPr>
          <w:rFonts w:ascii="Times New Roman" w:eastAsia="Times New Roman" w:hAnsi="Times New Roman" w:cs="Times New Roman"/>
          <w:sz w:val="24"/>
          <w:szCs w:val="24"/>
        </w:rPr>
        <w:t>[2</w:t>
      </w:r>
      <w:r w:rsidR="006932F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801C27">
        <w:rPr>
          <w:rFonts w:ascii="Times New Roman" w:eastAsia="Times New Roman" w:hAnsi="Times New Roman" w:cs="Times New Roman"/>
          <w:sz w:val="24"/>
          <w:szCs w:val="24"/>
        </w:rPr>
        <w:t>. Nonetheless, the APMS series is the most recent and detailed data available for comparison of IAPT service use.</w:t>
      </w:r>
    </w:p>
    <w:p w14:paraId="4DFCE7BF" w14:textId="77777777" w:rsidR="00CA70F2" w:rsidRDefault="00CA70F2" w:rsidP="00CA70F2">
      <w:pPr>
        <w:spacing w:after="0" w:line="360" w:lineRule="auto"/>
        <w:rPr>
          <w:rFonts w:ascii="Times New Roman" w:eastAsia="Times New Roman" w:hAnsi="Times New Roman" w:cs="Times New Roman"/>
          <w:sz w:val="24"/>
          <w:szCs w:val="24"/>
        </w:rPr>
      </w:pPr>
    </w:p>
    <w:p w14:paraId="7A5361E6" w14:textId="54BE6741" w:rsidR="00CA70F2" w:rsidRPr="00801C27" w:rsidRDefault="00CA70F2" w:rsidP="00CA70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described above is purely quantitative and although we can speculate, it is difficult to explain why these differences in referral, engagement and outcome exist between patients from </w:t>
      </w:r>
      <w:r>
        <w:rPr>
          <w:rFonts w:ascii="Times New Roman" w:eastAsia="Times New Roman" w:hAnsi="Times New Roman" w:cs="Times New Roman"/>
          <w:sz w:val="24"/>
          <w:szCs w:val="24"/>
        </w:rPr>
        <w:lastRenderedPageBreak/>
        <w:t xml:space="preserve">different age groups. Other studies have indicated </w:t>
      </w:r>
      <w:r w:rsidRPr="0055331E">
        <w:rPr>
          <w:rFonts w:ascii="Times New Roman" w:eastAsia="Times New Roman" w:hAnsi="Times New Roman" w:cs="Times New Roman"/>
          <w:sz w:val="24"/>
          <w:szCs w:val="24"/>
        </w:rPr>
        <w:t>some of the potential reasons in relation to service configuration but have not focussed on older adults</w:t>
      </w:r>
      <w:r w:rsidR="006932FE">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r w:rsidRPr="0055331E">
        <w:rPr>
          <w:rFonts w:ascii="Times New Roman" w:eastAsia="Times New Roman" w:hAnsi="Times New Roman" w:cs="Times New Roman"/>
          <w:sz w:val="24"/>
          <w:szCs w:val="24"/>
        </w:rPr>
        <w:t xml:space="preserve">. </w:t>
      </w:r>
    </w:p>
    <w:p w14:paraId="6BDFBAC0" w14:textId="77777777" w:rsidR="00CA70F2" w:rsidRPr="00801C27" w:rsidRDefault="00CA70F2" w:rsidP="00CA70F2">
      <w:pPr>
        <w:spacing w:after="0" w:line="360" w:lineRule="auto"/>
        <w:rPr>
          <w:rFonts w:ascii="Times New Roman" w:eastAsia="Times New Roman" w:hAnsi="Times New Roman" w:cs="Times New Roman"/>
          <w:sz w:val="24"/>
          <w:szCs w:val="24"/>
        </w:rPr>
      </w:pPr>
    </w:p>
    <w:p w14:paraId="010C3DE2" w14:textId="77777777" w:rsidR="00CA70F2" w:rsidRPr="00187133" w:rsidRDefault="00CA70F2" w:rsidP="00CA70F2">
      <w:pPr>
        <w:keepNext/>
        <w:keepLines/>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Implications for practice</w:t>
      </w:r>
    </w:p>
    <w:p w14:paraId="4DAEAA64" w14:textId="77777777" w:rsidR="00CA70F2" w:rsidRPr="00801C27" w:rsidRDefault="00CA70F2" w:rsidP="00CA70F2">
      <w:pPr>
        <w:spacing w:after="0" w:line="36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A number of factors are likely to affect access to IAPT services. Where possible, these need to be considered when evaluating the ability of new IAPT services to achieve their access targets. When considering age and specific age groups facing barriers to IAPT service use, the main inequity seems to be at</w:t>
      </w:r>
      <w:r>
        <w:rPr>
          <w:rFonts w:ascii="Times New Roman" w:eastAsia="Times New Roman" w:hAnsi="Times New Roman" w:cs="Times New Roman"/>
          <w:sz w:val="24"/>
          <w:szCs w:val="24"/>
        </w:rPr>
        <w:t xml:space="preserve"> the referral stage. Although 20-29</w:t>
      </w:r>
      <w:r w:rsidRPr="00801C27">
        <w:rPr>
          <w:rFonts w:ascii="Times New Roman" w:eastAsia="Times New Roman" w:hAnsi="Times New Roman" w:cs="Times New Roman"/>
          <w:sz w:val="24"/>
          <w:szCs w:val="24"/>
        </w:rPr>
        <w:t xml:space="preserve"> year olds are being referred in the largest numbers, </w:t>
      </w:r>
      <w:r>
        <w:rPr>
          <w:rFonts w:ascii="Times New Roman" w:eastAsia="Times New Roman" w:hAnsi="Times New Roman" w:cs="Times New Roman"/>
          <w:sz w:val="24"/>
          <w:szCs w:val="24"/>
        </w:rPr>
        <w:t xml:space="preserve">the proportion </w:t>
      </w:r>
      <w:r w:rsidRPr="00801C27">
        <w:rPr>
          <w:rFonts w:ascii="Times New Roman" w:eastAsia="Times New Roman" w:hAnsi="Times New Roman" w:cs="Times New Roman"/>
          <w:sz w:val="24"/>
          <w:szCs w:val="24"/>
        </w:rPr>
        <w:t>remain</w:t>
      </w:r>
      <w:r>
        <w:rPr>
          <w:rFonts w:ascii="Times New Roman" w:eastAsia="Times New Roman" w:hAnsi="Times New Roman" w:cs="Times New Roman"/>
          <w:sz w:val="24"/>
          <w:szCs w:val="24"/>
        </w:rPr>
        <w:t>ing</w:t>
      </w:r>
      <w:r w:rsidRPr="00801C27">
        <w:rPr>
          <w:rFonts w:ascii="Times New Roman" w:eastAsia="Times New Roman" w:hAnsi="Times New Roman" w:cs="Times New Roman"/>
          <w:sz w:val="24"/>
          <w:szCs w:val="24"/>
        </w:rPr>
        <w:t xml:space="preserve"> engaged with treatment</w:t>
      </w:r>
      <w:r>
        <w:rPr>
          <w:rFonts w:ascii="Times New Roman" w:eastAsia="Times New Roman" w:hAnsi="Times New Roman" w:cs="Times New Roman"/>
          <w:sz w:val="24"/>
          <w:szCs w:val="24"/>
        </w:rPr>
        <w:t xml:space="preserve"> increases with age</w:t>
      </w:r>
      <w:r w:rsidRPr="00801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Barriers to engagement with the IAPT service in younger populations may be overcome by using different technologies, for example. Older adults are being under referred but benefit largely once obtaining access to the service. </w:t>
      </w:r>
      <w:r w:rsidRPr="00801C27">
        <w:rPr>
          <w:rFonts w:ascii="Times New Roman" w:eastAsia="Times New Roman" w:hAnsi="Times New Roman" w:cs="Times New Roman"/>
          <w:sz w:val="24"/>
          <w:szCs w:val="24"/>
        </w:rPr>
        <w:t xml:space="preserve">This suggests </w:t>
      </w:r>
      <w:r>
        <w:rPr>
          <w:rFonts w:ascii="Times New Roman" w:eastAsia="Times New Roman" w:hAnsi="Times New Roman" w:cs="Times New Roman"/>
          <w:sz w:val="24"/>
          <w:szCs w:val="24"/>
        </w:rPr>
        <w:t>the</w:t>
      </w:r>
      <w:r w:rsidRPr="00801C2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inequities need </w:t>
      </w:r>
      <w:r w:rsidRPr="00801C27">
        <w:rPr>
          <w:rFonts w:ascii="Times New Roman" w:eastAsia="Times New Roman" w:hAnsi="Times New Roman" w:cs="Times New Roman"/>
          <w:sz w:val="24"/>
          <w:szCs w:val="24"/>
        </w:rPr>
        <w:t>to be acknowledged and addressed. Several barriers to treatment associated with age have been identified in recent work, including older patients’ own perceptions, attitudes and behaviours towards mental health and associated talking treatments, and communication problems between the patient and doc</w:t>
      </w:r>
      <w:r>
        <w:rPr>
          <w:rFonts w:ascii="Times New Roman" w:eastAsia="Times New Roman" w:hAnsi="Times New Roman" w:cs="Times New Roman"/>
          <w:sz w:val="24"/>
          <w:szCs w:val="24"/>
        </w:rPr>
        <w:t>tor</w:t>
      </w:r>
      <w:r w:rsidRPr="00801C27">
        <w:rPr>
          <w:rFonts w:ascii="Times New Roman" w:eastAsia="Times New Roman" w:hAnsi="Times New Roman" w:cs="Times New Roman"/>
          <w:sz w:val="24"/>
          <w:szCs w:val="24"/>
        </w:rPr>
        <w:t>.</w:t>
      </w:r>
    </w:p>
    <w:p w14:paraId="39DDCE3B" w14:textId="77777777" w:rsidR="00084BE2" w:rsidRDefault="00084BE2" w:rsidP="00C22CFD">
      <w:pPr>
        <w:spacing w:after="0" w:line="360" w:lineRule="auto"/>
        <w:rPr>
          <w:rFonts w:ascii="Times New Roman" w:eastAsia="Times New Roman" w:hAnsi="Times New Roman" w:cs="Times New Roman"/>
          <w:sz w:val="24"/>
          <w:szCs w:val="24"/>
        </w:rPr>
      </w:pPr>
    </w:p>
    <w:p w14:paraId="7C1DBE05" w14:textId="77777777" w:rsidR="00C75E1C" w:rsidRDefault="00C75E1C">
      <w:pPr>
        <w:spacing w:after="0" w:line="240" w:lineRule="auto"/>
        <w:rPr>
          <w:rFonts w:ascii="Times New Roman" w:eastAsia="Times New Roman" w:hAnsi="Times New Roman" w:cs="Times New Roman"/>
          <w:b/>
          <w:sz w:val="24"/>
          <w:szCs w:val="24"/>
        </w:rPr>
      </w:pPr>
    </w:p>
    <w:p w14:paraId="0BF9FFED" w14:textId="21358349" w:rsidR="00084BE2" w:rsidRPr="00801C27" w:rsidRDefault="00D076CF">
      <w:pPr>
        <w:spacing w:after="0" w:line="240" w:lineRule="auto"/>
        <w:rPr>
          <w:rFonts w:ascii="Times New Roman" w:eastAsia="Times New Roman" w:hAnsi="Times New Roman" w:cs="Times New Roman"/>
          <w:b/>
          <w:sz w:val="24"/>
          <w:szCs w:val="24"/>
        </w:rPr>
      </w:pPr>
      <w:r w:rsidRPr="00801C27">
        <w:rPr>
          <w:rFonts w:ascii="Times New Roman" w:eastAsia="Times New Roman" w:hAnsi="Times New Roman" w:cs="Times New Roman"/>
          <w:b/>
          <w:sz w:val="24"/>
          <w:szCs w:val="24"/>
        </w:rPr>
        <w:t>Acknowledgements</w:t>
      </w:r>
      <w:r w:rsidR="00187133">
        <w:rPr>
          <w:rFonts w:ascii="Times New Roman" w:eastAsia="Times New Roman" w:hAnsi="Times New Roman" w:cs="Times New Roman"/>
          <w:b/>
          <w:sz w:val="24"/>
          <w:szCs w:val="24"/>
        </w:rPr>
        <w:t xml:space="preserve"> and funding body</w:t>
      </w:r>
    </w:p>
    <w:p w14:paraId="0107B8C8" w14:textId="77777777" w:rsidR="005B3D88" w:rsidRDefault="00D076CF" w:rsidP="005B3D88">
      <w:pPr>
        <w:spacing w:after="0" w:line="240" w:lineRule="auto"/>
        <w:rPr>
          <w:rFonts w:ascii="Times New Roman" w:eastAsia="Times New Roman" w:hAnsi="Times New Roman" w:cs="Times New Roman"/>
          <w:sz w:val="24"/>
          <w:szCs w:val="24"/>
        </w:rPr>
      </w:pPr>
      <w:r w:rsidRPr="00801C27">
        <w:rPr>
          <w:rFonts w:ascii="Times New Roman" w:eastAsia="Times New Roman" w:hAnsi="Times New Roman" w:cs="Times New Roman"/>
          <w:sz w:val="24"/>
          <w:szCs w:val="24"/>
        </w:rPr>
        <w:t>This work was conducted as part of the South West of England IAPT Evaluation Project, commissioned by the South West Strategic Health Authority, with additional contributions from the National Institute for Health Research’s Collaboration for Leadership in Applied Health Research and Care for the South West Peninsula. The views expressed in this paper are those of the authors and not necessarily those of the NHS or the NIHR. None of the authors have a conflict of interest to declare.</w:t>
      </w:r>
    </w:p>
    <w:p w14:paraId="155AE6A7" w14:textId="77777777" w:rsidR="00187133" w:rsidRDefault="00187133" w:rsidP="005B3D88">
      <w:pPr>
        <w:spacing w:after="0" w:line="240" w:lineRule="auto"/>
        <w:rPr>
          <w:rFonts w:ascii="Times New Roman" w:eastAsia="Times New Roman" w:hAnsi="Times New Roman" w:cs="Times New Roman"/>
          <w:sz w:val="24"/>
          <w:szCs w:val="24"/>
        </w:rPr>
      </w:pPr>
    </w:p>
    <w:p w14:paraId="5B4F576E" w14:textId="0DD9EABC" w:rsidR="00187133" w:rsidRPr="00187133" w:rsidRDefault="00187133" w:rsidP="005B3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approval</w:t>
      </w:r>
    </w:p>
    <w:p w14:paraId="4AF7894B" w14:textId="77777777" w:rsidR="00187133" w:rsidRPr="00E97569" w:rsidRDefault="00187133" w:rsidP="00187133">
      <w:pPr>
        <w:spacing w:after="0" w:line="240" w:lineRule="auto"/>
        <w:rPr>
          <w:rFonts w:ascii="Times New Roman" w:eastAsia="Times New Roman" w:hAnsi="Times New Roman" w:cs="Times New Roman"/>
          <w:b/>
          <w:color w:val="FF0000"/>
          <w:sz w:val="28"/>
          <w:szCs w:val="24"/>
        </w:rPr>
      </w:pPr>
      <w:r w:rsidRPr="00E97569">
        <w:rPr>
          <w:rFonts w:ascii="Times New Roman" w:hAnsi="Times New Roman" w:cs="Times New Roman"/>
          <w:sz w:val="24"/>
        </w:rPr>
        <w:t xml:space="preserve">The dataset was created for a service evaluation project of the IAPT services commissioned by the South West Strategic Health Authority.  Ethical approval was sought from and granted by the Cornwall and Plymouth Research Ethics Committee (Approval no. 09/H0203/91). </w:t>
      </w:r>
    </w:p>
    <w:p w14:paraId="1CFA5765" w14:textId="77777777" w:rsidR="00187133" w:rsidRDefault="00187133" w:rsidP="005B3D88">
      <w:pPr>
        <w:spacing w:after="0" w:line="240" w:lineRule="auto"/>
        <w:rPr>
          <w:rFonts w:ascii="Times New Roman" w:eastAsia="Times New Roman" w:hAnsi="Times New Roman" w:cs="Times New Roman"/>
          <w:sz w:val="24"/>
          <w:szCs w:val="24"/>
        </w:rPr>
      </w:pPr>
    </w:p>
    <w:p w14:paraId="3952B0F3" w14:textId="77777777" w:rsidR="005B3D88" w:rsidRDefault="005B3D88" w:rsidP="005B3D88">
      <w:pPr>
        <w:spacing w:after="0" w:line="240" w:lineRule="auto"/>
        <w:rPr>
          <w:rFonts w:ascii="Times New Roman" w:eastAsia="Times New Roman" w:hAnsi="Times New Roman" w:cs="Times New Roman"/>
          <w:sz w:val="24"/>
          <w:szCs w:val="24"/>
        </w:rPr>
      </w:pPr>
    </w:p>
    <w:p w14:paraId="31020B7D" w14:textId="77777777" w:rsidR="00462FB9" w:rsidRDefault="00462FB9" w:rsidP="005B3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 of interest</w:t>
      </w:r>
    </w:p>
    <w:p w14:paraId="2A33FE3F" w14:textId="367F8ABC" w:rsidR="005B3D88" w:rsidRDefault="00066966" w:rsidP="005B3D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 was conducted as part of the South West of England IAPT Evaluation Project, commissioned by the South West Strategic Health Authority, with additional contributions from the NIHRs PenCLAHRC. The views expressed in this paper are those of the authors and not necessarily those of the NHS or the NIHR. None of the authors have a conflict of interest to declare.</w:t>
      </w:r>
      <w:r w:rsidR="005B3D88">
        <w:rPr>
          <w:rFonts w:ascii="Times New Roman" w:eastAsia="Times New Roman" w:hAnsi="Times New Roman" w:cs="Times New Roman"/>
          <w:sz w:val="24"/>
          <w:szCs w:val="24"/>
        </w:rPr>
        <w:t xml:space="preserve"> </w:t>
      </w:r>
    </w:p>
    <w:p w14:paraId="435D5D61" w14:textId="77777777" w:rsidR="005B3D88" w:rsidRDefault="005B3D88" w:rsidP="005B3D88">
      <w:pPr>
        <w:spacing w:after="0" w:line="240" w:lineRule="auto"/>
        <w:rPr>
          <w:rFonts w:ascii="Times New Roman" w:eastAsia="Times New Roman" w:hAnsi="Times New Roman" w:cs="Times New Roman"/>
          <w:sz w:val="24"/>
          <w:szCs w:val="24"/>
        </w:rPr>
      </w:pPr>
    </w:p>
    <w:p w14:paraId="59508273" w14:textId="77777777" w:rsidR="00C75E1C" w:rsidRDefault="00C75E1C" w:rsidP="00755EE7">
      <w:pPr>
        <w:spacing w:after="0" w:line="240" w:lineRule="auto"/>
        <w:rPr>
          <w:rFonts w:ascii="Times New Roman" w:eastAsia="Times New Roman" w:hAnsi="Times New Roman" w:cs="Times New Roman"/>
          <w:b/>
          <w:sz w:val="24"/>
          <w:szCs w:val="24"/>
        </w:rPr>
      </w:pPr>
    </w:p>
    <w:p w14:paraId="00A95B3C" w14:textId="77777777" w:rsidR="00C75E1C" w:rsidRDefault="00C75E1C" w:rsidP="00755EE7">
      <w:pPr>
        <w:spacing w:after="0" w:line="240" w:lineRule="auto"/>
        <w:rPr>
          <w:rFonts w:ascii="Times New Roman" w:eastAsia="Times New Roman" w:hAnsi="Times New Roman" w:cs="Times New Roman"/>
          <w:b/>
          <w:sz w:val="24"/>
          <w:szCs w:val="24"/>
        </w:rPr>
      </w:pPr>
    </w:p>
    <w:p w14:paraId="7DD1B683" w14:textId="77777777" w:rsidR="00843307" w:rsidRDefault="00843307" w:rsidP="00755EE7">
      <w:pPr>
        <w:spacing w:after="0" w:line="240" w:lineRule="auto"/>
        <w:rPr>
          <w:rFonts w:ascii="Times New Roman" w:eastAsia="Times New Roman" w:hAnsi="Times New Roman" w:cs="Times New Roman"/>
          <w:b/>
          <w:sz w:val="24"/>
          <w:szCs w:val="24"/>
        </w:rPr>
      </w:pPr>
    </w:p>
    <w:p w14:paraId="7153CE53" w14:textId="77777777" w:rsidR="00843307" w:rsidRDefault="00843307" w:rsidP="00755EE7">
      <w:pPr>
        <w:spacing w:after="0" w:line="240" w:lineRule="auto"/>
        <w:rPr>
          <w:rFonts w:ascii="Times New Roman" w:eastAsia="Times New Roman" w:hAnsi="Times New Roman" w:cs="Times New Roman"/>
          <w:b/>
          <w:sz w:val="24"/>
          <w:szCs w:val="24"/>
        </w:rPr>
      </w:pPr>
    </w:p>
    <w:p w14:paraId="371F4768" w14:textId="77777777" w:rsidR="00843307" w:rsidRDefault="00843307" w:rsidP="00755EE7">
      <w:pPr>
        <w:spacing w:after="0" w:line="240" w:lineRule="auto"/>
        <w:rPr>
          <w:rFonts w:ascii="Times New Roman" w:eastAsia="Times New Roman" w:hAnsi="Times New Roman" w:cs="Times New Roman"/>
          <w:b/>
          <w:sz w:val="24"/>
          <w:szCs w:val="24"/>
        </w:rPr>
      </w:pPr>
    </w:p>
    <w:p w14:paraId="2BC434FF" w14:textId="77777777" w:rsidR="00755EE7" w:rsidRPr="00A66CE8" w:rsidRDefault="00755EE7" w:rsidP="00755EE7">
      <w:pPr>
        <w:spacing w:after="0" w:line="240" w:lineRule="auto"/>
        <w:rPr>
          <w:rFonts w:ascii="Times New Roman" w:eastAsia="Times New Roman" w:hAnsi="Times New Roman" w:cs="Times New Roman"/>
          <w:b/>
          <w:sz w:val="24"/>
          <w:szCs w:val="24"/>
        </w:rPr>
      </w:pPr>
      <w:r w:rsidRPr="00A66CE8">
        <w:rPr>
          <w:rFonts w:ascii="Times New Roman" w:eastAsia="Times New Roman" w:hAnsi="Times New Roman" w:cs="Times New Roman"/>
          <w:b/>
          <w:sz w:val="24"/>
          <w:szCs w:val="24"/>
        </w:rPr>
        <w:lastRenderedPageBreak/>
        <w:t>REFERENCES</w:t>
      </w:r>
    </w:p>
    <w:p w14:paraId="2131F753" w14:textId="3E5DD9C7" w:rsidR="00755EE7" w:rsidRPr="001C352D" w:rsidRDefault="00E902CF" w:rsidP="00755EE7">
      <w:pPr>
        <w:spacing w:after="0" w:line="240" w:lineRule="auto"/>
        <w:rPr>
          <w:rFonts w:ascii="Times New Roman" w:eastAsia="Times New Roman" w:hAnsi="Times New Roman" w:cs="Times New Roman"/>
          <w:sz w:val="24"/>
          <w:szCs w:val="24"/>
        </w:rPr>
      </w:pPr>
      <w:r w:rsidRPr="001C352D">
        <w:rPr>
          <w:rFonts w:ascii="Times New Roman" w:eastAsia="Times New Roman" w:hAnsi="Times New Roman" w:cs="Times New Roman"/>
          <w:sz w:val="24"/>
          <w:szCs w:val="24"/>
        </w:rPr>
        <w:t>1</w:t>
      </w:r>
      <w:r w:rsidR="00755EE7" w:rsidRPr="001C352D">
        <w:rPr>
          <w:rFonts w:ascii="Times New Roman" w:eastAsia="Times New Roman" w:hAnsi="Times New Roman" w:cs="Times New Roman"/>
          <w:sz w:val="24"/>
          <w:szCs w:val="24"/>
        </w:rPr>
        <w:t xml:space="preserve"> Anderson D, Banjerjee S, Barker A, </w:t>
      </w:r>
      <w:r w:rsidR="00CF3F04" w:rsidRPr="001C352D">
        <w:rPr>
          <w:rFonts w:ascii="Times New Roman" w:eastAsia="Times New Roman" w:hAnsi="Times New Roman" w:cs="Times New Roman"/>
          <w:sz w:val="24"/>
          <w:szCs w:val="24"/>
        </w:rPr>
        <w:t xml:space="preserve">et al. </w:t>
      </w:r>
      <w:r w:rsidR="00755EE7" w:rsidRPr="001C352D">
        <w:rPr>
          <w:rFonts w:ascii="Times New Roman" w:eastAsia="Times New Roman" w:hAnsi="Times New Roman" w:cs="Times New Roman"/>
          <w:sz w:val="24"/>
          <w:szCs w:val="24"/>
        </w:rPr>
        <w:t xml:space="preserve">The need to tackle age discrimination in mental health. A compendium of evidence. </w:t>
      </w:r>
      <w:r w:rsidR="00755EE7" w:rsidRPr="001C352D">
        <w:rPr>
          <w:rFonts w:ascii="Times New Roman" w:eastAsia="Times New Roman" w:hAnsi="Times New Roman" w:cs="Times New Roman"/>
          <w:i/>
          <w:sz w:val="24"/>
          <w:szCs w:val="24"/>
        </w:rPr>
        <w:t xml:space="preserve">Royal </w:t>
      </w:r>
      <w:r w:rsidR="001C352D" w:rsidRPr="001C352D">
        <w:rPr>
          <w:rFonts w:ascii="Times New Roman" w:eastAsia="Times New Roman" w:hAnsi="Times New Roman" w:cs="Times New Roman"/>
          <w:i/>
          <w:sz w:val="24"/>
          <w:szCs w:val="24"/>
        </w:rPr>
        <w:t>C</w:t>
      </w:r>
      <w:r w:rsidR="00755EE7" w:rsidRPr="001C352D">
        <w:rPr>
          <w:rFonts w:ascii="Times New Roman" w:eastAsia="Times New Roman" w:hAnsi="Times New Roman" w:cs="Times New Roman"/>
          <w:i/>
          <w:sz w:val="24"/>
          <w:szCs w:val="24"/>
        </w:rPr>
        <w:t xml:space="preserve">ol </w:t>
      </w:r>
      <w:r w:rsidR="001C352D" w:rsidRPr="001C352D">
        <w:rPr>
          <w:rFonts w:ascii="Times New Roman" w:eastAsia="Times New Roman" w:hAnsi="Times New Roman" w:cs="Times New Roman"/>
          <w:i/>
          <w:sz w:val="24"/>
          <w:szCs w:val="24"/>
        </w:rPr>
        <w:t xml:space="preserve">Psychiatr. </w:t>
      </w:r>
      <w:r w:rsidR="001C352D" w:rsidRPr="001C352D">
        <w:rPr>
          <w:rFonts w:ascii="Times New Roman" w:eastAsia="Times New Roman" w:hAnsi="Times New Roman" w:cs="Times New Roman"/>
          <w:sz w:val="24"/>
          <w:szCs w:val="24"/>
        </w:rPr>
        <w:t>2009[cited 2015 Jun 29]</w:t>
      </w:r>
      <w:r w:rsidR="00755EE7" w:rsidRPr="001C352D">
        <w:rPr>
          <w:rFonts w:ascii="Times New Roman" w:eastAsia="Times New Roman" w:hAnsi="Times New Roman" w:cs="Times New Roman"/>
          <w:sz w:val="24"/>
          <w:szCs w:val="24"/>
        </w:rPr>
        <w:t xml:space="preserve"> </w:t>
      </w:r>
      <w:r w:rsidR="001C352D" w:rsidRPr="001C352D">
        <w:rPr>
          <w:rFonts w:ascii="Times New Roman" w:eastAsia="Times New Roman" w:hAnsi="Times New Roman" w:cs="Times New Roman"/>
          <w:sz w:val="24"/>
          <w:szCs w:val="24"/>
        </w:rPr>
        <w:t>Available</w:t>
      </w:r>
      <w:r w:rsidR="00755EE7" w:rsidRPr="001C352D">
        <w:rPr>
          <w:rFonts w:ascii="Times New Roman" w:eastAsia="Times New Roman" w:hAnsi="Times New Roman" w:cs="Times New Roman"/>
          <w:sz w:val="24"/>
          <w:szCs w:val="24"/>
        </w:rPr>
        <w:t xml:space="preserve"> from</w:t>
      </w:r>
      <w:r w:rsidR="001C352D" w:rsidRPr="001C352D">
        <w:rPr>
          <w:rFonts w:ascii="Times New Roman" w:eastAsia="Times New Roman" w:hAnsi="Times New Roman" w:cs="Times New Roman"/>
          <w:sz w:val="24"/>
          <w:szCs w:val="24"/>
        </w:rPr>
        <w:t>:</w:t>
      </w:r>
    </w:p>
    <w:p w14:paraId="14E9F915" w14:textId="77777777" w:rsidR="00755EE7" w:rsidRPr="001C352D" w:rsidRDefault="00755EE7" w:rsidP="00755EE7">
      <w:pPr>
        <w:spacing w:after="0" w:line="240" w:lineRule="auto"/>
        <w:rPr>
          <w:rFonts w:ascii="Times New Roman" w:eastAsia="Times New Roman" w:hAnsi="Times New Roman" w:cs="Times New Roman"/>
          <w:sz w:val="24"/>
          <w:szCs w:val="24"/>
        </w:rPr>
      </w:pPr>
      <w:r w:rsidRPr="001C352D">
        <w:rPr>
          <w:rFonts w:ascii="Times New Roman" w:eastAsia="Times New Roman" w:hAnsi="Times New Roman" w:cs="Times New Roman"/>
          <w:sz w:val="24"/>
          <w:szCs w:val="24"/>
        </w:rPr>
        <w:t>http://docplayer.net/107785-The-need-to-tackle-age-discrimination-in-mental-health-a-compendium-of-evidence.html</w:t>
      </w:r>
    </w:p>
    <w:p w14:paraId="6F054A81" w14:textId="77777777" w:rsidR="00755EE7" w:rsidRPr="00950BF4" w:rsidRDefault="00755EE7" w:rsidP="00755EE7">
      <w:pPr>
        <w:spacing w:after="0" w:line="240" w:lineRule="auto"/>
        <w:rPr>
          <w:rFonts w:ascii="Times New Roman" w:hAnsi="Times New Roman" w:cs="Times New Roman"/>
          <w:sz w:val="24"/>
          <w:szCs w:val="24"/>
        </w:rPr>
      </w:pPr>
    </w:p>
    <w:p w14:paraId="390839B0" w14:textId="4B87A905" w:rsidR="00755EE7" w:rsidRPr="00950BF4" w:rsidRDefault="00755EE7" w:rsidP="00755EE7">
      <w:pPr>
        <w:spacing w:after="0" w:line="240" w:lineRule="auto"/>
        <w:rPr>
          <w:rFonts w:ascii="Times New Roman" w:eastAsia="Times New Roman" w:hAnsi="Times New Roman" w:cs="Times New Roman"/>
          <w:sz w:val="24"/>
          <w:szCs w:val="24"/>
        </w:rPr>
      </w:pPr>
      <w:r w:rsidRPr="00950BF4">
        <w:rPr>
          <w:rFonts w:ascii="Times New Roman" w:hAnsi="Times New Roman" w:cs="Times New Roman"/>
          <w:sz w:val="24"/>
          <w:szCs w:val="24"/>
        </w:rPr>
        <w:t xml:space="preserve">2 </w:t>
      </w:r>
      <w:r w:rsidRPr="00950BF4">
        <w:rPr>
          <w:rFonts w:ascii="Times New Roman" w:eastAsia="Times New Roman" w:hAnsi="Times New Roman" w:cs="Times New Roman"/>
          <w:sz w:val="24"/>
          <w:szCs w:val="24"/>
        </w:rPr>
        <w:t>Improving access to psychological therapies: Implementation plan: National guidelines for regional delivery</w:t>
      </w:r>
      <w:r w:rsidR="00950BF4" w:rsidRPr="00950BF4">
        <w:rPr>
          <w:rFonts w:ascii="Times New Roman" w:eastAsia="Times New Roman" w:hAnsi="Times New Roman" w:cs="Times New Roman"/>
          <w:sz w:val="24"/>
          <w:szCs w:val="24"/>
        </w:rPr>
        <w:t>. Department of Health. 2008.</w:t>
      </w:r>
    </w:p>
    <w:p w14:paraId="0B99F479" w14:textId="77777777" w:rsidR="00755EE7" w:rsidRPr="00C17600" w:rsidRDefault="00755EE7" w:rsidP="00755EE7">
      <w:pPr>
        <w:spacing w:after="0" w:line="240" w:lineRule="auto"/>
        <w:rPr>
          <w:rFonts w:ascii="Times New Roman" w:hAnsi="Times New Roman" w:cs="Times New Roman"/>
          <w:color w:val="FF0000"/>
          <w:sz w:val="24"/>
          <w:szCs w:val="24"/>
        </w:rPr>
      </w:pPr>
    </w:p>
    <w:p w14:paraId="2C449023" w14:textId="3C665315" w:rsidR="00755EE7" w:rsidRPr="00950BF4" w:rsidRDefault="00755EE7" w:rsidP="00755EE7">
      <w:pPr>
        <w:spacing w:after="0" w:line="240" w:lineRule="auto"/>
        <w:rPr>
          <w:rFonts w:ascii="Times New Roman" w:eastAsia="Times New Roman" w:hAnsi="Times New Roman" w:cs="Times New Roman"/>
          <w:i/>
          <w:sz w:val="24"/>
          <w:szCs w:val="24"/>
        </w:rPr>
      </w:pPr>
      <w:r w:rsidRPr="00950BF4">
        <w:rPr>
          <w:rFonts w:ascii="Times New Roman" w:hAnsi="Times New Roman" w:cs="Times New Roman"/>
          <w:sz w:val="24"/>
          <w:szCs w:val="24"/>
        </w:rPr>
        <w:t xml:space="preserve">3 </w:t>
      </w:r>
      <w:r w:rsidRPr="00950BF4">
        <w:rPr>
          <w:rFonts w:ascii="Times New Roman" w:eastAsia="Times New Roman" w:hAnsi="Times New Roman" w:cs="Times New Roman"/>
          <w:sz w:val="24"/>
          <w:szCs w:val="24"/>
        </w:rPr>
        <w:t>Older people: positive practice guide</w:t>
      </w:r>
      <w:r w:rsidRPr="00950BF4">
        <w:rPr>
          <w:rFonts w:ascii="Times New Roman" w:eastAsia="Times New Roman" w:hAnsi="Times New Roman" w:cs="Times New Roman"/>
          <w:i/>
          <w:sz w:val="24"/>
          <w:szCs w:val="24"/>
        </w:rPr>
        <w:t xml:space="preserve">. </w:t>
      </w:r>
      <w:r w:rsidRPr="00950BF4">
        <w:rPr>
          <w:rFonts w:ascii="Times New Roman" w:eastAsia="Times New Roman" w:hAnsi="Times New Roman" w:cs="Times New Roman"/>
          <w:sz w:val="24"/>
          <w:szCs w:val="24"/>
        </w:rPr>
        <w:t>Improving Access to Psychological Therapies</w:t>
      </w:r>
      <w:r w:rsidR="00950BF4" w:rsidRPr="00950BF4">
        <w:rPr>
          <w:rFonts w:ascii="Times New Roman" w:eastAsia="Times New Roman" w:hAnsi="Times New Roman" w:cs="Times New Roman"/>
          <w:sz w:val="24"/>
          <w:szCs w:val="24"/>
        </w:rPr>
        <w:t>. National Health Service. 2009.</w:t>
      </w:r>
    </w:p>
    <w:p w14:paraId="5D5A61CF" w14:textId="77777777" w:rsidR="00755EE7" w:rsidRPr="00950BF4" w:rsidRDefault="00755EE7" w:rsidP="00755EE7">
      <w:pPr>
        <w:spacing w:after="0" w:line="240" w:lineRule="auto"/>
        <w:rPr>
          <w:rFonts w:ascii="Times New Roman" w:hAnsi="Times New Roman" w:cs="Times New Roman"/>
          <w:sz w:val="24"/>
          <w:szCs w:val="24"/>
        </w:rPr>
      </w:pPr>
    </w:p>
    <w:p w14:paraId="6F672CE5" w14:textId="2CBD94FD" w:rsidR="00755EE7" w:rsidRPr="00950BF4" w:rsidRDefault="00755EE7" w:rsidP="00755EE7">
      <w:pPr>
        <w:spacing w:after="0" w:line="240" w:lineRule="auto"/>
        <w:rPr>
          <w:rFonts w:ascii="Times New Roman" w:hAnsi="Times New Roman" w:cs="Times New Roman"/>
          <w:sz w:val="24"/>
          <w:szCs w:val="24"/>
          <w:shd w:val="clear" w:color="auto" w:fill="FFFFFF"/>
        </w:rPr>
      </w:pPr>
      <w:r w:rsidRPr="00950BF4">
        <w:rPr>
          <w:rFonts w:ascii="Times New Roman" w:hAnsi="Times New Roman" w:cs="Times New Roman"/>
          <w:sz w:val="24"/>
          <w:szCs w:val="24"/>
        </w:rPr>
        <w:t xml:space="preserve">4 </w:t>
      </w:r>
      <w:r w:rsidR="00950BF4" w:rsidRPr="00950BF4">
        <w:rPr>
          <w:rStyle w:val="personname"/>
          <w:rFonts w:ascii="Times New Roman" w:hAnsi="Times New Roman" w:cs="Times New Roman"/>
          <w:sz w:val="24"/>
          <w:szCs w:val="24"/>
          <w:shd w:val="clear" w:color="auto" w:fill="FFFFFF"/>
        </w:rPr>
        <w:t>McManus</w:t>
      </w:r>
      <w:r w:rsidRPr="00950BF4">
        <w:rPr>
          <w:rStyle w:val="personname"/>
          <w:rFonts w:ascii="Times New Roman" w:hAnsi="Times New Roman" w:cs="Times New Roman"/>
          <w:sz w:val="24"/>
          <w:szCs w:val="24"/>
          <w:shd w:val="clear" w:color="auto" w:fill="FFFFFF"/>
        </w:rPr>
        <w:t xml:space="preserve"> S</w:t>
      </w:r>
      <w:r w:rsidR="00950BF4" w:rsidRPr="00950BF4">
        <w:rPr>
          <w:rStyle w:val="personname"/>
          <w:rFonts w:ascii="Times New Roman" w:hAnsi="Times New Roman" w:cs="Times New Roman"/>
          <w:sz w:val="24"/>
          <w:szCs w:val="24"/>
          <w:shd w:val="clear" w:color="auto" w:fill="FFFFFF"/>
        </w:rPr>
        <w:t>,</w:t>
      </w:r>
      <w:r w:rsidRPr="00950BF4">
        <w:rPr>
          <w:rStyle w:val="apple-converted-space"/>
          <w:rFonts w:ascii="Times New Roman" w:hAnsi="Times New Roman" w:cs="Times New Roman"/>
          <w:sz w:val="24"/>
          <w:szCs w:val="24"/>
          <w:shd w:val="clear" w:color="auto" w:fill="FFFFFF"/>
        </w:rPr>
        <w:t> </w:t>
      </w:r>
      <w:r w:rsidRPr="00950BF4">
        <w:rPr>
          <w:rStyle w:val="personname"/>
          <w:rFonts w:ascii="Times New Roman" w:hAnsi="Times New Roman" w:cs="Times New Roman"/>
          <w:sz w:val="24"/>
          <w:szCs w:val="24"/>
          <w:shd w:val="clear" w:color="auto" w:fill="FFFFFF"/>
        </w:rPr>
        <w:t>Meltzer H</w:t>
      </w:r>
      <w:r w:rsidR="00950BF4" w:rsidRPr="00950BF4">
        <w:rPr>
          <w:rFonts w:ascii="Times New Roman" w:hAnsi="Times New Roman" w:cs="Times New Roman"/>
          <w:sz w:val="24"/>
          <w:szCs w:val="24"/>
          <w:shd w:val="clear" w:color="auto" w:fill="FFFFFF"/>
        </w:rPr>
        <w:t>,</w:t>
      </w:r>
      <w:r w:rsidRPr="00950BF4">
        <w:rPr>
          <w:rStyle w:val="apple-converted-space"/>
          <w:rFonts w:ascii="Times New Roman" w:hAnsi="Times New Roman" w:cs="Times New Roman"/>
          <w:sz w:val="24"/>
          <w:szCs w:val="24"/>
          <w:shd w:val="clear" w:color="auto" w:fill="FFFFFF"/>
        </w:rPr>
        <w:t> </w:t>
      </w:r>
      <w:r w:rsidRPr="00950BF4">
        <w:rPr>
          <w:rStyle w:val="personname"/>
          <w:rFonts w:ascii="Times New Roman" w:hAnsi="Times New Roman" w:cs="Times New Roman"/>
          <w:sz w:val="24"/>
          <w:szCs w:val="24"/>
          <w:shd w:val="clear" w:color="auto" w:fill="FFFFFF"/>
        </w:rPr>
        <w:t>Brugha T</w:t>
      </w:r>
      <w:r w:rsidR="00950BF4" w:rsidRPr="00950BF4">
        <w:rPr>
          <w:rStyle w:val="personname"/>
          <w:rFonts w:ascii="Times New Roman" w:hAnsi="Times New Roman" w:cs="Times New Roman"/>
          <w:sz w:val="24"/>
          <w:szCs w:val="24"/>
          <w:shd w:val="clear" w:color="auto" w:fill="FFFFFF"/>
        </w:rPr>
        <w:t>,</w:t>
      </w:r>
      <w:r w:rsidRPr="00950BF4">
        <w:rPr>
          <w:rStyle w:val="apple-converted-space"/>
          <w:rFonts w:ascii="Times New Roman" w:hAnsi="Times New Roman" w:cs="Times New Roman"/>
          <w:sz w:val="24"/>
          <w:szCs w:val="24"/>
          <w:shd w:val="clear" w:color="auto" w:fill="FFFFFF"/>
        </w:rPr>
        <w:t> </w:t>
      </w:r>
      <w:r w:rsidR="00CF3F04" w:rsidRPr="00950BF4">
        <w:rPr>
          <w:rStyle w:val="personname"/>
          <w:rFonts w:ascii="Times New Roman" w:hAnsi="Times New Roman" w:cs="Times New Roman"/>
          <w:sz w:val="24"/>
          <w:szCs w:val="24"/>
          <w:shd w:val="clear" w:color="auto" w:fill="FFFFFF"/>
        </w:rPr>
        <w:t>et al.</w:t>
      </w:r>
      <w:r w:rsidR="00950BF4" w:rsidRPr="00950BF4">
        <w:rPr>
          <w:rStyle w:val="personname"/>
          <w:rFonts w:ascii="Times New Roman" w:hAnsi="Times New Roman" w:cs="Times New Roman"/>
          <w:sz w:val="24"/>
          <w:szCs w:val="24"/>
          <w:shd w:val="clear" w:color="auto" w:fill="FFFFFF"/>
        </w:rPr>
        <w:t xml:space="preserve"> </w:t>
      </w:r>
      <w:r w:rsidRPr="00950BF4">
        <w:rPr>
          <w:rFonts w:ascii="Times New Roman" w:hAnsi="Times New Roman" w:cs="Times New Roman"/>
          <w:sz w:val="24"/>
          <w:szCs w:val="24"/>
          <w:shd w:val="clear" w:color="auto" w:fill="FFFFFF"/>
        </w:rPr>
        <w:t>Adult Psychiatric Morbidity in England, 2007: Results of a Household Survey.</w:t>
      </w:r>
      <w:r w:rsidRPr="00950BF4">
        <w:rPr>
          <w:rStyle w:val="apple-converted-space"/>
          <w:rFonts w:ascii="Times New Roman" w:hAnsi="Times New Roman" w:cs="Times New Roman"/>
          <w:sz w:val="24"/>
          <w:szCs w:val="24"/>
          <w:shd w:val="clear" w:color="auto" w:fill="FFFFFF"/>
        </w:rPr>
        <w:t> </w:t>
      </w:r>
      <w:r w:rsidRPr="00950BF4">
        <w:rPr>
          <w:rFonts w:ascii="Times New Roman" w:hAnsi="Times New Roman" w:cs="Times New Roman"/>
          <w:sz w:val="24"/>
          <w:szCs w:val="24"/>
          <w:shd w:val="clear" w:color="auto" w:fill="FFFFFF"/>
        </w:rPr>
        <w:t>The NHS Information Centre for Health and Social Care</w:t>
      </w:r>
      <w:r w:rsidR="00950BF4" w:rsidRPr="00950BF4">
        <w:rPr>
          <w:rStyle w:val="apple-converted-space"/>
          <w:rFonts w:ascii="Times New Roman" w:hAnsi="Times New Roman" w:cs="Times New Roman"/>
          <w:sz w:val="24"/>
          <w:szCs w:val="24"/>
          <w:shd w:val="clear" w:color="auto" w:fill="FFFFFF"/>
        </w:rPr>
        <w:t>. 2009.</w:t>
      </w:r>
    </w:p>
    <w:p w14:paraId="64324034" w14:textId="77777777" w:rsidR="00755EE7" w:rsidRDefault="00755EE7" w:rsidP="00755EE7">
      <w:pPr>
        <w:spacing w:after="0" w:line="240" w:lineRule="auto"/>
        <w:rPr>
          <w:rFonts w:ascii="Times New Roman" w:hAnsi="Times New Roman" w:cs="Times New Roman"/>
          <w:sz w:val="24"/>
          <w:szCs w:val="24"/>
        </w:rPr>
      </w:pPr>
    </w:p>
    <w:p w14:paraId="76D60432" w14:textId="5A8966A5" w:rsidR="00755EE7"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Pr="008C0AFE">
        <w:rPr>
          <w:rFonts w:ascii="Times New Roman" w:eastAsia="Times New Roman" w:hAnsi="Times New Roman" w:cs="Times New Roman"/>
          <w:sz w:val="24"/>
          <w:szCs w:val="24"/>
        </w:rPr>
        <w:t xml:space="preserve"> </w:t>
      </w:r>
      <w:r w:rsidRPr="00240013">
        <w:rPr>
          <w:rFonts w:ascii="Times New Roman" w:eastAsia="Times New Roman" w:hAnsi="Times New Roman" w:cs="Times New Roman"/>
          <w:sz w:val="24"/>
          <w:szCs w:val="24"/>
        </w:rPr>
        <w:t>Henderson A</w:t>
      </w:r>
      <w:r w:rsidR="00E902CF">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 xml:space="preserve"> Jorm A, Korten A</w:t>
      </w:r>
      <w:r w:rsidR="00E902CF">
        <w:rPr>
          <w:rFonts w:ascii="Times New Roman" w:eastAsia="Times New Roman" w:hAnsi="Times New Roman" w:cs="Times New Roman"/>
          <w:sz w:val="24"/>
          <w:szCs w:val="24"/>
        </w:rPr>
        <w:t>,</w:t>
      </w:r>
      <w:r w:rsidR="00CF3F04">
        <w:rPr>
          <w:rFonts w:ascii="Times New Roman" w:eastAsia="Times New Roman" w:hAnsi="Times New Roman" w:cs="Times New Roman"/>
          <w:sz w:val="24"/>
          <w:szCs w:val="24"/>
        </w:rPr>
        <w:t xml:space="preserve"> et al</w:t>
      </w:r>
      <w:r w:rsidRPr="00240013">
        <w:rPr>
          <w:rFonts w:ascii="Times New Roman" w:eastAsia="Times New Roman" w:hAnsi="Times New Roman" w:cs="Times New Roman"/>
          <w:sz w:val="24"/>
          <w:szCs w:val="24"/>
        </w:rPr>
        <w:t xml:space="preserve">. Symptoms of depression and anxiety during adult life: evidence for a decline in prevalence with age. </w:t>
      </w:r>
      <w:r w:rsidRPr="00240013">
        <w:rPr>
          <w:rFonts w:ascii="Times New Roman" w:eastAsia="Times New Roman" w:hAnsi="Times New Roman" w:cs="Times New Roman"/>
          <w:i/>
          <w:sz w:val="24"/>
          <w:szCs w:val="24"/>
        </w:rPr>
        <w:t xml:space="preserve">Psychol </w:t>
      </w:r>
      <w:r w:rsidR="00C17600">
        <w:rPr>
          <w:rFonts w:ascii="Times New Roman" w:eastAsia="Times New Roman" w:hAnsi="Times New Roman" w:cs="Times New Roman"/>
          <w:i/>
          <w:sz w:val="24"/>
          <w:szCs w:val="24"/>
        </w:rPr>
        <w:t>M</w:t>
      </w:r>
      <w:r w:rsidRPr="00240013">
        <w:rPr>
          <w:rFonts w:ascii="Times New Roman" w:eastAsia="Times New Roman" w:hAnsi="Times New Roman" w:cs="Times New Roman"/>
          <w:i/>
          <w:sz w:val="24"/>
          <w:szCs w:val="24"/>
        </w:rPr>
        <w:t xml:space="preserve">ed. </w:t>
      </w:r>
      <w:r w:rsidR="00E902CF" w:rsidRPr="00E902CF">
        <w:rPr>
          <w:rFonts w:ascii="Times New Roman" w:eastAsia="Times New Roman" w:hAnsi="Times New Roman" w:cs="Times New Roman"/>
          <w:sz w:val="24"/>
          <w:szCs w:val="24"/>
        </w:rPr>
        <w:t>1998</w:t>
      </w:r>
      <w:r w:rsidR="00E902CF">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28</w:t>
      </w:r>
      <w:r w:rsidR="00E902CF">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1321</w:t>
      </w:r>
      <w:r w:rsidR="00E902CF">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1328</w:t>
      </w:r>
      <w:r w:rsidR="00E902CF">
        <w:rPr>
          <w:rFonts w:ascii="Times New Roman" w:eastAsia="Times New Roman" w:hAnsi="Times New Roman" w:cs="Times New Roman"/>
          <w:sz w:val="24"/>
          <w:szCs w:val="24"/>
        </w:rPr>
        <w:t>.</w:t>
      </w:r>
    </w:p>
    <w:p w14:paraId="0B6BF54B" w14:textId="77777777" w:rsidR="00755EE7" w:rsidRDefault="00755EE7" w:rsidP="00755EE7">
      <w:pPr>
        <w:spacing w:after="0" w:line="240" w:lineRule="auto"/>
        <w:rPr>
          <w:rFonts w:ascii="Times New Roman" w:hAnsi="Times New Roman" w:cs="Times New Roman"/>
          <w:sz w:val="24"/>
          <w:szCs w:val="24"/>
        </w:rPr>
      </w:pPr>
    </w:p>
    <w:p w14:paraId="47ADECED" w14:textId="73A8C3B3" w:rsidR="00755EE7" w:rsidRPr="00A66CE8" w:rsidRDefault="00755EE7" w:rsidP="00755EE7">
      <w:pPr>
        <w:spacing w:after="0" w:line="240" w:lineRule="auto"/>
        <w:rPr>
          <w:rFonts w:ascii="Times New Roman" w:eastAsia="Times New Roman" w:hAnsi="Times New Roman" w:cs="Times New Roman"/>
          <w:sz w:val="24"/>
          <w:szCs w:val="24"/>
        </w:rPr>
      </w:pPr>
      <w:r w:rsidRPr="00A66CE8">
        <w:rPr>
          <w:rFonts w:ascii="Times New Roman" w:hAnsi="Times New Roman" w:cs="Times New Roman"/>
          <w:sz w:val="24"/>
          <w:szCs w:val="24"/>
        </w:rPr>
        <w:t>6</w:t>
      </w:r>
      <w:r w:rsidRPr="00A66CE8">
        <w:rPr>
          <w:rFonts w:ascii="Times New Roman" w:eastAsia="Times New Roman" w:hAnsi="Times New Roman" w:cs="Times New Roman"/>
          <w:sz w:val="24"/>
          <w:szCs w:val="24"/>
        </w:rPr>
        <w:t xml:space="preserve"> Stordal E, Mykletun A</w:t>
      </w:r>
      <w:r w:rsidR="00E902CF">
        <w:rPr>
          <w:rFonts w:ascii="Times New Roman" w:eastAsia="Times New Roman" w:hAnsi="Times New Roman" w:cs="Times New Roman"/>
          <w:sz w:val="24"/>
          <w:szCs w:val="24"/>
        </w:rPr>
        <w:t>,</w:t>
      </w:r>
      <w:r w:rsidRPr="00A66CE8">
        <w:rPr>
          <w:rFonts w:ascii="Times New Roman" w:eastAsia="Times New Roman" w:hAnsi="Times New Roman" w:cs="Times New Roman"/>
          <w:sz w:val="24"/>
          <w:szCs w:val="24"/>
        </w:rPr>
        <w:t xml:space="preserve"> Dahl A. The association between age and depression in the general population: a multivariate examination. </w:t>
      </w:r>
      <w:r w:rsidRPr="00A66CE8">
        <w:rPr>
          <w:rFonts w:ascii="Times New Roman" w:eastAsia="Times New Roman" w:hAnsi="Times New Roman" w:cs="Times New Roman"/>
          <w:i/>
          <w:sz w:val="24"/>
          <w:szCs w:val="24"/>
          <w:lang w:val="fr-FR"/>
        </w:rPr>
        <w:t>Acta Psychiatr Scand.</w:t>
      </w:r>
      <w:r w:rsidRPr="00A66CE8">
        <w:rPr>
          <w:rFonts w:ascii="Times New Roman" w:eastAsia="Times New Roman" w:hAnsi="Times New Roman" w:cs="Times New Roman"/>
          <w:sz w:val="24"/>
          <w:szCs w:val="24"/>
          <w:lang w:val="fr-FR"/>
        </w:rPr>
        <w:t xml:space="preserve"> </w:t>
      </w:r>
      <w:r w:rsidR="007F226E">
        <w:rPr>
          <w:rFonts w:ascii="Times New Roman" w:eastAsia="Times New Roman" w:hAnsi="Times New Roman" w:cs="Times New Roman"/>
          <w:sz w:val="24"/>
          <w:szCs w:val="24"/>
          <w:lang w:val="fr-FR"/>
        </w:rPr>
        <w:t>2003;107:</w:t>
      </w:r>
      <w:r w:rsidRPr="00A66CE8">
        <w:rPr>
          <w:rFonts w:ascii="Times New Roman" w:eastAsia="Times New Roman" w:hAnsi="Times New Roman" w:cs="Times New Roman"/>
          <w:sz w:val="24"/>
          <w:szCs w:val="24"/>
          <w:lang w:val="fr-FR"/>
        </w:rPr>
        <w:t>132</w:t>
      </w:r>
      <w:r w:rsidR="007F226E">
        <w:rPr>
          <w:rFonts w:ascii="Times New Roman" w:eastAsia="Times New Roman" w:hAnsi="Times New Roman" w:cs="Times New Roman"/>
          <w:sz w:val="24"/>
          <w:szCs w:val="24"/>
          <w:lang w:val="fr-FR"/>
        </w:rPr>
        <w:t>-</w:t>
      </w:r>
      <w:r w:rsidRPr="00A66CE8">
        <w:rPr>
          <w:rFonts w:ascii="Times New Roman" w:eastAsia="Times New Roman" w:hAnsi="Times New Roman" w:cs="Times New Roman"/>
          <w:sz w:val="24"/>
          <w:szCs w:val="24"/>
          <w:lang w:val="fr-FR"/>
        </w:rPr>
        <w:t>141</w:t>
      </w:r>
      <w:r w:rsidR="007F226E">
        <w:rPr>
          <w:rFonts w:ascii="Times New Roman" w:eastAsia="Times New Roman" w:hAnsi="Times New Roman" w:cs="Times New Roman"/>
          <w:sz w:val="24"/>
          <w:szCs w:val="24"/>
          <w:lang w:val="fr-FR"/>
        </w:rPr>
        <w:t>.</w:t>
      </w:r>
    </w:p>
    <w:p w14:paraId="76672027" w14:textId="77777777" w:rsidR="00755EE7" w:rsidRDefault="00755EE7" w:rsidP="00755EE7">
      <w:pPr>
        <w:spacing w:after="0" w:line="240" w:lineRule="auto"/>
        <w:rPr>
          <w:rFonts w:ascii="Times New Roman" w:hAnsi="Times New Roman" w:cs="Times New Roman"/>
          <w:sz w:val="24"/>
          <w:szCs w:val="24"/>
        </w:rPr>
      </w:pPr>
    </w:p>
    <w:p w14:paraId="6D49731F" w14:textId="78024E35" w:rsidR="00755EE7" w:rsidRPr="000A5542"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7</w:t>
      </w:r>
      <w:r w:rsidRPr="008C0AFE">
        <w:rPr>
          <w:rFonts w:ascii="Times New Roman" w:eastAsia="Times New Roman" w:hAnsi="Times New Roman" w:cs="Times New Roman"/>
          <w:sz w:val="24"/>
          <w:szCs w:val="24"/>
          <w:lang w:val="fi-FI"/>
        </w:rPr>
        <w:t xml:space="preserve"> </w:t>
      </w:r>
      <w:r w:rsidRPr="000A5542">
        <w:rPr>
          <w:rFonts w:ascii="Times New Roman" w:eastAsia="Times New Roman" w:hAnsi="Times New Roman" w:cs="Times New Roman"/>
          <w:sz w:val="24"/>
          <w:szCs w:val="24"/>
          <w:lang w:val="fi-FI"/>
        </w:rPr>
        <w:t>Olfson</w:t>
      </w:r>
      <w:r w:rsidR="00E902CF">
        <w:rPr>
          <w:rFonts w:ascii="Times New Roman" w:eastAsia="Times New Roman" w:hAnsi="Times New Roman" w:cs="Times New Roman"/>
          <w:sz w:val="24"/>
          <w:szCs w:val="24"/>
          <w:lang w:val="fi-FI"/>
        </w:rPr>
        <w:t xml:space="preserve"> M,</w:t>
      </w:r>
      <w:r w:rsidRPr="000A5542">
        <w:rPr>
          <w:rFonts w:ascii="Times New Roman" w:eastAsia="Times New Roman" w:hAnsi="Times New Roman" w:cs="Times New Roman"/>
          <w:sz w:val="24"/>
          <w:szCs w:val="24"/>
          <w:lang w:val="fi-FI"/>
        </w:rPr>
        <w:t xml:space="preserve"> </w:t>
      </w:r>
      <w:r w:rsidR="00E902CF">
        <w:rPr>
          <w:rFonts w:ascii="Times New Roman" w:eastAsia="Times New Roman" w:hAnsi="Times New Roman" w:cs="Times New Roman"/>
          <w:sz w:val="24"/>
          <w:szCs w:val="24"/>
          <w:lang w:val="fi-FI"/>
        </w:rPr>
        <w:t>P</w:t>
      </w:r>
      <w:r w:rsidRPr="000A5542">
        <w:rPr>
          <w:rFonts w:ascii="Times New Roman" w:eastAsia="Times New Roman" w:hAnsi="Times New Roman" w:cs="Times New Roman"/>
          <w:sz w:val="24"/>
          <w:szCs w:val="24"/>
          <w:lang w:val="fi-FI"/>
        </w:rPr>
        <w:t xml:space="preserve">incus H. </w:t>
      </w:r>
      <w:r w:rsidRPr="000A5542">
        <w:rPr>
          <w:rFonts w:ascii="Times New Roman" w:eastAsia="Times New Roman" w:hAnsi="Times New Roman" w:cs="Times New Roman"/>
          <w:sz w:val="24"/>
          <w:szCs w:val="24"/>
        </w:rPr>
        <w:t xml:space="preserve">Outpatient mental health care in nonhospital settings: distribution of patients across provider groups. </w:t>
      </w:r>
      <w:r w:rsidRPr="000A5542">
        <w:rPr>
          <w:rFonts w:ascii="Times New Roman" w:eastAsia="Times New Roman" w:hAnsi="Times New Roman" w:cs="Times New Roman"/>
          <w:i/>
          <w:sz w:val="24"/>
          <w:szCs w:val="24"/>
        </w:rPr>
        <w:t>Am J Psychiatry</w:t>
      </w:r>
      <w:r w:rsidR="007F226E">
        <w:rPr>
          <w:rFonts w:ascii="Times New Roman" w:eastAsia="Times New Roman" w:hAnsi="Times New Roman" w:cs="Times New Roman"/>
          <w:i/>
          <w:sz w:val="24"/>
          <w:szCs w:val="24"/>
        </w:rPr>
        <w:t>.</w:t>
      </w:r>
      <w:r w:rsidRPr="000A5542">
        <w:rPr>
          <w:rFonts w:ascii="Times New Roman" w:eastAsia="Times New Roman" w:hAnsi="Times New Roman" w:cs="Times New Roman"/>
          <w:sz w:val="24"/>
          <w:szCs w:val="24"/>
        </w:rPr>
        <w:t xml:space="preserve"> </w:t>
      </w:r>
      <w:r w:rsidR="007F226E">
        <w:rPr>
          <w:rFonts w:ascii="Times New Roman" w:eastAsia="Times New Roman" w:hAnsi="Times New Roman" w:cs="Times New Roman"/>
          <w:sz w:val="24"/>
          <w:szCs w:val="24"/>
        </w:rPr>
        <w:t>1996;</w:t>
      </w:r>
      <w:r w:rsidRPr="000A5542">
        <w:rPr>
          <w:rFonts w:ascii="Times New Roman" w:eastAsia="Times New Roman" w:hAnsi="Times New Roman" w:cs="Times New Roman"/>
          <w:sz w:val="24"/>
          <w:szCs w:val="24"/>
        </w:rPr>
        <w:t>153:1353</w:t>
      </w:r>
      <w:r w:rsidR="007F226E">
        <w:rPr>
          <w:rFonts w:ascii="Times New Roman" w:eastAsia="Times New Roman" w:hAnsi="Times New Roman" w:cs="Times New Roman"/>
          <w:sz w:val="24"/>
          <w:szCs w:val="24"/>
        </w:rPr>
        <w:t>-135</w:t>
      </w:r>
      <w:r w:rsidRPr="000A5542">
        <w:rPr>
          <w:rFonts w:ascii="Times New Roman" w:eastAsia="Times New Roman" w:hAnsi="Times New Roman" w:cs="Times New Roman"/>
          <w:sz w:val="24"/>
          <w:szCs w:val="24"/>
        </w:rPr>
        <w:t>6</w:t>
      </w:r>
      <w:r w:rsidR="007F226E">
        <w:rPr>
          <w:rFonts w:ascii="Times New Roman" w:eastAsia="Times New Roman" w:hAnsi="Times New Roman" w:cs="Times New Roman"/>
          <w:sz w:val="24"/>
          <w:szCs w:val="24"/>
        </w:rPr>
        <w:t>.</w:t>
      </w:r>
    </w:p>
    <w:p w14:paraId="35D26F50" w14:textId="77777777" w:rsidR="00755EE7" w:rsidRDefault="00755EE7" w:rsidP="00755EE7">
      <w:pPr>
        <w:spacing w:after="0" w:line="240" w:lineRule="auto"/>
        <w:rPr>
          <w:rFonts w:ascii="Times New Roman" w:hAnsi="Times New Roman" w:cs="Times New Roman"/>
          <w:sz w:val="24"/>
          <w:szCs w:val="24"/>
        </w:rPr>
      </w:pPr>
    </w:p>
    <w:p w14:paraId="65051E10" w14:textId="4763E00E" w:rsidR="00755EE7" w:rsidRPr="008F3334"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8 </w:t>
      </w:r>
      <w:r w:rsidRPr="008F3334">
        <w:rPr>
          <w:rFonts w:ascii="Times New Roman" w:eastAsia="Times New Roman" w:hAnsi="Times New Roman" w:cs="Times New Roman"/>
          <w:sz w:val="24"/>
          <w:szCs w:val="24"/>
        </w:rPr>
        <w:t xml:space="preserve">Cooper C, Beddington P, McManus S, </w:t>
      </w:r>
      <w:r w:rsidR="00CF3F04">
        <w:rPr>
          <w:rFonts w:ascii="Times New Roman" w:eastAsia="Times New Roman" w:hAnsi="Times New Roman" w:cs="Times New Roman"/>
          <w:sz w:val="24"/>
          <w:szCs w:val="24"/>
        </w:rPr>
        <w:t>et al</w:t>
      </w:r>
      <w:r w:rsidRPr="008F3334">
        <w:rPr>
          <w:rFonts w:ascii="Times New Roman" w:eastAsia="Times New Roman" w:hAnsi="Times New Roman" w:cs="Times New Roman"/>
          <w:sz w:val="24"/>
          <w:szCs w:val="24"/>
        </w:rPr>
        <w:t xml:space="preserve">. The treatment of common mental health disorders across age groups: Results from the 2007 adult psychiatric morbidity survey. </w:t>
      </w:r>
      <w:r w:rsidRPr="008F3334">
        <w:rPr>
          <w:rFonts w:ascii="Times New Roman" w:eastAsia="Times New Roman" w:hAnsi="Times New Roman" w:cs="Times New Roman"/>
          <w:i/>
          <w:sz w:val="24"/>
          <w:szCs w:val="24"/>
        </w:rPr>
        <w:t xml:space="preserve">J </w:t>
      </w:r>
      <w:r w:rsidR="00C17600">
        <w:rPr>
          <w:rFonts w:ascii="Times New Roman" w:eastAsia="Times New Roman" w:hAnsi="Times New Roman" w:cs="Times New Roman"/>
          <w:i/>
          <w:sz w:val="24"/>
          <w:szCs w:val="24"/>
        </w:rPr>
        <w:t>A</w:t>
      </w:r>
      <w:r w:rsidRPr="008F3334">
        <w:rPr>
          <w:rFonts w:ascii="Times New Roman" w:eastAsia="Times New Roman" w:hAnsi="Times New Roman" w:cs="Times New Roman"/>
          <w:i/>
          <w:sz w:val="24"/>
          <w:szCs w:val="24"/>
        </w:rPr>
        <w:t xml:space="preserve">ffect </w:t>
      </w:r>
      <w:r w:rsidR="00C17600">
        <w:rPr>
          <w:rFonts w:ascii="Times New Roman" w:eastAsia="Times New Roman" w:hAnsi="Times New Roman" w:cs="Times New Roman"/>
          <w:i/>
          <w:sz w:val="24"/>
          <w:szCs w:val="24"/>
        </w:rPr>
        <w:t>D</w:t>
      </w:r>
      <w:r w:rsidRPr="008F3334">
        <w:rPr>
          <w:rFonts w:ascii="Times New Roman" w:eastAsia="Times New Roman" w:hAnsi="Times New Roman" w:cs="Times New Roman"/>
          <w:i/>
          <w:sz w:val="24"/>
          <w:szCs w:val="24"/>
        </w:rPr>
        <w:t>isord</w:t>
      </w:r>
      <w:r w:rsidR="007F226E">
        <w:rPr>
          <w:rFonts w:ascii="Times New Roman" w:eastAsia="Times New Roman" w:hAnsi="Times New Roman" w:cs="Times New Roman"/>
          <w:sz w:val="24"/>
          <w:szCs w:val="24"/>
        </w:rPr>
        <w:t>. 2010;127:</w:t>
      </w:r>
      <w:r w:rsidRPr="008F3334">
        <w:rPr>
          <w:rFonts w:ascii="Times New Roman" w:eastAsia="Times New Roman" w:hAnsi="Times New Roman" w:cs="Times New Roman"/>
          <w:sz w:val="24"/>
          <w:szCs w:val="24"/>
        </w:rPr>
        <w:t>96-101</w:t>
      </w:r>
      <w:r w:rsidR="007F226E">
        <w:rPr>
          <w:rFonts w:ascii="Times New Roman" w:eastAsia="Times New Roman" w:hAnsi="Times New Roman" w:cs="Times New Roman"/>
          <w:sz w:val="24"/>
          <w:szCs w:val="24"/>
        </w:rPr>
        <w:t>.</w:t>
      </w:r>
    </w:p>
    <w:p w14:paraId="105F2907" w14:textId="77777777" w:rsidR="00755EE7" w:rsidRDefault="00755EE7" w:rsidP="00755EE7">
      <w:pPr>
        <w:spacing w:after="0" w:line="240" w:lineRule="auto"/>
        <w:rPr>
          <w:rFonts w:ascii="Times New Roman" w:hAnsi="Times New Roman" w:cs="Times New Roman"/>
          <w:sz w:val="24"/>
          <w:szCs w:val="24"/>
        </w:rPr>
      </w:pPr>
    </w:p>
    <w:p w14:paraId="2DB5A386" w14:textId="0DEB54DA" w:rsidR="00755EE7" w:rsidRPr="00F21B5A" w:rsidRDefault="00755EE7" w:rsidP="00755EE7">
      <w:pPr>
        <w:spacing w:after="0" w:line="240" w:lineRule="auto"/>
        <w:rPr>
          <w:rFonts w:ascii="Times New Roman" w:eastAsia="Times New Roman" w:hAnsi="Times New Roman" w:cs="Times New Roman"/>
          <w:sz w:val="24"/>
          <w:szCs w:val="24"/>
        </w:rPr>
      </w:pPr>
      <w:r w:rsidRPr="00F21B5A">
        <w:rPr>
          <w:rFonts w:ascii="Times New Roman" w:hAnsi="Times New Roman" w:cs="Times New Roman"/>
          <w:sz w:val="24"/>
          <w:szCs w:val="24"/>
        </w:rPr>
        <w:t>9</w:t>
      </w:r>
      <w:r w:rsidRPr="00F21B5A">
        <w:rPr>
          <w:rFonts w:ascii="Times New Roman" w:eastAsia="Times New Roman" w:hAnsi="Times New Roman" w:cs="Times New Roman"/>
          <w:sz w:val="24"/>
          <w:szCs w:val="24"/>
        </w:rPr>
        <w:t xml:space="preserve"> </w:t>
      </w:r>
      <w:r w:rsidR="00F21B5A" w:rsidRPr="00F21B5A">
        <w:rPr>
          <w:rFonts w:ascii="Times New Roman" w:eastAsia="Times New Roman" w:hAnsi="Times New Roman" w:cs="Times New Roman"/>
          <w:sz w:val="24"/>
          <w:szCs w:val="24"/>
        </w:rPr>
        <w:t>McPherson, I</w:t>
      </w:r>
      <w:r w:rsidRPr="00F21B5A">
        <w:rPr>
          <w:rFonts w:ascii="Times New Roman" w:eastAsia="Times New Roman" w:hAnsi="Times New Roman" w:cs="Times New Roman"/>
          <w:sz w:val="24"/>
          <w:szCs w:val="24"/>
        </w:rPr>
        <w:t>. Mental Health Problems in Old Age: Double Discrimination or Everybody’s Business?</w:t>
      </w:r>
      <w:r w:rsidR="00F21B5A" w:rsidRPr="00F21B5A">
        <w:rPr>
          <w:rFonts w:ascii="Times New Roman" w:eastAsia="Times New Roman" w:hAnsi="Times New Roman" w:cs="Times New Roman"/>
          <w:sz w:val="24"/>
          <w:szCs w:val="24"/>
        </w:rPr>
        <w:t xml:space="preserve"> 2008.</w:t>
      </w:r>
    </w:p>
    <w:p w14:paraId="2C4F0514" w14:textId="77777777" w:rsidR="00755EE7" w:rsidRPr="00A66CE8" w:rsidRDefault="00755EE7" w:rsidP="00755EE7">
      <w:pPr>
        <w:spacing w:after="0" w:line="240" w:lineRule="auto"/>
        <w:rPr>
          <w:rFonts w:ascii="Times New Roman" w:hAnsi="Times New Roman" w:cs="Times New Roman"/>
          <w:sz w:val="24"/>
          <w:szCs w:val="24"/>
        </w:rPr>
      </w:pPr>
    </w:p>
    <w:p w14:paraId="6E8288FC" w14:textId="7B1903A6" w:rsidR="00755EE7" w:rsidRPr="00A66CE8" w:rsidRDefault="00755EE7" w:rsidP="00755EE7">
      <w:pPr>
        <w:spacing w:after="0" w:line="240" w:lineRule="auto"/>
        <w:rPr>
          <w:rFonts w:ascii="Times New Roman" w:eastAsia="Times New Roman" w:hAnsi="Times New Roman" w:cs="Times New Roman"/>
          <w:sz w:val="24"/>
          <w:szCs w:val="24"/>
          <w:shd w:val="clear" w:color="auto" w:fill="FFFFFF"/>
        </w:rPr>
      </w:pPr>
      <w:r w:rsidRPr="00A66CE8">
        <w:rPr>
          <w:rFonts w:ascii="Times New Roman" w:eastAsia="Times New Roman" w:hAnsi="Times New Roman" w:cs="Times New Roman"/>
          <w:sz w:val="24"/>
          <w:szCs w:val="24"/>
          <w:shd w:val="clear" w:color="auto" w:fill="FFFFFF"/>
        </w:rPr>
        <w:t xml:space="preserve">10 Murray J, Banerjee S, Byng R, </w:t>
      </w:r>
      <w:r w:rsidR="00CF3F04" w:rsidRPr="00A66CE8">
        <w:rPr>
          <w:rFonts w:ascii="Times New Roman" w:eastAsia="Times New Roman" w:hAnsi="Times New Roman" w:cs="Times New Roman"/>
          <w:sz w:val="24"/>
          <w:szCs w:val="24"/>
          <w:shd w:val="clear" w:color="auto" w:fill="FFFFFF"/>
        </w:rPr>
        <w:t>et al</w:t>
      </w:r>
      <w:r w:rsidRPr="00A66CE8">
        <w:rPr>
          <w:rFonts w:ascii="Times New Roman" w:eastAsia="Times New Roman" w:hAnsi="Times New Roman" w:cs="Times New Roman"/>
          <w:sz w:val="24"/>
          <w:szCs w:val="24"/>
          <w:shd w:val="clear" w:color="auto" w:fill="FFFFFF"/>
        </w:rPr>
        <w:t xml:space="preserve">. Primary care professionals’ perceptions of depression in older people: a qualitative study. </w:t>
      </w:r>
      <w:r w:rsidRPr="00A66CE8">
        <w:rPr>
          <w:rFonts w:ascii="Times New Roman" w:eastAsia="Times New Roman" w:hAnsi="Times New Roman" w:cs="Times New Roman"/>
          <w:i/>
          <w:sz w:val="24"/>
          <w:szCs w:val="24"/>
          <w:shd w:val="clear" w:color="auto" w:fill="FFFFFF"/>
        </w:rPr>
        <w:t xml:space="preserve">Soc </w:t>
      </w:r>
      <w:r w:rsidR="00A66CE8" w:rsidRPr="00A66CE8">
        <w:rPr>
          <w:rFonts w:ascii="Times New Roman" w:eastAsia="Times New Roman" w:hAnsi="Times New Roman" w:cs="Times New Roman"/>
          <w:i/>
          <w:sz w:val="24"/>
          <w:szCs w:val="24"/>
          <w:shd w:val="clear" w:color="auto" w:fill="FFFFFF"/>
        </w:rPr>
        <w:t>S</w:t>
      </w:r>
      <w:r w:rsidRPr="00A66CE8">
        <w:rPr>
          <w:rFonts w:ascii="Times New Roman" w:eastAsia="Times New Roman" w:hAnsi="Times New Roman" w:cs="Times New Roman"/>
          <w:i/>
          <w:sz w:val="24"/>
          <w:szCs w:val="24"/>
          <w:shd w:val="clear" w:color="auto" w:fill="FFFFFF"/>
        </w:rPr>
        <w:t xml:space="preserve">ci </w:t>
      </w:r>
      <w:r w:rsidR="00A66CE8" w:rsidRPr="00A66CE8">
        <w:rPr>
          <w:rFonts w:ascii="Times New Roman" w:eastAsia="Times New Roman" w:hAnsi="Times New Roman" w:cs="Times New Roman"/>
          <w:i/>
          <w:sz w:val="24"/>
          <w:szCs w:val="24"/>
          <w:shd w:val="clear" w:color="auto" w:fill="FFFFFF"/>
        </w:rPr>
        <w:t>M</w:t>
      </w:r>
      <w:r w:rsidRPr="00A66CE8">
        <w:rPr>
          <w:rFonts w:ascii="Times New Roman" w:eastAsia="Times New Roman" w:hAnsi="Times New Roman" w:cs="Times New Roman"/>
          <w:i/>
          <w:sz w:val="24"/>
          <w:szCs w:val="24"/>
          <w:shd w:val="clear" w:color="auto" w:fill="FFFFFF"/>
        </w:rPr>
        <w:t>ed</w:t>
      </w:r>
      <w:r w:rsidR="00A21C18">
        <w:rPr>
          <w:rFonts w:ascii="Times New Roman" w:eastAsia="Times New Roman" w:hAnsi="Times New Roman" w:cs="Times New Roman"/>
          <w:i/>
          <w:sz w:val="24"/>
          <w:szCs w:val="24"/>
          <w:shd w:val="clear" w:color="auto" w:fill="FFFFFF"/>
        </w:rPr>
        <w:t xml:space="preserve">. </w:t>
      </w:r>
      <w:r w:rsidR="00A21C18">
        <w:rPr>
          <w:rFonts w:ascii="Times New Roman" w:eastAsia="Times New Roman" w:hAnsi="Times New Roman" w:cs="Times New Roman"/>
          <w:sz w:val="24"/>
          <w:szCs w:val="24"/>
          <w:shd w:val="clear" w:color="auto" w:fill="FFFFFF"/>
        </w:rPr>
        <w:t>2006;63:</w:t>
      </w:r>
      <w:r w:rsidRPr="00A66CE8">
        <w:rPr>
          <w:rFonts w:ascii="Times New Roman" w:eastAsia="Times New Roman" w:hAnsi="Times New Roman" w:cs="Times New Roman"/>
          <w:sz w:val="24"/>
          <w:szCs w:val="24"/>
          <w:shd w:val="clear" w:color="auto" w:fill="FFFFFF"/>
        </w:rPr>
        <w:t>1363</w:t>
      </w:r>
      <w:r w:rsidR="00A21C18">
        <w:rPr>
          <w:rFonts w:ascii="Times New Roman" w:eastAsia="Times New Roman" w:hAnsi="Times New Roman" w:cs="Times New Roman"/>
          <w:sz w:val="24"/>
          <w:szCs w:val="24"/>
          <w:shd w:val="clear" w:color="auto" w:fill="FFFFFF"/>
        </w:rPr>
        <w:t>-</w:t>
      </w:r>
      <w:r w:rsidRPr="00A66CE8">
        <w:rPr>
          <w:rFonts w:ascii="Times New Roman" w:eastAsia="Times New Roman" w:hAnsi="Times New Roman" w:cs="Times New Roman"/>
          <w:sz w:val="24"/>
          <w:szCs w:val="24"/>
          <w:shd w:val="clear" w:color="auto" w:fill="FFFFFF"/>
        </w:rPr>
        <w:t>1373</w:t>
      </w:r>
      <w:r w:rsidR="00A21C18">
        <w:rPr>
          <w:rFonts w:ascii="Times New Roman" w:eastAsia="Times New Roman" w:hAnsi="Times New Roman" w:cs="Times New Roman"/>
          <w:sz w:val="24"/>
          <w:szCs w:val="24"/>
          <w:shd w:val="clear" w:color="auto" w:fill="FFFFFF"/>
        </w:rPr>
        <w:t>.</w:t>
      </w:r>
    </w:p>
    <w:p w14:paraId="20CE18A5" w14:textId="77777777" w:rsidR="00755EE7" w:rsidRDefault="00755EE7" w:rsidP="00755EE7">
      <w:pPr>
        <w:spacing w:after="0" w:line="240" w:lineRule="auto"/>
        <w:rPr>
          <w:rFonts w:ascii="Times New Roman" w:hAnsi="Times New Roman" w:cs="Times New Roman"/>
          <w:sz w:val="24"/>
          <w:szCs w:val="24"/>
        </w:rPr>
      </w:pPr>
    </w:p>
    <w:p w14:paraId="1D943767" w14:textId="7F99989B" w:rsidR="00755EE7" w:rsidRPr="000A5542" w:rsidRDefault="00755EE7" w:rsidP="00755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 xml:space="preserve">11 </w:t>
      </w:r>
      <w:r w:rsidRPr="000A5542">
        <w:rPr>
          <w:rFonts w:ascii="Times New Roman" w:eastAsia="Times New Roman" w:hAnsi="Times New Roman" w:cs="Times New Roman"/>
          <w:sz w:val="24"/>
          <w:szCs w:val="24"/>
        </w:rPr>
        <w:t>Ross</w:t>
      </w:r>
      <w:r w:rsidR="00E902CF">
        <w:rPr>
          <w:rFonts w:ascii="Times New Roman" w:eastAsia="Times New Roman" w:hAnsi="Times New Roman" w:cs="Times New Roman"/>
          <w:sz w:val="24"/>
          <w:szCs w:val="24"/>
        </w:rPr>
        <w:t xml:space="preserve"> H,</w:t>
      </w:r>
      <w:r w:rsidRPr="000A5542">
        <w:rPr>
          <w:rFonts w:ascii="Times New Roman" w:eastAsia="Times New Roman" w:hAnsi="Times New Roman" w:cs="Times New Roman"/>
          <w:sz w:val="24"/>
          <w:szCs w:val="24"/>
        </w:rPr>
        <w:t xml:space="preserve"> Hardy G. GP referrals to adult psychological services: a research agenda for promoting needs-led practice through the involvement of mental health clinicians. </w:t>
      </w:r>
      <w:r w:rsidRPr="000A5542">
        <w:rPr>
          <w:rFonts w:ascii="Times New Roman" w:eastAsia="Times New Roman" w:hAnsi="Times New Roman" w:cs="Times New Roman"/>
          <w:i/>
          <w:sz w:val="24"/>
          <w:szCs w:val="24"/>
        </w:rPr>
        <w:t xml:space="preserve">Br </w:t>
      </w:r>
      <w:r w:rsidR="00C17600">
        <w:rPr>
          <w:rFonts w:ascii="Times New Roman" w:eastAsia="Times New Roman" w:hAnsi="Times New Roman" w:cs="Times New Roman"/>
          <w:i/>
          <w:sz w:val="24"/>
          <w:szCs w:val="24"/>
        </w:rPr>
        <w:t>J</w:t>
      </w:r>
      <w:r w:rsidRPr="000A5542">
        <w:rPr>
          <w:rFonts w:ascii="Times New Roman" w:eastAsia="Times New Roman" w:hAnsi="Times New Roman" w:cs="Times New Roman"/>
          <w:i/>
          <w:sz w:val="24"/>
          <w:szCs w:val="24"/>
        </w:rPr>
        <w:t xml:space="preserve"> </w:t>
      </w:r>
      <w:r w:rsidR="00C17600">
        <w:rPr>
          <w:rFonts w:ascii="Times New Roman" w:eastAsia="Times New Roman" w:hAnsi="Times New Roman" w:cs="Times New Roman"/>
          <w:i/>
          <w:sz w:val="24"/>
          <w:szCs w:val="24"/>
        </w:rPr>
        <w:t>M</w:t>
      </w:r>
      <w:r w:rsidRPr="000A5542">
        <w:rPr>
          <w:rFonts w:ascii="Times New Roman" w:eastAsia="Times New Roman" w:hAnsi="Times New Roman" w:cs="Times New Roman"/>
          <w:i/>
          <w:sz w:val="24"/>
          <w:szCs w:val="24"/>
        </w:rPr>
        <w:t xml:space="preserve">ed </w:t>
      </w:r>
      <w:r w:rsidR="00C17600">
        <w:rPr>
          <w:rFonts w:ascii="Times New Roman" w:eastAsia="Times New Roman" w:hAnsi="Times New Roman" w:cs="Times New Roman"/>
          <w:i/>
          <w:sz w:val="24"/>
          <w:szCs w:val="24"/>
        </w:rPr>
        <w:t>P</w:t>
      </w:r>
      <w:r w:rsidRPr="000A5542">
        <w:rPr>
          <w:rFonts w:ascii="Times New Roman" w:eastAsia="Times New Roman" w:hAnsi="Times New Roman" w:cs="Times New Roman"/>
          <w:i/>
          <w:sz w:val="24"/>
          <w:szCs w:val="24"/>
        </w:rPr>
        <w:t>sychol.</w:t>
      </w:r>
      <w:r w:rsidR="00A21C18">
        <w:rPr>
          <w:rFonts w:ascii="Times New Roman" w:eastAsia="Times New Roman" w:hAnsi="Times New Roman" w:cs="Times New Roman"/>
          <w:i/>
          <w:sz w:val="24"/>
          <w:szCs w:val="24"/>
        </w:rPr>
        <w:t xml:space="preserve"> </w:t>
      </w:r>
      <w:r w:rsidR="00A21C18">
        <w:rPr>
          <w:rFonts w:ascii="Times New Roman" w:eastAsia="Times New Roman" w:hAnsi="Times New Roman" w:cs="Times New Roman"/>
          <w:sz w:val="24"/>
          <w:szCs w:val="24"/>
        </w:rPr>
        <w:t>1999;</w:t>
      </w:r>
      <w:r w:rsidRPr="000A5542">
        <w:rPr>
          <w:rFonts w:ascii="Times New Roman" w:eastAsia="Times New Roman" w:hAnsi="Times New Roman" w:cs="Times New Roman"/>
          <w:i/>
          <w:sz w:val="24"/>
          <w:szCs w:val="24"/>
        </w:rPr>
        <w:t>72</w:t>
      </w:r>
      <w:r w:rsidR="00A21C18">
        <w:rPr>
          <w:rFonts w:ascii="Times New Roman" w:eastAsia="Times New Roman" w:hAnsi="Times New Roman" w:cs="Times New Roman"/>
          <w:i/>
          <w:sz w:val="24"/>
          <w:szCs w:val="24"/>
        </w:rPr>
        <w:t>:</w:t>
      </w:r>
      <w:r w:rsidRPr="000A5542">
        <w:rPr>
          <w:rFonts w:ascii="Times New Roman" w:eastAsia="Times New Roman" w:hAnsi="Times New Roman" w:cs="Times New Roman"/>
          <w:sz w:val="24"/>
          <w:szCs w:val="24"/>
        </w:rPr>
        <w:t>75-91</w:t>
      </w:r>
      <w:r w:rsidR="00A21C18">
        <w:rPr>
          <w:rFonts w:ascii="Times New Roman" w:eastAsia="Times New Roman" w:hAnsi="Times New Roman" w:cs="Times New Roman"/>
          <w:sz w:val="24"/>
          <w:szCs w:val="24"/>
        </w:rPr>
        <w:t>.</w:t>
      </w:r>
    </w:p>
    <w:p w14:paraId="5A1E2C81" w14:textId="77777777" w:rsidR="00755EE7" w:rsidRDefault="00755EE7" w:rsidP="00755EE7">
      <w:pPr>
        <w:spacing w:after="0" w:line="240" w:lineRule="auto"/>
        <w:rPr>
          <w:rFonts w:ascii="Times New Roman" w:hAnsi="Times New Roman" w:cs="Times New Roman"/>
          <w:sz w:val="24"/>
          <w:szCs w:val="24"/>
        </w:rPr>
      </w:pPr>
    </w:p>
    <w:p w14:paraId="529E32A5" w14:textId="149AFC32" w:rsidR="00755EE7"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12 </w:t>
      </w:r>
      <w:r w:rsidRPr="00240013">
        <w:rPr>
          <w:rFonts w:ascii="Times New Roman" w:eastAsia="Times New Roman" w:hAnsi="Times New Roman" w:cs="Times New Roman"/>
          <w:sz w:val="24"/>
          <w:szCs w:val="24"/>
        </w:rPr>
        <w:t xml:space="preserve">Meltzer H, Bebbington P, Dennis M, </w:t>
      </w:r>
      <w:r w:rsidR="00CF3F04">
        <w:rPr>
          <w:rFonts w:ascii="Times New Roman" w:eastAsia="Times New Roman" w:hAnsi="Times New Roman" w:cs="Times New Roman"/>
          <w:sz w:val="24"/>
          <w:szCs w:val="24"/>
        </w:rPr>
        <w:t>et al</w:t>
      </w:r>
      <w:r w:rsidR="00A21C18">
        <w:rPr>
          <w:rFonts w:ascii="Times New Roman" w:eastAsia="Times New Roman" w:hAnsi="Times New Roman" w:cs="Times New Roman"/>
          <w:sz w:val="24"/>
          <w:szCs w:val="24"/>
        </w:rPr>
        <w:t xml:space="preserve">. </w:t>
      </w:r>
      <w:r w:rsidRPr="00240013">
        <w:rPr>
          <w:rFonts w:ascii="Times New Roman" w:eastAsia="Times New Roman" w:hAnsi="Times New Roman" w:cs="Times New Roman"/>
          <w:sz w:val="24"/>
          <w:szCs w:val="24"/>
        </w:rPr>
        <w:t xml:space="preserve">Feelings of loneliness among adults with mental disorder. </w:t>
      </w:r>
      <w:r w:rsidRPr="00240013">
        <w:rPr>
          <w:rFonts w:ascii="Times New Roman" w:eastAsia="Times New Roman" w:hAnsi="Times New Roman" w:cs="Times New Roman"/>
          <w:i/>
          <w:sz w:val="24"/>
          <w:szCs w:val="24"/>
        </w:rPr>
        <w:t xml:space="preserve">Soc Psychiatry </w:t>
      </w:r>
      <w:r w:rsidR="00C17600">
        <w:rPr>
          <w:rFonts w:ascii="Times New Roman" w:eastAsia="Times New Roman" w:hAnsi="Times New Roman" w:cs="Times New Roman"/>
          <w:i/>
          <w:sz w:val="24"/>
          <w:szCs w:val="24"/>
        </w:rPr>
        <w:t>P</w:t>
      </w:r>
      <w:r w:rsidRPr="00240013">
        <w:rPr>
          <w:rFonts w:ascii="Times New Roman" w:eastAsia="Times New Roman" w:hAnsi="Times New Roman" w:cs="Times New Roman"/>
          <w:i/>
          <w:sz w:val="24"/>
          <w:szCs w:val="24"/>
        </w:rPr>
        <w:t xml:space="preserve">sychiatr </w:t>
      </w:r>
      <w:r w:rsidR="00C17600">
        <w:rPr>
          <w:rFonts w:ascii="Times New Roman" w:eastAsia="Times New Roman" w:hAnsi="Times New Roman" w:cs="Times New Roman"/>
          <w:i/>
          <w:sz w:val="24"/>
          <w:szCs w:val="24"/>
        </w:rPr>
        <w:t>E</w:t>
      </w:r>
      <w:r w:rsidRPr="00240013">
        <w:rPr>
          <w:rFonts w:ascii="Times New Roman" w:eastAsia="Times New Roman" w:hAnsi="Times New Roman" w:cs="Times New Roman"/>
          <w:i/>
          <w:sz w:val="24"/>
          <w:szCs w:val="24"/>
        </w:rPr>
        <w:t>pidemiol</w:t>
      </w:r>
      <w:r w:rsidR="00A21C18">
        <w:rPr>
          <w:rFonts w:ascii="Times New Roman" w:eastAsia="Times New Roman" w:hAnsi="Times New Roman" w:cs="Times New Roman"/>
          <w:i/>
          <w:sz w:val="24"/>
          <w:szCs w:val="24"/>
        </w:rPr>
        <w:t xml:space="preserve">. </w:t>
      </w:r>
      <w:r w:rsidR="00A21C18">
        <w:rPr>
          <w:rFonts w:ascii="Times New Roman" w:eastAsia="Times New Roman" w:hAnsi="Times New Roman" w:cs="Times New Roman"/>
          <w:sz w:val="24"/>
          <w:szCs w:val="24"/>
        </w:rPr>
        <w:t>2012;48:</w:t>
      </w:r>
      <w:r w:rsidRPr="00240013">
        <w:rPr>
          <w:rFonts w:ascii="Times New Roman" w:eastAsia="Times New Roman" w:hAnsi="Times New Roman" w:cs="Times New Roman"/>
          <w:sz w:val="24"/>
          <w:szCs w:val="24"/>
        </w:rPr>
        <w:t>5-13</w:t>
      </w:r>
      <w:r w:rsidR="00A21C18">
        <w:rPr>
          <w:rFonts w:ascii="Times New Roman" w:eastAsia="Times New Roman" w:hAnsi="Times New Roman" w:cs="Times New Roman"/>
          <w:sz w:val="24"/>
          <w:szCs w:val="24"/>
        </w:rPr>
        <w:t>.</w:t>
      </w:r>
    </w:p>
    <w:p w14:paraId="1A09BF5B" w14:textId="77777777" w:rsidR="00755EE7" w:rsidRDefault="00755EE7" w:rsidP="00755EE7">
      <w:pPr>
        <w:spacing w:after="0" w:line="240" w:lineRule="auto"/>
        <w:rPr>
          <w:rFonts w:ascii="Times New Roman" w:hAnsi="Times New Roman" w:cs="Times New Roman"/>
          <w:sz w:val="24"/>
          <w:szCs w:val="24"/>
        </w:rPr>
      </w:pPr>
    </w:p>
    <w:p w14:paraId="02FED09E" w14:textId="2D870E65" w:rsidR="00755EE7"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0A5542">
        <w:rPr>
          <w:rFonts w:ascii="Times New Roman" w:eastAsia="Times New Roman" w:hAnsi="Times New Roman" w:cs="Times New Roman"/>
          <w:sz w:val="24"/>
          <w:szCs w:val="24"/>
        </w:rPr>
        <w:t>Serfaty</w:t>
      </w:r>
      <w:r w:rsidR="00E902CF">
        <w:rPr>
          <w:rFonts w:ascii="Times New Roman" w:eastAsia="Times New Roman" w:hAnsi="Times New Roman" w:cs="Times New Roman"/>
          <w:sz w:val="24"/>
          <w:szCs w:val="24"/>
        </w:rPr>
        <w:t xml:space="preserve"> M</w:t>
      </w:r>
      <w:r w:rsidRPr="000A5542">
        <w:rPr>
          <w:rFonts w:ascii="Times New Roman" w:eastAsia="Times New Roman" w:hAnsi="Times New Roman" w:cs="Times New Roman"/>
          <w:sz w:val="24"/>
          <w:szCs w:val="24"/>
        </w:rPr>
        <w:t>, Haworth</w:t>
      </w:r>
      <w:r w:rsidR="00E902CF">
        <w:rPr>
          <w:rFonts w:ascii="Times New Roman" w:eastAsia="Times New Roman" w:hAnsi="Times New Roman" w:cs="Times New Roman"/>
          <w:sz w:val="24"/>
          <w:szCs w:val="24"/>
        </w:rPr>
        <w:t xml:space="preserve"> D,</w:t>
      </w:r>
      <w:r w:rsidRPr="000A5542">
        <w:rPr>
          <w:rFonts w:ascii="Times New Roman" w:eastAsia="Times New Roman" w:hAnsi="Times New Roman" w:cs="Times New Roman"/>
          <w:sz w:val="24"/>
          <w:szCs w:val="24"/>
        </w:rPr>
        <w:t xml:space="preserve"> Buszewicz, M. Clinical effectiveness of Individual Cognitive Behaviour Therapy for depressed older people in primary care.</w:t>
      </w:r>
      <w:r w:rsidR="00C17600">
        <w:rPr>
          <w:rFonts w:ascii="Times New Roman" w:eastAsia="Times New Roman" w:hAnsi="Times New Roman" w:cs="Times New Roman"/>
          <w:sz w:val="24"/>
          <w:szCs w:val="24"/>
        </w:rPr>
        <w:t xml:space="preserve"> </w:t>
      </w:r>
      <w:r w:rsidR="00C17600">
        <w:rPr>
          <w:rFonts w:ascii="Times New Roman" w:eastAsia="Times New Roman" w:hAnsi="Times New Roman" w:cs="Times New Roman"/>
          <w:i/>
          <w:sz w:val="24"/>
          <w:szCs w:val="24"/>
        </w:rPr>
        <w:t>Arch Gen Psychiatry</w:t>
      </w:r>
      <w:r w:rsidR="00A21C18">
        <w:rPr>
          <w:rFonts w:ascii="Times New Roman" w:eastAsia="Times New Roman" w:hAnsi="Times New Roman" w:cs="Times New Roman"/>
          <w:i/>
          <w:sz w:val="24"/>
          <w:szCs w:val="24"/>
        </w:rPr>
        <w:t>.</w:t>
      </w:r>
      <w:r w:rsidR="00A21C18">
        <w:rPr>
          <w:rFonts w:ascii="Times New Roman" w:eastAsia="Times New Roman" w:hAnsi="Times New Roman" w:cs="Times New Roman"/>
          <w:sz w:val="24"/>
          <w:szCs w:val="24"/>
        </w:rPr>
        <w:t xml:space="preserve"> 2009;66:</w:t>
      </w:r>
      <w:r w:rsidRPr="000A5542">
        <w:rPr>
          <w:rFonts w:ascii="Times New Roman" w:eastAsia="Times New Roman" w:hAnsi="Times New Roman" w:cs="Times New Roman"/>
          <w:sz w:val="24"/>
          <w:szCs w:val="24"/>
        </w:rPr>
        <w:t>1332</w:t>
      </w:r>
      <w:r w:rsidR="00A21C18">
        <w:rPr>
          <w:rFonts w:ascii="Times New Roman" w:eastAsia="Times New Roman" w:hAnsi="Times New Roman" w:cs="Times New Roman"/>
          <w:sz w:val="24"/>
          <w:szCs w:val="24"/>
        </w:rPr>
        <w:t>-</w:t>
      </w:r>
      <w:r w:rsidRPr="000A5542">
        <w:rPr>
          <w:rFonts w:ascii="Times New Roman" w:eastAsia="Times New Roman" w:hAnsi="Times New Roman" w:cs="Times New Roman"/>
          <w:sz w:val="24"/>
          <w:szCs w:val="24"/>
        </w:rPr>
        <w:t>1340</w:t>
      </w:r>
      <w:r w:rsidR="00A21C18">
        <w:rPr>
          <w:rFonts w:ascii="Times New Roman" w:eastAsia="Times New Roman" w:hAnsi="Times New Roman" w:cs="Times New Roman"/>
          <w:sz w:val="24"/>
          <w:szCs w:val="24"/>
        </w:rPr>
        <w:t>.</w:t>
      </w:r>
    </w:p>
    <w:p w14:paraId="33E2FAE0" w14:textId="77777777" w:rsidR="00CF3F04" w:rsidRDefault="00CF3F04" w:rsidP="00755EE7">
      <w:pPr>
        <w:spacing w:after="0" w:line="240" w:lineRule="auto"/>
        <w:rPr>
          <w:rFonts w:ascii="Times New Roman" w:eastAsia="Times New Roman" w:hAnsi="Times New Roman" w:cs="Times New Roman"/>
          <w:sz w:val="24"/>
          <w:szCs w:val="24"/>
        </w:rPr>
      </w:pPr>
    </w:p>
    <w:p w14:paraId="0495E69D" w14:textId="1D96542B" w:rsidR="00755EE7" w:rsidRDefault="00755EE7" w:rsidP="00755E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240013">
        <w:rPr>
          <w:rFonts w:ascii="Times New Roman" w:eastAsia="Times New Roman" w:hAnsi="Times New Roman" w:cs="Times New Roman"/>
          <w:sz w:val="24"/>
          <w:szCs w:val="24"/>
        </w:rPr>
        <w:t>Mitchell A</w:t>
      </w:r>
      <w:r w:rsidR="00E902CF">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 xml:space="preserve"> Selmes T.. Why don’t patients attend their appointments? Maintaining engagement with psychiatric services. </w:t>
      </w:r>
      <w:r w:rsidRPr="00240013">
        <w:rPr>
          <w:rFonts w:ascii="Times New Roman" w:eastAsia="Times New Roman" w:hAnsi="Times New Roman" w:cs="Times New Roman"/>
          <w:i/>
          <w:sz w:val="24"/>
          <w:szCs w:val="24"/>
        </w:rPr>
        <w:t>Adv</w:t>
      </w:r>
      <w:r w:rsidR="00A66CE8">
        <w:rPr>
          <w:rFonts w:ascii="Times New Roman" w:eastAsia="Times New Roman" w:hAnsi="Times New Roman" w:cs="Times New Roman"/>
          <w:i/>
          <w:sz w:val="24"/>
          <w:szCs w:val="24"/>
        </w:rPr>
        <w:t xml:space="preserve"> P</w:t>
      </w:r>
      <w:r w:rsidRPr="00240013">
        <w:rPr>
          <w:rFonts w:ascii="Times New Roman" w:eastAsia="Times New Roman" w:hAnsi="Times New Roman" w:cs="Times New Roman"/>
          <w:i/>
          <w:sz w:val="24"/>
          <w:szCs w:val="24"/>
        </w:rPr>
        <w:t xml:space="preserve">sychiatr </w:t>
      </w:r>
      <w:r w:rsidR="00A66CE8">
        <w:rPr>
          <w:rFonts w:ascii="Times New Roman" w:eastAsia="Times New Roman" w:hAnsi="Times New Roman" w:cs="Times New Roman"/>
          <w:i/>
          <w:sz w:val="24"/>
          <w:szCs w:val="24"/>
        </w:rPr>
        <w:t>T</w:t>
      </w:r>
      <w:r w:rsidRPr="00240013">
        <w:rPr>
          <w:rFonts w:ascii="Times New Roman" w:eastAsia="Times New Roman" w:hAnsi="Times New Roman" w:cs="Times New Roman"/>
          <w:i/>
          <w:sz w:val="24"/>
          <w:szCs w:val="24"/>
        </w:rPr>
        <w:t>reat.</w:t>
      </w:r>
      <w:r w:rsidRPr="00240013">
        <w:rPr>
          <w:rFonts w:ascii="Times New Roman" w:eastAsia="Times New Roman" w:hAnsi="Times New Roman" w:cs="Times New Roman"/>
          <w:sz w:val="24"/>
          <w:szCs w:val="24"/>
        </w:rPr>
        <w:t xml:space="preserve"> </w:t>
      </w:r>
      <w:r w:rsidR="00A21C18">
        <w:rPr>
          <w:rFonts w:ascii="Times New Roman" w:eastAsia="Times New Roman" w:hAnsi="Times New Roman" w:cs="Times New Roman"/>
          <w:sz w:val="24"/>
          <w:szCs w:val="24"/>
        </w:rPr>
        <w:t>2007;13:</w:t>
      </w:r>
      <w:r w:rsidRPr="00240013">
        <w:rPr>
          <w:rFonts w:ascii="Times New Roman" w:eastAsia="Times New Roman" w:hAnsi="Times New Roman" w:cs="Times New Roman"/>
          <w:sz w:val="24"/>
          <w:szCs w:val="24"/>
        </w:rPr>
        <w:t>423</w:t>
      </w:r>
      <w:r w:rsidR="00A21C18">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434</w:t>
      </w:r>
      <w:r w:rsidR="00A21C18">
        <w:rPr>
          <w:rFonts w:ascii="Times New Roman" w:eastAsia="Times New Roman" w:hAnsi="Times New Roman" w:cs="Times New Roman"/>
          <w:sz w:val="24"/>
          <w:szCs w:val="24"/>
        </w:rPr>
        <w:t>.</w:t>
      </w:r>
    </w:p>
    <w:p w14:paraId="05BCC4C5" w14:textId="77777777" w:rsidR="00755EE7" w:rsidRPr="000A5542" w:rsidRDefault="00755EE7" w:rsidP="00755EE7">
      <w:pPr>
        <w:spacing w:after="0" w:line="240" w:lineRule="auto"/>
        <w:rPr>
          <w:rFonts w:ascii="Times New Roman" w:eastAsia="Times New Roman" w:hAnsi="Times New Roman" w:cs="Times New Roman"/>
          <w:i/>
          <w:sz w:val="24"/>
          <w:szCs w:val="24"/>
        </w:rPr>
      </w:pPr>
    </w:p>
    <w:p w14:paraId="59E6A9C4" w14:textId="77777777" w:rsidR="00A21C18" w:rsidRDefault="00755EE7" w:rsidP="00755EE7">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de-DE"/>
        </w:rPr>
        <w:t xml:space="preserve">15 </w:t>
      </w:r>
      <w:r w:rsidRPr="00240013">
        <w:rPr>
          <w:rFonts w:ascii="Times New Roman" w:eastAsia="Times New Roman" w:hAnsi="Times New Roman" w:cs="Times New Roman"/>
          <w:sz w:val="24"/>
          <w:szCs w:val="24"/>
          <w:shd w:val="clear" w:color="auto" w:fill="FFFFFF"/>
          <w:lang w:val="de-DE"/>
        </w:rPr>
        <w:t xml:space="preserve">Wetherell J, Kaplan R, Kallenberg G, </w:t>
      </w:r>
      <w:r w:rsidR="00CF3F04">
        <w:rPr>
          <w:rFonts w:ascii="Times New Roman" w:eastAsia="Times New Roman" w:hAnsi="Times New Roman" w:cs="Times New Roman"/>
          <w:sz w:val="24"/>
          <w:szCs w:val="24"/>
          <w:shd w:val="clear" w:color="auto" w:fill="FFFFFF"/>
          <w:lang w:val="de-DE"/>
        </w:rPr>
        <w:t>et al</w:t>
      </w:r>
      <w:r w:rsidRPr="00240013">
        <w:rPr>
          <w:rFonts w:ascii="Times New Roman" w:eastAsia="Times New Roman" w:hAnsi="Times New Roman" w:cs="Times New Roman"/>
          <w:sz w:val="24"/>
          <w:szCs w:val="24"/>
          <w:shd w:val="clear" w:color="auto" w:fill="FFFFFF"/>
          <w:lang w:val="de-DE"/>
        </w:rPr>
        <w:t xml:space="preserve">. </w:t>
      </w:r>
      <w:r w:rsidRPr="00240013">
        <w:rPr>
          <w:rFonts w:ascii="Times New Roman" w:eastAsia="Times New Roman" w:hAnsi="Times New Roman" w:cs="Times New Roman"/>
          <w:sz w:val="24"/>
          <w:szCs w:val="24"/>
          <w:shd w:val="clear" w:color="auto" w:fill="FFFFFF"/>
        </w:rPr>
        <w:t xml:space="preserve">Mental health treatment preferences of older and younger primary care patients. </w:t>
      </w:r>
      <w:r w:rsidRPr="00240013">
        <w:rPr>
          <w:rFonts w:ascii="Times New Roman" w:eastAsia="Times New Roman" w:hAnsi="Times New Roman" w:cs="Times New Roman"/>
          <w:i/>
          <w:sz w:val="24"/>
          <w:szCs w:val="24"/>
          <w:shd w:val="clear" w:color="auto" w:fill="FFFFFF"/>
        </w:rPr>
        <w:t xml:space="preserve">Int </w:t>
      </w:r>
      <w:r w:rsidR="00A66CE8">
        <w:rPr>
          <w:rFonts w:ascii="Times New Roman" w:eastAsia="Times New Roman" w:hAnsi="Times New Roman" w:cs="Times New Roman"/>
          <w:i/>
          <w:sz w:val="24"/>
          <w:szCs w:val="24"/>
          <w:shd w:val="clear" w:color="auto" w:fill="FFFFFF"/>
        </w:rPr>
        <w:t>J</w:t>
      </w:r>
      <w:r w:rsidRPr="00240013">
        <w:rPr>
          <w:rFonts w:ascii="Times New Roman" w:eastAsia="Times New Roman" w:hAnsi="Times New Roman" w:cs="Times New Roman"/>
          <w:i/>
          <w:sz w:val="24"/>
          <w:szCs w:val="24"/>
          <w:shd w:val="clear" w:color="auto" w:fill="FFFFFF"/>
        </w:rPr>
        <w:t xml:space="preserve"> </w:t>
      </w:r>
      <w:r w:rsidR="00A66CE8">
        <w:rPr>
          <w:rFonts w:ascii="Times New Roman" w:eastAsia="Times New Roman" w:hAnsi="Times New Roman" w:cs="Times New Roman"/>
          <w:i/>
          <w:sz w:val="24"/>
          <w:szCs w:val="24"/>
          <w:shd w:val="clear" w:color="auto" w:fill="FFFFFF"/>
        </w:rPr>
        <w:t>P</w:t>
      </w:r>
      <w:r w:rsidRPr="00240013">
        <w:rPr>
          <w:rFonts w:ascii="Times New Roman" w:eastAsia="Times New Roman" w:hAnsi="Times New Roman" w:cs="Times New Roman"/>
          <w:i/>
          <w:sz w:val="24"/>
          <w:szCs w:val="24"/>
          <w:shd w:val="clear" w:color="auto" w:fill="FFFFFF"/>
        </w:rPr>
        <w:t xml:space="preserve">sychiatry </w:t>
      </w:r>
      <w:r w:rsidR="00A66CE8">
        <w:rPr>
          <w:rFonts w:ascii="Times New Roman" w:eastAsia="Times New Roman" w:hAnsi="Times New Roman" w:cs="Times New Roman"/>
          <w:i/>
          <w:sz w:val="24"/>
          <w:szCs w:val="24"/>
          <w:shd w:val="clear" w:color="auto" w:fill="FFFFFF"/>
        </w:rPr>
        <w:t>M</w:t>
      </w:r>
      <w:r w:rsidRPr="00240013">
        <w:rPr>
          <w:rFonts w:ascii="Times New Roman" w:eastAsia="Times New Roman" w:hAnsi="Times New Roman" w:cs="Times New Roman"/>
          <w:i/>
          <w:sz w:val="24"/>
          <w:szCs w:val="24"/>
          <w:shd w:val="clear" w:color="auto" w:fill="FFFFFF"/>
        </w:rPr>
        <w:t>ed</w:t>
      </w:r>
      <w:r w:rsidR="00A21C18">
        <w:rPr>
          <w:rFonts w:ascii="Times New Roman" w:eastAsia="Times New Roman" w:hAnsi="Times New Roman" w:cs="Times New Roman"/>
          <w:i/>
          <w:sz w:val="24"/>
          <w:szCs w:val="24"/>
          <w:shd w:val="clear" w:color="auto" w:fill="FFFFFF"/>
        </w:rPr>
        <w:t xml:space="preserve">. </w:t>
      </w:r>
      <w:r w:rsidR="00A21C18">
        <w:rPr>
          <w:rFonts w:ascii="Times New Roman" w:eastAsia="Times New Roman" w:hAnsi="Times New Roman" w:cs="Times New Roman"/>
          <w:sz w:val="24"/>
          <w:szCs w:val="24"/>
          <w:shd w:val="clear" w:color="auto" w:fill="FFFFFF"/>
        </w:rPr>
        <w:t>2004;34:</w:t>
      </w:r>
      <w:r w:rsidRPr="00240013">
        <w:rPr>
          <w:rFonts w:ascii="Times New Roman" w:eastAsia="Times New Roman" w:hAnsi="Times New Roman" w:cs="Times New Roman"/>
          <w:sz w:val="24"/>
          <w:szCs w:val="24"/>
          <w:shd w:val="clear" w:color="auto" w:fill="FFFFFF"/>
        </w:rPr>
        <w:t>219</w:t>
      </w:r>
      <w:r w:rsidR="00A21C18">
        <w:rPr>
          <w:rFonts w:ascii="Times New Roman" w:eastAsia="Times New Roman" w:hAnsi="Times New Roman" w:cs="Times New Roman"/>
          <w:sz w:val="24"/>
          <w:szCs w:val="24"/>
          <w:shd w:val="clear" w:color="auto" w:fill="FFFFFF"/>
        </w:rPr>
        <w:t>-</w:t>
      </w:r>
      <w:r w:rsidRPr="00240013">
        <w:rPr>
          <w:rFonts w:ascii="Times New Roman" w:eastAsia="Times New Roman" w:hAnsi="Times New Roman" w:cs="Times New Roman"/>
          <w:sz w:val="24"/>
          <w:szCs w:val="24"/>
          <w:shd w:val="clear" w:color="auto" w:fill="FFFFFF"/>
        </w:rPr>
        <w:t>233</w:t>
      </w:r>
      <w:r w:rsidR="00A21C18">
        <w:rPr>
          <w:rFonts w:ascii="Times New Roman" w:eastAsia="Times New Roman" w:hAnsi="Times New Roman" w:cs="Times New Roman"/>
          <w:sz w:val="24"/>
          <w:szCs w:val="24"/>
          <w:shd w:val="clear" w:color="auto" w:fill="FFFFFF"/>
        </w:rPr>
        <w:t>.</w:t>
      </w:r>
    </w:p>
    <w:p w14:paraId="3855BFAA" w14:textId="77777777" w:rsidR="00A21C18" w:rsidRDefault="00A21C18" w:rsidP="00755EE7">
      <w:pPr>
        <w:spacing w:after="0" w:line="240" w:lineRule="auto"/>
        <w:rPr>
          <w:rFonts w:ascii="Times New Roman" w:eastAsia="Times New Roman" w:hAnsi="Times New Roman" w:cs="Times New Roman"/>
          <w:sz w:val="24"/>
          <w:szCs w:val="24"/>
          <w:shd w:val="clear" w:color="auto" w:fill="FFFFFF"/>
        </w:rPr>
      </w:pPr>
    </w:p>
    <w:p w14:paraId="633D033A" w14:textId="22FCD3C1" w:rsidR="00755EE7" w:rsidRDefault="00755EE7" w:rsidP="00755EE7">
      <w:pPr>
        <w:spacing w:after="0" w:line="240" w:lineRule="auto"/>
        <w:rPr>
          <w:rFonts w:ascii="Times New Roman" w:eastAsia="Times New Roman" w:hAnsi="Times New Roman" w:cs="Times New Roman"/>
          <w:color w:val="FF0000"/>
          <w:sz w:val="24"/>
          <w:szCs w:val="24"/>
        </w:rPr>
      </w:pPr>
      <w:r w:rsidRPr="00F10E27">
        <w:rPr>
          <w:rFonts w:ascii="Times New Roman" w:hAnsi="Times New Roman" w:cs="Times New Roman"/>
          <w:sz w:val="24"/>
          <w:szCs w:val="24"/>
        </w:rPr>
        <w:t>16</w:t>
      </w:r>
      <w:r w:rsidRPr="00F10E27">
        <w:rPr>
          <w:rFonts w:ascii="Times New Roman" w:eastAsia="Times New Roman" w:hAnsi="Times New Roman" w:cs="Times New Roman"/>
          <w:sz w:val="24"/>
          <w:szCs w:val="24"/>
        </w:rPr>
        <w:t xml:space="preserve"> The IAPT pathfinders: Achievements and Challenges</w:t>
      </w:r>
      <w:r w:rsidR="00F10E27" w:rsidRPr="00F10E27">
        <w:rPr>
          <w:rFonts w:ascii="Times New Roman" w:eastAsia="Times New Roman" w:hAnsi="Times New Roman" w:cs="Times New Roman"/>
          <w:sz w:val="24"/>
          <w:szCs w:val="24"/>
        </w:rPr>
        <w:t>. Department of Health. 2008.</w:t>
      </w:r>
    </w:p>
    <w:p w14:paraId="166DCC48" w14:textId="77777777" w:rsidR="00F10E27" w:rsidRDefault="00F10E27" w:rsidP="00755EE7">
      <w:pPr>
        <w:spacing w:after="0" w:line="240" w:lineRule="auto"/>
        <w:rPr>
          <w:rFonts w:ascii="Times New Roman" w:eastAsia="Times New Roman" w:hAnsi="Times New Roman" w:cs="Times New Roman"/>
          <w:color w:val="FF0000"/>
          <w:sz w:val="24"/>
          <w:szCs w:val="24"/>
        </w:rPr>
      </w:pPr>
    </w:p>
    <w:p w14:paraId="5849B18E" w14:textId="008A34B6" w:rsidR="00755EE7" w:rsidRPr="008F3334" w:rsidRDefault="00755EE7" w:rsidP="00755EE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17 </w:t>
      </w:r>
      <w:r w:rsidRPr="008F3334">
        <w:rPr>
          <w:rFonts w:ascii="Times New Roman" w:hAnsi="Times New Roman" w:cs="Times New Roman"/>
          <w:sz w:val="24"/>
          <w:szCs w:val="24"/>
          <w:shd w:val="clear" w:color="auto" w:fill="FFFFFF"/>
        </w:rPr>
        <w:t>Lewis G, Pelosi A, Araya</w:t>
      </w:r>
      <w:r w:rsidR="00E902CF">
        <w:rPr>
          <w:rFonts w:ascii="Times New Roman" w:hAnsi="Times New Roman" w:cs="Times New Roman"/>
          <w:sz w:val="24"/>
          <w:szCs w:val="24"/>
          <w:shd w:val="clear" w:color="auto" w:fill="FFFFFF"/>
        </w:rPr>
        <w:t xml:space="preserve"> R,</w:t>
      </w:r>
      <w:r w:rsidRPr="008F3334">
        <w:rPr>
          <w:rFonts w:ascii="Times New Roman" w:hAnsi="Times New Roman" w:cs="Times New Roman"/>
          <w:sz w:val="24"/>
          <w:szCs w:val="24"/>
          <w:shd w:val="clear" w:color="auto" w:fill="FFFFFF"/>
        </w:rPr>
        <w:t xml:space="preserve"> </w:t>
      </w:r>
      <w:r w:rsidR="00CF3F04">
        <w:rPr>
          <w:rFonts w:ascii="Times New Roman" w:hAnsi="Times New Roman" w:cs="Times New Roman"/>
          <w:sz w:val="24"/>
          <w:szCs w:val="24"/>
          <w:shd w:val="clear" w:color="auto" w:fill="FFFFFF"/>
        </w:rPr>
        <w:t>et al</w:t>
      </w:r>
      <w:r w:rsidRPr="008F3334">
        <w:rPr>
          <w:rFonts w:ascii="Times New Roman" w:hAnsi="Times New Roman" w:cs="Times New Roman"/>
          <w:sz w:val="24"/>
          <w:szCs w:val="24"/>
          <w:shd w:val="clear" w:color="auto" w:fill="FFFFFF"/>
        </w:rPr>
        <w:t>. Measuring psychiatric disorders in the community: a standardised assessment for use by lay interviewers.</w:t>
      </w:r>
      <w:r w:rsidRPr="008F3334">
        <w:rPr>
          <w:rStyle w:val="apple-converted-space"/>
          <w:rFonts w:ascii="Times New Roman" w:hAnsi="Times New Roman" w:cs="Times New Roman"/>
          <w:sz w:val="24"/>
          <w:szCs w:val="24"/>
          <w:shd w:val="clear" w:color="auto" w:fill="FFFFFF"/>
        </w:rPr>
        <w:t> </w:t>
      </w:r>
      <w:r w:rsidRPr="008F3334">
        <w:rPr>
          <w:rStyle w:val="ref-journal"/>
          <w:rFonts w:ascii="Times New Roman" w:hAnsi="Times New Roman" w:cs="Times New Roman"/>
          <w:i/>
          <w:sz w:val="24"/>
          <w:szCs w:val="24"/>
          <w:shd w:val="clear" w:color="auto" w:fill="FFFFFF"/>
        </w:rPr>
        <w:t>Psychol Med</w:t>
      </w:r>
      <w:r w:rsidR="00C01869">
        <w:rPr>
          <w:rStyle w:val="ref-journal"/>
          <w:rFonts w:ascii="Times New Roman" w:hAnsi="Times New Roman" w:cs="Times New Roman"/>
          <w:i/>
          <w:sz w:val="24"/>
          <w:szCs w:val="24"/>
          <w:shd w:val="clear" w:color="auto" w:fill="FFFFFF"/>
        </w:rPr>
        <w:t xml:space="preserve">. </w:t>
      </w:r>
      <w:r w:rsidR="00C01869">
        <w:rPr>
          <w:rStyle w:val="ref-journal"/>
          <w:rFonts w:ascii="Times New Roman" w:hAnsi="Times New Roman" w:cs="Times New Roman"/>
          <w:sz w:val="24"/>
          <w:szCs w:val="24"/>
          <w:shd w:val="clear" w:color="auto" w:fill="FFFFFF"/>
        </w:rPr>
        <w:t>1992;22:</w:t>
      </w:r>
      <w:r w:rsidRPr="008F3334">
        <w:rPr>
          <w:rFonts w:ascii="Times New Roman" w:hAnsi="Times New Roman" w:cs="Times New Roman"/>
          <w:sz w:val="24"/>
          <w:szCs w:val="24"/>
          <w:shd w:val="clear" w:color="auto" w:fill="FFFFFF"/>
        </w:rPr>
        <w:t>465</w:t>
      </w:r>
      <w:r w:rsidR="00C01869">
        <w:rPr>
          <w:rFonts w:ascii="Times New Roman" w:hAnsi="Times New Roman" w:cs="Times New Roman"/>
          <w:sz w:val="24"/>
          <w:szCs w:val="24"/>
          <w:shd w:val="clear" w:color="auto" w:fill="FFFFFF"/>
        </w:rPr>
        <w:t>-</w:t>
      </w:r>
      <w:r w:rsidRPr="008F3334">
        <w:rPr>
          <w:rFonts w:ascii="Times New Roman" w:hAnsi="Times New Roman" w:cs="Times New Roman"/>
          <w:sz w:val="24"/>
          <w:szCs w:val="24"/>
          <w:shd w:val="clear" w:color="auto" w:fill="FFFFFF"/>
        </w:rPr>
        <w:t>486</w:t>
      </w:r>
      <w:r w:rsidR="00C01869">
        <w:rPr>
          <w:rFonts w:ascii="Times New Roman" w:hAnsi="Times New Roman" w:cs="Times New Roman"/>
          <w:sz w:val="24"/>
          <w:szCs w:val="24"/>
          <w:shd w:val="clear" w:color="auto" w:fill="FFFFFF"/>
        </w:rPr>
        <w:t>.</w:t>
      </w:r>
    </w:p>
    <w:p w14:paraId="1E2D8342" w14:textId="77777777" w:rsidR="00755EE7" w:rsidRDefault="00755EE7" w:rsidP="00755EE7">
      <w:pPr>
        <w:spacing w:after="0" w:line="240" w:lineRule="auto"/>
        <w:rPr>
          <w:rFonts w:ascii="Times New Roman" w:hAnsi="Times New Roman" w:cs="Times New Roman"/>
          <w:sz w:val="24"/>
          <w:szCs w:val="24"/>
        </w:rPr>
      </w:pPr>
    </w:p>
    <w:p w14:paraId="53113951" w14:textId="6C6B6308" w:rsidR="00755EE7" w:rsidRDefault="00755EE7" w:rsidP="00755EE7">
      <w:pPr>
        <w:spacing w:after="0" w:line="240" w:lineRule="auto"/>
        <w:rPr>
          <w:rStyle w:val="Hyperlink"/>
          <w:rFonts w:ascii="Times New Roman" w:eastAsia="Times New Roman" w:hAnsi="Times New Roman" w:cs="Times New Roman"/>
          <w:sz w:val="24"/>
          <w:szCs w:val="24"/>
        </w:rPr>
      </w:pPr>
      <w:r>
        <w:rPr>
          <w:rFonts w:ascii="Times New Roman" w:hAnsi="Times New Roman" w:cs="Times New Roman"/>
          <w:sz w:val="24"/>
          <w:szCs w:val="24"/>
        </w:rPr>
        <w:t xml:space="preserve">18 </w:t>
      </w:r>
      <w:r w:rsidRPr="00240013">
        <w:rPr>
          <w:rFonts w:ascii="Times New Roman" w:hAnsi="Times New Roman" w:cs="Times New Roman"/>
          <w:sz w:val="24"/>
          <w:szCs w:val="24"/>
          <w:shd w:val="clear" w:color="auto" w:fill="FFFFFF"/>
          <w:lang w:val="de-DE"/>
        </w:rPr>
        <w:t>Spitzer R, Kroenke</w:t>
      </w:r>
      <w:r w:rsidR="00E902CF">
        <w:rPr>
          <w:rFonts w:ascii="Times New Roman" w:hAnsi="Times New Roman" w:cs="Times New Roman"/>
          <w:sz w:val="24"/>
          <w:szCs w:val="24"/>
          <w:shd w:val="clear" w:color="auto" w:fill="FFFFFF"/>
          <w:lang w:val="de-DE"/>
        </w:rPr>
        <w:t xml:space="preserve"> K,</w:t>
      </w:r>
      <w:r w:rsidRPr="00240013">
        <w:rPr>
          <w:rFonts w:ascii="Times New Roman" w:hAnsi="Times New Roman" w:cs="Times New Roman"/>
          <w:sz w:val="24"/>
          <w:szCs w:val="24"/>
          <w:shd w:val="clear" w:color="auto" w:fill="FFFFFF"/>
          <w:lang w:val="de-DE"/>
        </w:rPr>
        <w:t xml:space="preserve"> Williams J. </w:t>
      </w:r>
      <w:r w:rsidRPr="00240013">
        <w:rPr>
          <w:rFonts w:ascii="Times New Roman" w:hAnsi="Times New Roman" w:cs="Times New Roman"/>
          <w:sz w:val="24"/>
          <w:szCs w:val="24"/>
          <w:shd w:val="clear" w:color="auto" w:fill="FFFFFF"/>
        </w:rPr>
        <w:t>Validation and utility of a self-report version of PRIME-MD: the PHQ primary care study.</w:t>
      </w:r>
      <w:r w:rsidRPr="00240013">
        <w:rPr>
          <w:rStyle w:val="apple-converted-space"/>
          <w:rFonts w:ascii="Times New Roman" w:hAnsi="Times New Roman" w:cs="Times New Roman"/>
          <w:sz w:val="24"/>
          <w:szCs w:val="24"/>
          <w:shd w:val="clear" w:color="auto" w:fill="FFFFFF"/>
        </w:rPr>
        <w:t> </w:t>
      </w:r>
      <w:r w:rsidRPr="00240013">
        <w:rPr>
          <w:rFonts w:ascii="Times New Roman" w:hAnsi="Times New Roman" w:cs="Times New Roman"/>
          <w:i/>
          <w:sz w:val="24"/>
          <w:szCs w:val="24"/>
          <w:lang w:val="de-DE"/>
        </w:rPr>
        <w:t>JAMA</w:t>
      </w:r>
      <w:r w:rsidR="006D28C8">
        <w:rPr>
          <w:rFonts w:ascii="Times New Roman" w:hAnsi="Times New Roman" w:cs="Times New Roman"/>
          <w:i/>
          <w:sz w:val="24"/>
          <w:szCs w:val="24"/>
          <w:lang w:val="de-DE"/>
        </w:rPr>
        <w:t xml:space="preserve">. </w:t>
      </w:r>
      <w:r w:rsidR="006D28C8">
        <w:rPr>
          <w:rFonts w:ascii="Times New Roman" w:hAnsi="Times New Roman" w:cs="Times New Roman"/>
          <w:sz w:val="24"/>
          <w:szCs w:val="24"/>
          <w:lang w:val="de-DE"/>
        </w:rPr>
        <w:t>1999;10:</w:t>
      </w:r>
      <w:r w:rsidRPr="00240013">
        <w:rPr>
          <w:rFonts w:ascii="Times New Roman" w:hAnsi="Times New Roman" w:cs="Times New Roman"/>
          <w:sz w:val="24"/>
          <w:szCs w:val="24"/>
          <w:shd w:val="clear" w:color="auto" w:fill="FFFFFF"/>
          <w:lang w:val="de-DE"/>
        </w:rPr>
        <w:t>1737</w:t>
      </w:r>
      <w:r w:rsidR="006D28C8">
        <w:rPr>
          <w:rFonts w:ascii="Times New Roman" w:hAnsi="Times New Roman" w:cs="Times New Roman"/>
          <w:sz w:val="24"/>
          <w:szCs w:val="24"/>
          <w:shd w:val="clear" w:color="auto" w:fill="FFFFFF"/>
          <w:lang w:val="de-DE"/>
        </w:rPr>
        <w:t>-</w:t>
      </w:r>
      <w:r w:rsidRPr="00240013">
        <w:rPr>
          <w:rFonts w:ascii="Times New Roman" w:hAnsi="Times New Roman" w:cs="Times New Roman"/>
          <w:sz w:val="24"/>
          <w:szCs w:val="24"/>
          <w:shd w:val="clear" w:color="auto" w:fill="FFFFFF"/>
          <w:lang w:val="de-DE"/>
        </w:rPr>
        <w:t>1744</w:t>
      </w:r>
      <w:r w:rsidR="006D28C8">
        <w:rPr>
          <w:rFonts w:ascii="Times New Roman" w:hAnsi="Times New Roman" w:cs="Times New Roman"/>
          <w:sz w:val="24"/>
          <w:szCs w:val="24"/>
          <w:shd w:val="clear" w:color="auto" w:fill="FFFFFF"/>
          <w:lang w:val="de-DE"/>
        </w:rPr>
        <w:t>.</w:t>
      </w:r>
      <w:r w:rsidRPr="00240013">
        <w:rPr>
          <w:rStyle w:val="Hyperlink"/>
          <w:rFonts w:ascii="Times New Roman" w:hAnsi="Times New Roman" w:cs="Times New Roman"/>
          <w:color w:val="auto"/>
          <w:sz w:val="24"/>
          <w:szCs w:val="24"/>
          <w:u w:val="none"/>
          <w:lang w:val="de-DE"/>
        </w:rPr>
        <w:t xml:space="preserve"> </w:t>
      </w:r>
    </w:p>
    <w:p w14:paraId="56D0B70F" w14:textId="77777777" w:rsidR="00755EE7" w:rsidRDefault="00755EE7" w:rsidP="00755EE7">
      <w:pPr>
        <w:spacing w:after="0" w:line="240" w:lineRule="auto"/>
        <w:rPr>
          <w:rFonts w:ascii="Times New Roman" w:hAnsi="Times New Roman" w:cs="Times New Roman"/>
          <w:sz w:val="24"/>
          <w:szCs w:val="24"/>
        </w:rPr>
      </w:pPr>
    </w:p>
    <w:p w14:paraId="200BA41A" w14:textId="6ED99FA5" w:rsidR="00755EE7"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19 </w:t>
      </w:r>
      <w:r w:rsidRPr="00240013">
        <w:rPr>
          <w:rFonts w:ascii="Times New Roman" w:hAnsi="Times New Roman" w:cs="Times New Roman"/>
          <w:sz w:val="24"/>
          <w:szCs w:val="24"/>
          <w:shd w:val="clear" w:color="auto" w:fill="FFFFFF"/>
          <w:lang w:val="de-DE"/>
        </w:rPr>
        <w:t>Spitzer R, Kroenke, Williams</w:t>
      </w:r>
      <w:r w:rsidR="00E902CF">
        <w:rPr>
          <w:rFonts w:ascii="Times New Roman" w:hAnsi="Times New Roman" w:cs="Times New Roman"/>
          <w:sz w:val="24"/>
          <w:szCs w:val="24"/>
          <w:shd w:val="clear" w:color="auto" w:fill="FFFFFF"/>
          <w:lang w:val="de-DE"/>
        </w:rPr>
        <w:t xml:space="preserve"> B,</w:t>
      </w:r>
      <w:r w:rsidRPr="00240013">
        <w:rPr>
          <w:rFonts w:ascii="Times New Roman" w:hAnsi="Times New Roman" w:cs="Times New Roman"/>
          <w:sz w:val="24"/>
          <w:szCs w:val="24"/>
          <w:shd w:val="clear" w:color="auto" w:fill="FFFFFF"/>
          <w:lang w:val="de-DE"/>
        </w:rPr>
        <w:t xml:space="preserve"> </w:t>
      </w:r>
      <w:r w:rsidR="00CF3F04">
        <w:rPr>
          <w:rFonts w:ascii="Times New Roman" w:hAnsi="Times New Roman" w:cs="Times New Roman"/>
          <w:sz w:val="24"/>
          <w:szCs w:val="24"/>
          <w:shd w:val="clear" w:color="auto" w:fill="FFFFFF"/>
          <w:lang w:val="de-DE"/>
        </w:rPr>
        <w:t>et al</w:t>
      </w:r>
      <w:r w:rsidRPr="00240013">
        <w:rPr>
          <w:rFonts w:ascii="Times New Roman" w:hAnsi="Times New Roman" w:cs="Times New Roman"/>
          <w:sz w:val="24"/>
          <w:szCs w:val="24"/>
          <w:shd w:val="clear" w:color="auto" w:fill="FFFFFF"/>
          <w:lang w:val="de-DE"/>
        </w:rPr>
        <w:t xml:space="preserve">. </w:t>
      </w:r>
      <w:r w:rsidRPr="00240013">
        <w:rPr>
          <w:rFonts w:ascii="Times New Roman" w:hAnsi="Times New Roman" w:cs="Times New Roman"/>
          <w:sz w:val="24"/>
          <w:szCs w:val="24"/>
          <w:shd w:val="clear" w:color="auto" w:fill="FFFFFF"/>
        </w:rPr>
        <w:t>A brief measure for assessing generalized anxiety disorder: the GAD-7.</w:t>
      </w:r>
      <w:r w:rsidRPr="00240013">
        <w:rPr>
          <w:rStyle w:val="apple-converted-space"/>
          <w:rFonts w:ascii="Times New Roman" w:hAnsi="Times New Roman" w:cs="Times New Roman"/>
          <w:sz w:val="24"/>
          <w:szCs w:val="24"/>
          <w:shd w:val="clear" w:color="auto" w:fill="FFFFFF"/>
        </w:rPr>
        <w:t> </w:t>
      </w:r>
      <w:r w:rsidRPr="00240013">
        <w:rPr>
          <w:rFonts w:ascii="Times New Roman" w:hAnsi="Times New Roman" w:cs="Times New Roman"/>
          <w:i/>
          <w:iCs/>
          <w:sz w:val="24"/>
          <w:szCs w:val="24"/>
          <w:shd w:val="clear" w:color="auto" w:fill="FFFFFF"/>
        </w:rPr>
        <w:t>Arch Int Med.</w:t>
      </w:r>
      <w:r w:rsidRPr="00240013">
        <w:rPr>
          <w:rStyle w:val="apple-converted-space"/>
          <w:rFonts w:ascii="Times New Roman" w:hAnsi="Times New Roman" w:cs="Times New Roman"/>
          <w:sz w:val="24"/>
          <w:szCs w:val="24"/>
          <w:shd w:val="clear" w:color="auto" w:fill="FFFFFF"/>
        </w:rPr>
        <w:t> </w:t>
      </w:r>
      <w:r w:rsidR="006D28C8">
        <w:rPr>
          <w:rStyle w:val="apple-converted-space"/>
          <w:rFonts w:ascii="Times New Roman" w:hAnsi="Times New Roman" w:cs="Times New Roman"/>
          <w:sz w:val="24"/>
          <w:szCs w:val="24"/>
          <w:shd w:val="clear" w:color="auto" w:fill="FFFFFF"/>
        </w:rPr>
        <w:t>2006;166:</w:t>
      </w:r>
      <w:r w:rsidRPr="00240013">
        <w:rPr>
          <w:rFonts w:ascii="Times New Roman" w:eastAsia="Times New Roman" w:hAnsi="Times New Roman" w:cs="Times New Roman"/>
          <w:sz w:val="24"/>
          <w:szCs w:val="24"/>
        </w:rPr>
        <w:t>1092</w:t>
      </w:r>
      <w:r w:rsidR="006D28C8">
        <w:rPr>
          <w:rFonts w:ascii="Times New Roman" w:eastAsia="Times New Roman" w:hAnsi="Times New Roman" w:cs="Times New Roman"/>
          <w:sz w:val="24"/>
          <w:szCs w:val="24"/>
        </w:rPr>
        <w:t>-</w:t>
      </w:r>
      <w:r w:rsidRPr="00240013">
        <w:rPr>
          <w:rFonts w:ascii="Times New Roman" w:eastAsia="Times New Roman" w:hAnsi="Times New Roman" w:cs="Times New Roman"/>
          <w:sz w:val="24"/>
          <w:szCs w:val="24"/>
        </w:rPr>
        <w:t>1097</w:t>
      </w:r>
      <w:r w:rsidR="006D28C8">
        <w:rPr>
          <w:rFonts w:ascii="Times New Roman" w:eastAsia="Times New Roman" w:hAnsi="Times New Roman" w:cs="Times New Roman"/>
          <w:sz w:val="24"/>
          <w:szCs w:val="24"/>
        </w:rPr>
        <w:t>.</w:t>
      </w:r>
    </w:p>
    <w:p w14:paraId="79A33144" w14:textId="77777777" w:rsidR="00755EE7" w:rsidRDefault="00755EE7" w:rsidP="00755EE7">
      <w:pPr>
        <w:spacing w:after="0" w:line="240" w:lineRule="auto"/>
        <w:rPr>
          <w:rFonts w:ascii="Times New Roman" w:hAnsi="Times New Roman" w:cs="Times New Roman"/>
          <w:sz w:val="24"/>
          <w:szCs w:val="24"/>
        </w:rPr>
      </w:pPr>
    </w:p>
    <w:p w14:paraId="04A5E3E9" w14:textId="4C33CA45" w:rsidR="00755EE7" w:rsidRPr="00F21B5A" w:rsidRDefault="00755EE7" w:rsidP="00755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20 </w:t>
      </w:r>
      <w:r w:rsidRPr="008F3334">
        <w:rPr>
          <w:rFonts w:ascii="Times New Roman" w:hAnsi="Times New Roman" w:cs="Times New Roman"/>
          <w:sz w:val="24"/>
          <w:szCs w:val="24"/>
        </w:rPr>
        <w:t>Copay</w:t>
      </w:r>
      <w:r w:rsidR="00E902CF">
        <w:rPr>
          <w:rFonts w:ascii="Times New Roman" w:hAnsi="Times New Roman" w:cs="Times New Roman"/>
          <w:sz w:val="24"/>
          <w:szCs w:val="24"/>
        </w:rPr>
        <w:t xml:space="preserve"> A, Subach </w:t>
      </w:r>
      <w:r w:rsidRPr="008F3334">
        <w:rPr>
          <w:rFonts w:ascii="Times New Roman" w:hAnsi="Times New Roman" w:cs="Times New Roman"/>
          <w:sz w:val="24"/>
          <w:szCs w:val="24"/>
        </w:rPr>
        <w:t>B, Glassman</w:t>
      </w:r>
      <w:r w:rsidR="00E902CF">
        <w:rPr>
          <w:rFonts w:ascii="Times New Roman" w:hAnsi="Times New Roman" w:cs="Times New Roman"/>
          <w:sz w:val="24"/>
          <w:szCs w:val="24"/>
        </w:rPr>
        <w:t xml:space="preserve"> S</w:t>
      </w:r>
      <w:r w:rsidRPr="008F3334">
        <w:rPr>
          <w:rFonts w:ascii="Times New Roman" w:hAnsi="Times New Roman" w:cs="Times New Roman"/>
          <w:sz w:val="24"/>
          <w:szCs w:val="24"/>
        </w:rPr>
        <w:t xml:space="preserve">, </w:t>
      </w:r>
      <w:r w:rsidR="00CF3F04">
        <w:rPr>
          <w:rFonts w:ascii="Times New Roman" w:hAnsi="Times New Roman" w:cs="Times New Roman"/>
          <w:sz w:val="24"/>
          <w:szCs w:val="24"/>
        </w:rPr>
        <w:t>et al</w:t>
      </w:r>
      <w:r w:rsidRPr="008F3334">
        <w:rPr>
          <w:rFonts w:ascii="Times New Roman" w:hAnsi="Times New Roman" w:cs="Times New Roman"/>
          <w:sz w:val="24"/>
          <w:szCs w:val="24"/>
        </w:rPr>
        <w:t xml:space="preserve">. Understanding the minimum clinically important </w:t>
      </w:r>
      <w:r w:rsidRPr="00F21B5A">
        <w:rPr>
          <w:rFonts w:ascii="Times New Roman" w:hAnsi="Times New Roman" w:cs="Times New Roman"/>
          <w:sz w:val="24"/>
          <w:szCs w:val="24"/>
        </w:rPr>
        <w:t xml:space="preserve">difference: a review of concepts and methods. </w:t>
      </w:r>
      <w:r w:rsidR="00A66CE8" w:rsidRPr="00F21B5A">
        <w:rPr>
          <w:rFonts w:ascii="Times New Roman" w:hAnsi="Times New Roman" w:cs="Times New Roman"/>
          <w:i/>
          <w:sz w:val="24"/>
          <w:szCs w:val="24"/>
        </w:rPr>
        <w:t>Spine J</w:t>
      </w:r>
      <w:r w:rsidR="006D28C8" w:rsidRPr="00F21B5A">
        <w:rPr>
          <w:rFonts w:ascii="Times New Roman" w:hAnsi="Times New Roman" w:cs="Times New Roman"/>
          <w:sz w:val="24"/>
          <w:szCs w:val="24"/>
        </w:rPr>
        <w:t>. 2007;</w:t>
      </w:r>
      <w:r w:rsidRPr="00F21B5A">
        <w:rPr>
          <w:rFonts w:ascii="Times New Roman" w:hAnsi="Times New Roman" w:cs="Times New Roman"/>
          <w:sz w:val="24"/>
          <w:szCs w:val="24"/>
        </w:rPr>
        <w:t>7</w:t>
      </w:r>
      <w:r w:rsidR="006D28C8" w:rsidRPr="00F21B5A">
        <w:rPr>
          <w:rFonts w:ascii="Times New Roman" w:hAnsi="Times New Roman" w:cs="Times New Roman"/>
          <w:sz w:val="24"/>
          <w:szCs w:val="24"/>
        </w:rPr>
        <w:t>:</w:t>
      </w:r>
      <w:r w:rsidRPr="00F21B5A">
        <w:rPr>
          <w:rFonts w:ascii="Times New Roman" w:hAnsi="Times New Roman" w:cs="Times New Roman"/>
          <w:sz w:val="24"/>
          <w:szCs w:val="24"/>
        </w:rPr>
        <w:t>541</w:t>
      </w:r>
      <w:r w:rsidR="006D28C8" w:rsidRPr="00F21B5A">
        <w:rPr>
          <w:rFonts w:ascii="Times New Roman" w:hAnsi="Times New Roman" w:cs="Times New Roman"/>
          <w:sz w:val="24"/>
          <w:szCs w:val="24"/>
        </w:rPr>
        <w:t>-</w:t>
      </w:r>
      <w:r w:rsidRPr="00F21B5A">
        <w:rPr>
          <w:rFonts w:ascii="Times New Roman" w:hAnsi="Times New Roman" w:cs="Times New Roman"/>
          <w:sz w:val="24"/>
          <w:szCs w:val="24"/>
        </w:rPr>
        <w:t>546</w:t>
      </w:r>
      <w:r w:rsidR="006D28C8" w:rsidRPr="00F21B5A">
        <w:rPr>
          <w:rFonts w:ascii="Times New Roman" w:hAnsi="Times New Roman" w:cs="Times New Roman"/>
          <w:sz w:val="24"/>
          <w:szCs w:val="24"/>
        </w:rPr>
        <w:t>.</w:t>
      </w:r>
    </w:p>
    <w:p w14:paraId="6B250BD4" w14:textId="77777777" w:rsidR="00755EE7" w:rsidRPr="00F21B5A" w:rsidRDefault="00755EE7" w:rsidP="00755EE7">
      <w:pPr>
        <w:spacing w:after="0" w:line="240" w:lineRule="auto"/>
        <w:rPr>
          <w:rFonts w:ascii="Times New Roman" w:eastAsia="Times New Roman" w:hAnsi="Times New Roman" w:cs="Times New Roman"/>
          <w:sz w:val="24"/>
          <w:szCs w:val="24"/>
        </w:rPr>
      </w:pPr>
    </w:p>
    <w:p w14:paraId="6C746096" w14:textId="2D374443" w:rsidR="00755EE7" w:rsidRPr="00F21B5A" w:rsidRDefault="00755EE7" w:rsidP="00755EE7">
      <w:pPr>
        <w:spacing w:after="0" w:line="240" w:lineRule="auto"/>
        <w:rPr>
          <w:rFonts w:ascii="Times New Roman" w:eastAsia="Times New Roman" w:hAnsi="Times New Roman" w:cs="Times New Roman"/>
          <w:sz w:val="24"/>
          <w:szCs w:val="24"/>
        </w:rPr>
      </w:pPr>
      <w:r w:rsidRPr="00F21B5A">
        <w:rPr>
          <w:rFonts w:ascii="Times New Roman" w:eastAsia="Times New Roman" w:hAnsi="Times New Roman" w:cs="Times New Roman"/>
          <w:sz w:val="24"/>
          <w:szCs w:val="24"/>
        </w:rPr>
        <w:t>2</w:t>
      </w:r>
      <w:r w:rsidR="006932FE">
        <w:rPr>
          <w:rFonts w:ascii="Times New Roman" w:eastAsia="Times New Roman" w:hAnsi="Times New Roman" w:cs="Times New Roman"/>
          <w:sz w:val="24"/>
          <w:szCs w:val="24"/>
        </w:rPr>
        <w:t>1</w:t>
      </w:r>
      <w:r w:rsidRPr="00F21B5A">
        <w:rPr>
          <w:rFonts w:ascii="Times New Roman" w:eastAsia="Times New Roman" w:hAnsi="Times New Roman" w:cs="Times New Roman"/>
          <w:sz w:val="24"/>
          <w:szCs w:val="24"/>
        </w:rPr>
        <w:t xml:space="preserve"> Stavrou S, Cape J</w:t>
      </w:r>
      <w:r w:rsidR="00E902CF" w:rsidRPr="00F21B5A">
        <w:rPr>
          <w:rFonts w:ascii="Times New Roman" w:eastAsia="Times New Roman" w:hAnsi="Times New Roman" w:cs="Times New Roman"/>
          <w:sz w:val="24"/>
          <w:szCs w:val="24"/>
        </w:rPr>
        <w:t>,</w:t>
      </w:r>
      <w:r w:rsidRPr="00F21B5A">
        <w:rPr>
          <w:rFonts w:ascii="Times New Roman" w:eastAsia="Times New Roman" w:hAnsi="Times New Roman" w:cs="Times New Roman"/>
          <w:sz w:val="24"/>
          <w:szCs w:val="24"/>
        </w:rPr>
        <w:t xml:space="preserve"> Barker, C. Decisions about referrals for psychological therapies: a matched-patient qualitative study. </w:t>
      </w:r>
      <w:r w:rsidRPr="00F21B5A">
        <w:rPr>
          <w:rFonts w:ascii="Times New Roman" w:eastAsia="Times New Roman" w:hAnsi="Times New Roman" w:cs="Times New Roman"/>
          <w:i/>
          <w:sz w:val="24"/>
          <w:szCs w:val="24"/>
        </w:rPr>
        <w:t xml:space="preserve">Br </w:t>
      </w:r>
      <w:r w:rsidR="00A66CE8" w:rsidRPr="00F21B5A">
        <w:rPr>
          <w:rFonts w:ascii="Times New Roman" w:eastAsia="Times New Roman" w:hAnsi="Times New Roman" w:cs="Times New Roman"/>
          <w:i/>
          <w:sz w:val="24"/>
          <w:szCs w:val="24"/>
        </w:rPr>
        <w:t>J G</w:t>
      </w:r>
      <w:r w:rsidRPr="00F21B5A">
        <w:rPr>
          <w:rFonts w:ascii="Times New Roman" w:eastAsia="Times New Roman" w:hAnsi="Times New Roman" w:cs="Times New Roman"/>
          <w:i/>
          <w:sz w:val="24"/>
          <w:szCs w:val="24"/>
        </w:rPr>
        <w:t>en</w:t>
      </w:r>
      <w:r w:rsidR="00A66CE8" w:rsidRPr="00F21B5A">
        <w:rPr>
          <w:rFonts w:ascii="Times New Roman" w:eastAsia="Times New Roman" w:hAnsi="Times New Roman" w:cs="Times New Roman"/>
          <w:i/>
          <w:sz w:val="24"/>
          <w:szCs w:val="24"/>
        </w:rPr>
        <w:t xml:space="preserve"> P</w:t>
      </w:r>
      <w:r w:rsidRPr="00F21B5A">
        <w:rPr>
          <w:rFonts w:ascii="Times New Roman" w:eastAsia="Times New Roman" w:hAnsi="Times New Roman" w:cs="Times New Roman"/>
          <w:i/>
          <w:sz w:val="24"/>
          <w:szCs w:val="24"/>
        </w:rPr>
        <w:t xml:space="preserve">ract. </w:t>
      </w:r>
      <w:r w:rsidR="008109FC" w:rsidRPr="00F21B5A">
        <w:rPr>
          <w:rFonts w:ascii="Times New Roman" w:eastAsia="Times New Roman" w:hAnsi="Times New Roman" w:cs="Times New Roman"/>
          <w:sz w:val="24"/>
          <w:szCs w:val="24"/>
        </w:rPr>
        <w:t>2009;59:</w:t>
      </w:r>
      <w:r w:rsidRPr="00F21B5A">
        <w:rPr>
          <w:rFonts w:ascii="Times New Roman" w:eastAsia="Times New Roman" w:hAnsi="Times New Roman" w:cs="Times New Roman"/>
          <w:sz w:val="24"/>
          <w:szCs w:val="24"/>
        </w:rPr>
        <w:t>289</w:t>
      </w:r>
      <w:r w:rsidR="008109FC" w:rsidRPr="00F21B5A">
        <w:rPr>
          <w:rFonts w:ascii="Times New Roman" w:eastAsia="Times New Roman" w:hAnsi="Times New Roman" w:cs="Times New Roman"/>
          <w:sz w:val="24"/>
          <w:szCs w:val="24"/>
        </w:rPr>
        <w:t>-</w:t>
      </w:r>
      <w:r w:rsidRPr="00F21B5A">
        <w:rPr>
          <w:rFonts w:ascii="Times New Roman" w:eastAsia="Times New Roman" w:hAnsi="Times New Roman" w:cs="Times New Roman"/>
          <w:sz w:val="24"/>
          <w:szCs w:val="24"/>
        </w:rPr>
        <w:t>298</w:t>
      </w:r>
      <w:r w:rsidR="008109FC" w:rsidRPr="00F21B5A">
        <w:rPr>
          <w:rFonts w:ascii="Times New Roman" w:eastAsia="Times New Roman" w:hAnsi="Times New Roman" w:cs="Times New Roman"/>
          <w:sz w:val="24"/>
          <w:szCs w:val="24"/>
        </w:rPr>
        <w:t>.</w:t>
      </w:r>
    </w:p>
    <w:p w14:paraId="47AA4ACF" w14:textId="77777777" w:rsidR="00755EE7" w:rsidRPr="00F21B5A" w:rsidRDefault="00755EE7" w:rsidP="00755EE7">
      <w:pPr>
        <w:spacing w:after="0" w:line="240" w:lineRule="auto"/>
        <w:rPr>
          <w:rFonts w:ascii="Times New Roman" w:eastAsia="Times New Roman" w:hAnsi="Times New Roman" w:cs="Times New Roman"/>
          <w:sz w:val="24"/>
          <w:szCs w:val="24"/>
        </w:rPr>
      </w:pPr>
    </w:p>
    <w:p w14:paraId="6B04CBD3" w14:textId="1DC744DF" w:rsidR="00755EE7" w:rsidRPr="00F21B5A" w:rsidRDefault="00755EE7" w:rsidP="00755EE7">
      <w:pPr>
        <w:spacing w:after="0" w:line="240" w:lineRule="auto"/>
        <w:rPr>
          <w:rFonts w:ascii="Times New Roman" w:eastAsia="Times New Roman" w:hAnsi="Times New Roman" w:cs="Times New Roman"/>
          <w:sz w:val="24"/>
          <w:szCs w:val="24"/>
        </w:rPr>
      </w:pPr>
      <w:r w:rsidRPr="00F21B5A">
        <w:rPr>
          <w:rFonts w:ascii="Times New Roman" w:hAnsi="Times New Roman" w:cs="Times New Roman"/>
          <w:sz w:val="24"/>
          <w:szCs w:val="24"/>
        </w:rPr>
        <w:t>2</w:t>
      </w:r>
      <w:r w:rsidR="006932FE">
        <w:rPr>
          <w:rFonts w:ascii="Times New Roman" w:hAnsi="Times New Roman" w:cs="Times New Roman"/>
          <w:sz w:val="24"/>
          <w:szCs w:val="24"/>
        </w:rPr>
        <w:t>2</w:t>
      </w:r>
      <w:r w:rsidRPr="00F21B5A">
        <w:rPr>
          <w:rFonts w:ascii="Times New Roman" w:eastAsia="Times New Roman" w:hAnsi="Times New Roman" w:cs="Times New Roman"/>
          <w:sz w:val="24"/>
          <w:szCs w:val="24"/>
        </w:rPr>
        <w:t xml:space="preserve"> </w:t>
      </w:r>
      <w:r w:rsidRPr="00F21B5A">
        <w:rPr>
          <w:rFonts w:ascii="Times New Roman" w:hAnsi="Times New Roman" w:cs="Times New Roman"/>
          <w:sz w:val="24"/>
          <w:szCs w:val="24"/>
        </w:rPr>
        <w:t>Estimating the prevalence of common mental health problems in PCTs in England</w:t>
      </w:r>
      <w:r w:rsidR="00F21B5A" w:rsidRPr="00F21B5A">
        <w:rPr>
          <w:rFonts w:ascii="Times New Roman" w:hAnsi="Times New Roman" w:cs="Times New Roman"/>
          <w:sz w:val="24"/>
          <w:szCs w:val="24"/>
        </w:rPr>
        <w:t xml:space="preserve">. </w:t>
      </w:r>
      <w:r w:rsidR="00F21B5A" w:rsidRPr="00F21B5A">
        <w:rPr>
          <w:rFonts w:ascii="Times New Roman" w:eastAsia="Times New Roman" w:hAnsi="Times New Roman" w:cs="Times New Roman"/>
          <w:sz w:val="24"/>
          <w:szCs w:val="24"/>
        </w:rPr>
        <w:t>Mental Health Observatory Briefs. 2008</w:t>
      </w:r>
    </w:p>
    <w:p w14:paraId="320C5BAF" w14:textId="77777777" w:rsidR="00755EE7" w:rsidRDefault="00755EE7" w:rsidP="00755EE7">
      <w:pPr>
        <w:spacing w:after="0" w:line="240" w:lineRule="auto"/>
        <w:rPr>
          <w:rFonts w:ascii="Times New Roman" w:hAnsi="Times New Roman" w:cs="Times New Roman"/>
          <w:sz w:val="24"/>
          <w:szCs w:val="24"/>
        </w:rPr>
      </w:pPr>
    </w:p>
    <w:p w14:paraId="1002B544" w14:textId="0DB7DA30" w:rsidR="008C184C" w:rsidRDefault="006932FE" w:rsidP="00F0035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755EE7">
        <w:rPr>
          <w:rFonts w:ascii="Times New Roman" w:hAnsi="Times New Roman" w:cs="Times New Roman"/>
          <w:sz w:val="24"/>
          <w:szCs w:val="24"/>
        </w:rPr>
        <w:t xml:space="preserve"> </w:t>
      </w:r>
      <w:r w:rsidR="00755EE7" w:rsidRPr="008F3334">
        <w:rPr>
          <w:rFonts w:ascii="Times New Roman" w:hAnsi="Times New Roman" w:cs="Times New Roman"/>
          <w:sz w:val="24"/>
          <w:szCs w:val="24"/>
        </w:rPr>
        <w:t xml:space="preserve">Marshall D, Quinn C, Child S, </w:t>
      </w:r>
      <w:r w:rsidR="00C17600">
        <w:rPr>
          <w:rFonts w:ascii="Times New Roman" w:hAnsi="Times New Roman" w:cs="Times New Roman"/>
          <w:sz w:val="24"/>
          <w:szCs w:val="24"/>
        </w:rPr>
        <w:t>et al</w:t>
      </w:r>
      <w:r w:rsidR="00755EE7" w:rsidRPr="008F3334">
        <w:rPr>
          <w:rFonts w:ascii="Times New Roman" w:hAnsi="Times New Roman" w:cs="Times New Roman"/>
          <w:sz w:val="24"/>
          <w:szCs w:val="24"/>
        </w:rPr>
        <w:t xml:space="preserve"> (2015). What IAPT services can learn from those who do not attend. </w:t>
      </w:r>
      <w:r w:rsidR="00755EE7" w:rsidRPr="008F3334">
        <w:rPr>
          <w:rFonts w:ascii="Times New Roman" w:hAnsi="Times New Roman" w:cs="Times New Roman"/>
          <w:i/>
          <w:sz w:val="24"/>
          <w:szCs w:val="24"/>
        </w:rPr>
        <w:t>J Ment Health</w:t>
      </w:r>
      <w:r w:rsidR="008109FC">
        <w:rPr>
          <w:rFonts w:ascii="Times New Roman" w:hAnsi="Times New Roman" w:cs="Times New Roman"/>
          <w:sz w:val="24"/>
          <w:szCs w:val="24"/>
        </w:rPr>
        <w:t>. 2015;3:1-6.</w:t>
      </w:r>
    </w:p>
    <w:p w14:paraId="02A8EAF3" w14:textId="77777777" w:rsidR="00462FB9" w:rsidRDefault="00462FB9" w:rsidP="00F00351">
      <w:pPr>
        <w:spacing w:after="0" w:line="240" w:lineRule="auto"/>
        <w:rPr>
          <w:rFonts w:ascii="Times New Roman" w:hAnsi="Times New Roman" w:cs="Times New Roman"/>
          <w:sz w:val="24"/>
          <w:szCs w:val="24"/>
        </w:rPr>
      </w:pPr>
    </w:p>
    <w:p w14:paraId="254A2EF7" w14:textId="77777777" w:rsidR="00462FB9" w:rsidRDefault="00462FB9" w:rsidP="00F00351">
      <w:pPr>
        <w:spacing w:after="0" w:line="240" w:lineRule="auto"/>
        <w:rPr>
          <w:rFonts w:ascii="Times New Roman" w:hAnsi="Times New Roman" w:cs="Times New Roman"/>
          <w:sz w:val="24"/>
          <w:szCs w:val="24"/>
        </w:rPr>
      </w:pPr>
    </w:p>
    <w:p w14:paraId="29F88689" w14:textId="77777777" w:rsidR="00462FB9" w:rsidRDefault="00462FB9" w:rsidP="00F00351">
      <w:pPr>
        <w:spacing w:after="0" w:line="240" w:lineRule="auto"/>
        <w:rPr>
          <w:rFonts w:ascii="Times New Roman" w:hAnsi="Times New Roman" w:cs="Times New Roman"/>
          <w:sz w:val="24"/>
          <w:szCs w:val="24"/>
        </w:rPr>
      </w:pPr>
    </w:p>
    <w:p w14:paraId="3E4E0738" w14:textId="77777777" w:rsidR="00462FB9" w:rsidRDefault="00462FB9" w:rsidP="00F00351">
      <w:pPr>
        <w:spacing w:after="0" w:line="240" w:lineRule="auto"/>
        <w:rPr>
          <w:rFonts w:ascii="Times New Roman" w:hAnsi="Times New Roman" w:cs="Times New Roman"/>
          <w:sz w:val="24"/>
          <w:szCs w:val="24"/>
        </w:rPr>
      </w:pPr>
    </w:p>
    <w:p w14:paraId="5277B3D4" w14:textId="77777777" w:rsidR="00462FB9" w:rsidRDefault="00462FB9" w:rsidP="00F00351">
      <w:pPr>
        <w:spacing w:after="0" w:line="240" w:lineRule="auto"/>
        <w:rPr>
          <w:rFonts w:ascii="Times New Roman" w:hAnsi="Times New Roman" w:cs="Times New Roman"/>
          <w:sz w:val="24"/>
          <w:szCs w:val="24"/>
        </w:rPr>
      </w:pPr>
    </w:p>
    <w:p w14:paraId="553AA69A" w14:textId="77777777" w:rsidR="00462FB9" w:rsidRDefault="00462FB9" w:rsidP="00F00351">
      <w:pPr>
        <w:spacing w:after="0" w:line="240" w:lineRule="auto"/>
        <w:rPr>
          <w:rFonts w:ascii="Times New Roman" w:hAnsi="Times New Roman" w:cs="Times New Roman"/>
          <w:sz w:val="24"/>
          <w:szCs w:val="24"/>
        </w:rPr>
      </w:pPr>
    </w:p>
    <w:p w14:paraId="461652F0" w14:textId="77777777" w:rsidR="00462FB9" w:rsidRDefault="00462FB9" w:rsidP="00F00351">
      <w:pPr>
        <w:spacing w:after="0" w:line="240" w:lineRule="auto"/>
        <w:rPr>
          <w:rFonts w:ascii="Times New Roman" w:hAnsi="Times New Roman" w:cs="Times New Roman"/>
          <w:sz w:val="24"/>
          <w:szCs w:val="24"/>
        </w:rPr>
      </w:pPr>
    </w:p>
    <w:p w14:paraId="617897BA" w14:textId="77777777" w:rsidR="00462FB9" w:rsidRDefault="00462FB9" w:rsidP="00F00351">
      <w:pPr>
        <w:spacing w:after="0" w:line="240" w:lineRule="auto"/>
        <w:rPr>
          <w:rFonts w:ascii="Times New Roman" w:hAnsi="Times New Roman" w:cs="Times New Roman"/>
          <w:sz w:val="24"/>
          <w:szCs w:val="24"/>
        </w:rPr>
      </w:pPr>
    </w:p>
    <w:p w14:paraId="6A61B2E7" w14:textId="77777777" w:rsidR="00462FB9" w:rsidRDefault="00462FB9" w:rsidP="00F00351">
      <w:pPr>
        <w:spacing w:after="0" w:line="240" w:lineRule="auto"/>
        <w:rPr>
          <w:rFonts w:ascii="Times New Roman" w:hAnsi="Times New Roman" w:cs="Times New Roman"/>
          <w:sz w:val="24"/>
          <w:szCs w:val="24"/>
        </w:rPr>
      </w:pPr>
    </w:p>
    <w:p w14:paraId="41193D2E" w14:textId="77777777" w:rsidR="00462FB9" w:rsidRDefault="00462FB9" w:rsidP="00F00351">
      <w:pPr>
        <w:spacing w:after="0" w:line="240" w:lineRule="auto"/>
        <w:rPr>
          <w:rFonts w:ascii="Times New Roman" w:hAnsi="Times New Roman" w:cs="Times New Roman"/>
          <w:sz w:val="24"/>
          <w:szCs w:val="24"/>
        </w:rPr>
      </w:pPr>
    </w:p>
    <w:p w14:paraId="004CF1D2" w14:textId="77777777" w:rsidR="00462FB9" w:rsidRDefault="00462FB9" w:rsidP="00F00351">
      <w:pPr>
        <w:spacing w:after="0" w:line="240" w:lineRule="auto"/>
        <w:rPr>
          <w:rFonts w:ascii="Times New Roman" w:hAnsi="Times New Roman" w:cs="Times New Roman"/>
          <w:sz w:val="24"/>
          <w:szCs w:val="24"/>
        </w:rPr>
      </w:pPr>
    </w:p>
    <w:p w14:paraId="22E5AC2E" w14:textId="77777777" w:rsidR="00462FB9" w:rsidRDefault="00462FB9" w:rsidP="00F00351">
      <w:pPr>
        <w:spacing w:after="0" w:line="240" w:lineRule="auto"/>
        <w:rPr>
          <w:rFonts w:ascii="Times New Roman" w:hAnsi="Times New Roman" w:cs="Times New Roman"/>
          <w:sz w:val="24"/>
          <w:szCs w:val="24"/>
        </w:rPr>
      </w:pPr>
    </w:p>
    <w:p w14:paraId="600B1E9A" w14:textId="77777777" w:rsidR="00462FB9" w:rsidRDefault="00462FB9" w:rsidP="00F00351">
      <w:pPr>
        <w:spacing w:after="0" w:line="240" w:lineRule="auto"/>
        <w:rPr>
          <w:rFonts w:ascii="Times New Roman" w:hAnsi="Times New Roman" w:cs="Times New Roman"/>
          <w:sz w:val="24"/>
          <w:szCs w:val="24"/>
        </w:rPr>
      </w:pPr>
    </w:p>
    <w:p w14:paraId="25A1E385" w14:textId="77777777" w:rsidR="00462FB9" w:rsidRDefault="00462FB9" w:rsidP="00F00351">
      <w:pPr>
        <w:spacing w:after="0" w:line="240" w:lineRule="auto"/>
        <w:rPr>
          <w:rFonts w:ascii="Times New Roman" w:hAnsi="Times New Roman" w:cs="Times New Roman"/>
          <w:sz w:val="24"/>
          <w:szCs w:val="24"/>
        </w:rPr>
      </w:pPr>
    </w:p>
    <w:p w14:paraId="4EA23C88" w14:textId="77777777" w:rsidR="00462FB9" w:rsidRDefault="00462FB9" w:rsidP="00F00351">
      <w:pPr>
        <w:spacing w:after="0" w:line="240" w:lineRule="auto"/>
        <w:rPr>
          <w:rFonts w:ascii="Times New Roman" w:hAnsi="Times New Roman" w:cs="Times New Roman"/>
          <w:sz w:val="24"/>
          <w:szCs w:val="24"/>
        </w:rPr>
      </w:pPr>
    </w:p>
    <w:p w14:paraId="40F917BB" w14:textId="77777777" w:rsidR="00462FB9" w:rsidRDefault="00462FB9" w:rsidP="00F00351">
      <w:pPr>
        <w:spacing w:after="0" w:line="240" w:lineRule="auto"/>
        <w:rPr>
          <w:rFonts w:ascii="Times New Roman" w:hAnsi="Times New Roman" w:cs="Times New Roman"/>
          <w:sz w:val="24"/>
          <w:szCs w:val="24"/>
        </w:rPr>
      </w:pPr>
    </w:p>
    <w:p w14:paraId="2F10311C" w14:textId="77777777" w:rsidR="00462FB9" w:rsidRDefault="00462FB9" w:rsidP="00F00351">
      <w:pPr>
        <w:spacing w:after="0" w:line="240" w:lineRule="auto"/>
        <w:rPr>
          <w:rFonts w:ascii="Times New Roman" w:hAnsi="Times New Roman" w:cs="Times New Roman"/>
          <w:sz w:val="24"/>
          <w:szCs w:val="24"/>
        </w:rPr>
      </w:pPr>
    </w:p>
    <w:p w14:paraId="1B38C04A" w14:textId="77777777" w:rsidR="00462FB9" w:rsidRDefault="00462FB9" w:rsidP="00F00351">
      <w:pPr>
        <w:spacing w:after="0" w:line="240" w:lineRule="auto"/>
        <w:rPr>
          <w:rFonts w:ascii="Times New Roman" w:hAnsi="Times New Roman" w:cs="Times New Roman"/>
          <w:sz w:val="24"/>
          <w:szCs w:val="24"/>
        </w:rPr>
      </w:pPr>
    </w:p>
    <w:p w14:paraId="6B358470" w14:textId="77777777" w:rsidR="00462FB9" w:rsidRDefault="00462FB9" w:rsidP="00F00351">
      <w:pPr>
        <w:spacing w:after="0" w:line="240" w:lineRule="auto"/>
        <w:rPr>
          <w:rFonts w:ascii="Times New Roman" w:hAnsi="Times New Roman" w:cs="Times New Roman"/>
          <w:sz w:val="24"/>
          <w:szCs w:val="24"/>
        </w:rPr>
      </w:pPr>
    </w:p>
    <w:p w14:paraId="7F26A74F" w14:textId="77777777" w:rsidR="00462FB9" w:rsidRDefault="00462FB9" w:rsidP="00F00351">
      <w:pPr>
        <w:spacing w:after="0" w:line="240" w:lineRule="auto"/>
        <w:rPr>
          <w:rFonts w:ascii="Times New Roman" w:hAnsi="Times New Roman" w:cs="Times New Roman"/>
          <w:sz w:val="24"/>
          <w:szCs w:val="24"/>
        </w:rPr>
      </w:pPr>
    </w:p>
    <w:p w14:paraId="08ED6DD3" w14:textId="77777777" w:rsidR="00462FB9" w:rsidRDefault="00462FB9" w:rsidP="00F00351">
      <w:pPr>
        <w:spacing w:after="0" w:line="240" w:lineRule="auto"/>
        <w:rPr>
          <w:rFonts w:ascii="Times New Roman" w:hAnsi="Times New Roman" w:cs="Times New Roman"/>
          <w:sz w:val="24"/>
          <w:szCs w:val="24"/>
        </w:rPr>
      </w:pPr>
    </w:p>
    <w:p w14:paraId="179AEF54" w14:textId="77777777" w:rsidR="00462FB9" w:rsidRDefault="00462FB9" w:rsidP="00F00351">
      <w:pPr>
        <w:spacing w:after="0" w:line="240" w:lineRule="auto"/>
        <w:rPr>
          <w:rFonts w:ascii="Times New Roman" w:hAnsi="Times New Roman" w:cs="Times New Roman"/>
          <w:sz w:val="24"/>
          <w:szCs w:val="24"/>
        </w:rPr>
      </w:pPr>
    </w:p>
    <w:p w14:paraId="2DDC1B6B" w14:textId="77777777" w:rsidR="00462FB9" w:rsidRDefault="00462FB9" w:rsidP="00F00351">
      <w:pPr>
        <w:spacing w:after="0" w:line="240" w:lineRule="auto"/>
        <w:rPr>
          <w:rFonts w:ascii="Times New Roman" w:hAnsi="Times New Roman" w:cs="Times New Roman"/>
          <w:sz w:val="24"/>
          <w:szCs w:val="24"/>
        </w:rPr>
      </w:pPr>
    </w:p>
    <w:p w14:paraId="7014B0A9" w14:textId="77777777" w:rsidR="00462FB9" w:rsidRDefault="00462FB9" w:rsidP="00F00351">
      <w:pPr>
        <w:spacing w:after="0" w:line="240" w:lineRule="auto"/>
        <w:rPr>
          <w:rFonts w:ascii="Times New Roman" w:hAnsi="Times New Roman" w:cs="Times New Roman"/>
          <w:sz w:val="24"/>
          <w:szCs w:val="24"/>
        </w:rPr>
      </w:pPr>
    </w:p>
    <w:p w14:paraId="64CA2699" w14:textId="77777777" w:rsidR="00462FB9" w:rsidRDefault="00462FB9" w:rsidP="00F00351">
      <w:pPr>
        <w:spacing w:after="0" w:line="240" w:lineRule="auto"/>
        <w:rPr>
          <w:rFonts w:ascii="Times New Roman" w:hAnsi="Times New Roman" w:cs="Times New Roman"/>
          <w:sz w:val="24"/>
          <w:szCs w:val="24"/>
        </w:rPr>
      </w:pPr>
    </w:p>
    <w:p w14:paraId="3A37A84E" w14:textId="77777777" w:rsidR="00462FB9" w:rsidRDefault="00462FB9" w:rsidP="00F00351">
      <w:pPr>
        <w:spacing w:after="0" w:line="240" w:lineRule="auto"/>
        <w:rPr>
          <w:rFonts w:ascii="Times New Roman" w:hAnsi="Times New Roman" w:cs="Times New Roman"/>
          <w:sz w:val="24"/>
          <w:szCs w:val="24"/>
        </w:rPr>
      </w:pPr>
    </w:p>
    <w:p w14:paraId="04408152" w14:textId="77777777" w:rsidR="00462FB9" w:rsidRDefault="00462FB9" w:rsidP="00F00351">
      <w:pPr>
        <w:spacing w:after="0" w:line="240" w:lineRule="auto"/>
        <w:rPr>
          <w:rFonts w:ascii="Times New Roman" w:hAnsi="Times New Roman" w:cs="Times New Roman"/>
          <w:sz w:val="24"/>
          <w:szCs w:val="24"/>
        </w:rPr>
      </w:pPr>
    </w:p>
    <w:p w14:paraId="1A56369B" w14:textId="77777777" w:rsidR="00462FB9" w:rsidRDefault="00462FB9" w:rsidP="00F00351">
      <w:pPr>
        <w:spacing w:after="0" w:line="240" w:lineRule="auto"/>
        <w:rPr>
          <w:rFonts w:ascii="Times New Roman" w:hAnsi="Times New Roman" w:cs="Times New Roman"/>
          <w:sz w:val="24"/>
          <w:szCs w:val="24"/>
        </w:rPr>
        <w:sectPr w:rsidR="00462FB9" w:rsidSect="00237F18">
          <w:pgSz w:w="11906" w:h="16838"/>
          <w:pgMar w:top="1247" w:right="1247" w:bottom="1247" w:left="1247" w:header="709" w:footer="709" w:gutter="0"/>
          <w:cols w:space="708"/>
          <w:docGrid w:linePitch="360"/>
        </w:sectPr>
      </w:pPr>
    </w:p>
    <w:p w14:paraId="78799F43" w14:textId="77777777" w:rsidR="00462FB9" w:rsidRDefault="00462FB9" w:rsidP="00462FB9">
      <w:pPr>
        <w:spacing w:after="200" w:line="240" w:lineRule="auto"/>
        <w:rPr>
          <w:rFonts w:ascii="Times New Roman" w:eastAsia="Times New Roman" w:hAnsi="Times New Roman" w:cs="Times New Roman"/>
          <w:sz w:val="20"/>
        </w:rPr>
      </w:pPr>
      <w:r w:rsidRPr="000B5C54">
        <w:rPr>
          <w:rFonts w:ascii="Times New Roman" w:eastAsia="Times New Roman" w:hAnsi="Times New Roman" w:cs="Times New Roman"/>
          <w:sz w:val="20"/>
        </w:rPr>
        <w:lastRenderedPageBreak/>
        <w:t xml:space="preserve">Table 1: </w:t>
      </w:r>
      <w:r w:rsidRPr="000B5C54">
        <w:rPr>
          <w:rFonts w:ascii="Times New Roman" w:eastAsia="Times New Roman" w:hAnsi="Times New Roman" w:cs="Times New Roman"/>
          <w:sz w:val="20"/>
        </w:rPr>
        <w:tab/>
        <w:t xml:space="preserve">Detail of population and referrals in the South West across age including: total population; total number of referrals; referrals as a proportion of population; </w:t>
      </w:r>
      <w:r>
        <w:rPr>
          <w:rFonts w:ascii="Times New Roman" w:eastAsia="Times New Roman" w:hAnsi="Times New Roman" w:cs="Times New Roman"/>
          <w:sz w:val="20"/>
        </w:rPr>
        <w:tab/>
      </w:r>
      <w:r>
        <w:rPr>
          <w:rFonts w:ascii="Times New Roman" w:eastAsia="Times New Roman" w:hAnsi="Times New Roman" w:cs="Times New Roman"/>
          <w:sz w:val="20"/>
        </w:rPr>
        <w:tab/>
      </w:r>
      <w:r w:rsidRPr="000B5C54">
        <w:rPr>
          <w:rFonts w:ascii="Times New Roman" w:eastAsia="Times New Roman" w:hAnsi="Times New Roman" w:cs="Times New Roman"/>
          <w:sz w:val="20"/>
        </w:rPr>
        <w:t>and estimated prevalence</w:t>
      </w:r>
    </w:p>
    <w:p w14:paraId="6CDFCE10" w14:textId="77777777" w:rsidR="00462FB9" w:rsidRPr="000B5C54" w:rsidRDefault="00462FB9" w:rsidP="00462FB9">
      <w:pPr>
        <w:spacing w:after="200" w:line="240" w:lineRule="auto"/>
        <w:rPr>
          <w:rFonts w:ascii="Times New Roman" w:eastAsia="Times New Roman" w:hAnsi="Times New Roman" w:cs="Times New Roman"/>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649"/>
        <w:gridCol w:w="801"/>
        <w:gridCol w:w="801"/>
        <w:gridCol w:w="801"/>
        <w:gridCol w:w="801"/>
        <w:gridCol w:w="801"/>
        <w:gridCol w:w="801"/>
        <w:gridCol w:w="801"/>
        <w:gridCol w:w="801"/>
        <w:gridCol w:w="801"/>
        <w:gridCol w:w="801"/>
        <w:gridCol w:w="801"/>
        <w:gridCol w:w="801"/>
      </w:tblGrid>
      <w:tr w:rsidR="00462FB9" w:rsidRPr="000B5C54" w14:paraId="3F324043" w14:textId="77777777" w:rsidTr="00CC5021">
        <w:trPr>
          <w:trHeight w:val="300"/>
          <w:tblHeader/>
        </w:trPr>
        <w:tc>
          <w:tcPr>
            <w:tcW w:w="1707" w:type="dxa"/>
            <w:shd w:val="clear" w:color="000000" w:fill="FFFFFF"/>
            <w:hideMark/>
          </w:tcPr>
          <w:p w14:paraId="60F13E69"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Age</w:t>
            </w:r>
          </w:p>
        </w:tc>
        <w:tc>
          <w:tcPr>
            <w:tcW w:w="1649" w:type="dxa"/>
            <w:tcBorders>
              <w:bottom w:val="single" w:sz="4" w:space="0" w:color="auto"/>
            </w:tcBorders>
            <w:shd w:val="clear" w:color="000000" w:fill="FFFFFF"/>
            <w:hideMark/>
          </w:tcPr>
          <w:p w14:paraId="21F43310" w14:textId="77777777" w:rsidR="00462FB9" w:rsidRPr="000B5C54" w:rsidRDefault="00462FB9" w:rsidP="00CC5021">
            <w:pPr>
              <w:spacing w:after="0" w:line="240" w:lineRule="auto"/>
              <w:rPr>
                <w:rFonts w:ascii="Times New Roman" w:eastAsia="Times New Roman" w:hAnsi="Times New Roman" w:cs="Times New Roman"/>
                <w:b/>
                <w:bCs/>
                <w:i/>
                <w:iCs/>
                <w:color w:val="000000"/>
                <w:sz w:val="18"/>
                <w:szCs w:val="21"/>
                <w:lang w:eastAsia="zh-CN"/>
              </w:rPr>
            </w:pPr>
            <w:r w:rsidRPr="000B5C54">
              <w:rPr>
                <w:rFonts w:ascii="Times New Roman" w:eastAsia="Times New Roman" w:hAnsi="Times New Roman" w:cs="Times New Roman"/>
                <w:b/>
                <w:bCs/>
                <w:i/>
                <w:iCs/>
                <w:color w:val="000000"/>
                <w:sz w:val="18"/>
                <w:szCs w:val="21"/>
                <w:lang w:eastAsia="zh-CN"/>
              </w:rPr>
              <w:t>(years)</w:t>
            </w:r>
          </w:p>
        </w:tc>
        <w:tc>
          <w:tcPr>
            <w:tcW w:w="0" w:type="auto"/>
            <w:tcBorders>
              <w:bottom w:val="single" w:sz="4" w:space="0" w:color="auto"/>
              <w:right w:val="nil"/>
            </w:tcBorders>
            <w:shd w:val="clear" w:color="000000" w:fill="FFFFFF"/>
            <w:hideMark/>
          </w:tcPr>
          <w:p w14:paraId="3057BC63"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18-19</w:t>
            </w:r>
          </w:p>
        </w:tc>
        <w:tc>
          <w:tcPr>
            <w:tcW w:w="0" w:type="auto"/>
            <w:tcBorders>
              <w:left w:val="nil"/>
              <w:bottom w:val="single" w:sz="4" w:space="0" w:color="auto"/>
              <w:right w:val="nil"/>
            </w:tcBorders>
            <w:shd w:val="clear" w:color="000000" w:fill="FFFFFF"/>
            <w:hideMark/>
          </w:tcPr>
          <w:p w14:paraId="30E2F80F"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20-24</w:t>
            </w:r>
          </w:p>
        </w:tc>
        <w:tc>
          <w:tcPr>
            <w:tcW w:w="0" w:type="auto"/>
            <w:tcBorders>
              <w:left w:val="nil"/>
              <w:bottom w:val="single" w:sz="4" w:space="0" w:color="auto"/>
              <w:right w:val="nil"/>
            </w:tcBorders>
            <w:shd w:val="clear" w:color="000000" w:fill="FFFFFF"/>
            <w:hideMark/>
          </w:tcPr>
          <w:p w14:paraId="0E5325FA"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25-29</w:t>
            </w:r>
          </w:p>
        </w:tc>
        <w:tc>
          <w:tcPr>
            <w:tcW w:w="0" w:type="auto"/>
            <w:tcBorders>
              <w:left w:val="nil"/>
              <w:bottom w:val="single" w:sz="4" w:space="0" w:color="auto"/>
              <w:right w:val="nil"/>
            </w:tcBorders>
            <w:shd w:val="clear" w:color="000000" w:fill="FFFFFF"/>
            <w:hideMark/>
          </w:tcPr>
          <w:p w14:paraId="26E4A916"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30-34</w:t>
            </w:r>
          </w:p>
        </w:tc>
        <w:tc>
          <w:tcPr>
            <w:tcW w:w="0" w:type="auto"/>
            <w:tcBorders>
              <w:left w:val="nil"/>
              <w:bottom w:val="single" w:sz="4" w:space="0" w:color="auto"/>
              <w:right w:val="nil"/>
            </w:tcBorders>
            <w:shd w:val="clear" w:color="000000" w:fill="FFFFFF"/>
            <w:hideMark/>
          </w:tcPr>
          <w:p w14:paraId="2D376C7D"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35-39</w:t>
            </w:r>
          </w:p>
        </w:tc>
        <w:tc>
          <w:tcPr>
            <w:tcW w:w="0" w:type="auto"/>
            <w:tcBorders>
              <w:left w:val="nil"/>
              <w:bottom w:val="single" w:sz="4" w:space="0" w:color="auto"/>
              <w:right w:val="nil"/>
            </w:tcBorders>
            <w:shd w:val="clear" w:color="000000" w:fill="FFFFFF"/>
            <w:hideMark/>
          </w:tcPr>
          <w:p w14:paraId="4249B36E"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40-44</w:t>
            </w:r>
          </w:p>
        </w:tc>
        <w:tc>
          <w:tcPr>
            <w:tcW w:w="0" w:type="auto"/>
            <w:tcBorders>
              <w:left w:val="nil"/>
              <w:bottom w:val="single" w:sz="4" w:space="0" w:color="auto"/>
              <w:right w:val="nil"/>
            </w:tcBorders>
            <w:shd w:val="clear" w:color="000000" w:fill="FFFFFF"/>
            <w:hideMark/>
          </w:tcPr>
          <w:p w14:paraId="20754965"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45-49</w:t>
            </w:r>
          </w:p>
        </w:tc>
        <w:tc>
          <w:tcPr>
            <w:tcW w:w="0" w:type="auto"/>
            <w:tcBorders>
              <w:left w:val="nil"/>
              <w:bottom w:val="single" w:sz="4" w:space="0" w:color="auto"/>
              <w:right w:val="nil"/>
            </w:tcBorders>
            <w:shd w:val="clear" w:color="000000" w:fill="FFFFFF"/>
            <w:hideMark/>
          </w:tcPr>
          <w:p w14:paraId="4E8D77A4"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50-54</w:t>
            </w:r>
          </w:p>
        </w:tc>
        <w:tc>
          <w:tcPr>
            <w:tcW w:w="0" w:type="auto"/>
            <w:tcBorders>
              <w:left w:val="nil"/>
              <w:bottom w:val="single" w:sz="4" w:space="0" w:color="auto"/>
              <w:right w:val="nil"/>
            </w:tcBorders>
            <w:shd w:val="clear" w:color="000000" w:fill="FFFFFF"/>
            <w:hideMark/>
          </w:tcPr>
          <w:p w14:paraId="2433A127"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55-59</w:t>
            </w:r>
          </w:p>
        </w:tc>
        <w:tc>
          <w:tcPr>
            <w:tcW w:w="0" w:type="auto"/>
            <w:tcBorders>
              <w:left w:val="nil"/>
              <w:bottom w:val="single" w:sz="4" w:space="0" w:color="auto"/>
              <w:right w:val="nil"/>
            </w:tcBorders>
            <w:shd w:val="clear" w:color="000000" w:fill="FFFFFF"/>
            <w:hideMark/>
          </w:tcPr>
          <w:p w14:paraId="6BBA0F16"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60-64</w:t>
            </w:r>
          </w:p>
        </w:tc>
        <w:tc>
          <w:tcPr>
            <w:tcW w:w="0" w:type="auto"/>
            <w:tcBorders>
              <w:left w:val="nil"/>
              <w:bottom w:val="single" w:sz="4" w:space="0" w:color="auto"/>
              <w:right w:val="nil"/>
            </w:tcBorders>
            <w:shd w:val="clear" w:color="000000" w:fill="FFFFFF"/>
            <w:hideMark/>
          </w:tcPr>
          <w:p w14:paraId="5BE1A87D"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65-69</w:t>
            </w:r>
          </w:p>
        </w:tc>
        <w:tc>
          <w:tcPr>
            <w:tcW w:w="0" w:type="auto"/>
            <w:tcBorders>
              <w:left w:val="nil"/>
              <w:bottom w:val="single" w:sz="4" w:space="0" w:color="auto"/>
            </w:tcBorders>
            <w:shd w:val="clear" w:color="000000" w:fill="FFFFFF"/>
            <w:hideMark/>
          </w:tcPr>
          <w:p w14:paraId="7B09BA05"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70-74</w:t>
            </w:r>
          </w:p>
        </w:tc>
      </w:tr>
      <w:tr w:rsidR="00462FB9" w:rsidRPr="000B5C54" w14:paraId="2C7978D5" w14:textId="77777777" w:rsidTr="00CC5021">
        <w:trPr>
          <w:trHeight w:hRule="exact" w:val="340"/>
        </w:trPr>
        <w:tc>
          <w:tcPr>
            <w:tcW w:w="1707" w:type="dxa"/>
            <w:shd w:val="clear" w:color="000000" w:fill="FFFFFF"/>
            <w:hideMark/>
          </w:tcPr>
          <w:p w14:paraId="05D81A4B"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Population</w:t>
            </w:r>
          </w:p>
        </w:tc>
        <w:tc>
          <w:tcPr>
            <w:tcW w:w="1649" w:type="dxa"/>
            <w:tcBorders>
              <w:bottom w:val="single" w:sz="4" w:space="0" w:color="auto"/>
              <w:right w:val="single" w:sz="4" w:space="0" w:color="auto"/>
            </w:tcBorders>
            <w:shd w:val="clear" w:color="000000" w:fill="FFFFFF"/>
            <w:hideMark/>
          </w:tcPr>
          <w:p w14:paraId="4E755B74"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left w:val="single" w:sz="4" w:space="0" w:color="auto"/>
              <w:bottom w:val="single" w:sz="4" w:space="0" w:color="auto"/>
              <w:right w:val="nil"/>
            </w:tcBorders>
            <w:shd w:val="clear" w:color="000000" w:fill="FFFFFF"/>
            <w:hideMark/>
          </w:tcPr>
          <w:p w14:paraId="0742516D"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253,936</w:t>
            </w:r>
          </w:p>
        </w:tc>
        <w:tc>
          <w:tcPr>
            <w:tcW w:w="0" w:type="auto"/>
            <w:tcBorders>
              <w:left w:val="nil"/>
              <w:bottom w:val="single" w:sz="4" w:space="0" w:color="auto"/>
              <w:right w:val="nil"/>
            </w:tcBorders>
            <w:shd w:val="clear" w:color="000000" w:fill="FFFFFF"/>
            <w:hideMark/>
          </w:tcPr>
          <w:p w14:paraId="163A85BC"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293,070</w:t>
            </w:r>
          </w:p>
        </w:tc>
        <w:tc>
          <w:tcPr>
            <w:tcW w:w="0" w:type="auto"/>
            <w:tcBorders>
              <w:left w:val="nil"/>
              <w:bottom w:val="single" w:sz="4" w:space="0" w:color="auto"/>
              <w:right w:val="nil"/>
            </w:tcBorders>
            <w:shd w:val="clear" w:color="000000" w:fill="FFFFFF"/>
            <w:hideMark/>
          </w:tcPr>
          <w:p w14:paraId="5E294D8B"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260,578</w:t>
            </w:r>
          </w:p>
        </w:tc>
        <w:tc>
          <w:tcPr>
            <w:tcW w:w="0" w:type="auto"/>
            <w:tcBorders>
              <w:left w:val="nil"/>
              <w:bottom w:val="single" w:sz="4" w:space="0" w:color="auto"/>
              <w:right w:val="nil"/>
            </w:tcBorders>
            <w:shd w:val="clear" w:color="000000" w:fill="FFFFFF"/>
            <w:hideMark/>
          </w:tcPr>
          <w:p w14:paraId="7190BBF0"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299,820</w:t>
            </w:r>
          </w:p>
        </w:tc>
        <w:tc>
          <w:tcPr>
            <w:tcW w:w="0" w:type="auto"/>
            <w:tcBorders>
              <w:left w:val="nil"/>
              <w:bottom w:val="single" w:sz="4" w:space="0" w:color="auto"/>
              <w:right w:val="nil"/>
            </w:tcBorders>
            <w:shd w:val="clear" w:color="000000" w:fill="FFFFFF"/>
            <w:hideMark/>
          </w:tcPr>
          <w:p w14:paraId="5886DC59"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354,084</w:t>
            </w:r>
          </w:p>
        </w:tc>
        <w:tc>
          <w:tcPr>
            <w:tcW w:w="0" w:type="auto"/>
            <w:tcBorders>
              <w:left w:val="nil"/>
              <w:bottom w:val="single" w:sz="4" w:space="0" w:color="auto"/>
              <w:right w:val="nil"/>
            </w:tcBorders>
            <w:shd w:val="clear" w:color="000000" w:fill="FFFFFF"/>
            <w:hideMark/>
          </w:tcPr>
          <w:p w14:paraId="48C02D68"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361,746</w:t>
            </w:r>
          </w:p>
        </w:tc>
        <w:tc>
          <w:tcPr>
            <w:tcW w:w="0" w:type="auto"/>
            <w:tcBorders>
              <w:left w:val="nil"/>
              <w:bottom w:val="single" w:sz="4" w:space="0" w:color="auto"/>
              <w:right w:val="nil"/>
            </w:tcBorders>
            <w:shd w:val="clear" w:color="000000" w:fill="FFFFFF"/>
            <w:hideMark/>
          </w:tcPr>
          <w:p w14:paraId="0F9AB7EA"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324,621</w:t>
            </w:r>
          </w:p>
        </w:tc>
        <w:tc>
          <w:tcPr>
            <w:tcW w:w="0" w:type="auto"/>
            <w:tcBorders>
              <w:left w:val="nil"/>
              <w:bottom w:val="single" w:sz="4" w:space="0" w:color="auto"/>
              <w:right w:val="nil"/>
            </w:tcBorders>
            <w:shd w:val="clear" w:color="000000" w:fill="FFFFFF"/>
            <w:hideMark/>
          </w:tcPr>
          <w:p w14:paraId="3D8E4A46"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307,731</w:t>
            </w:r>
          </w:p>
        </w:tc>
        <w:tc>
          <w:tcPr>
            <w:tcW w:w="0" w:type="auto"/>
            <w:tcBorders>
              <w:left w:val="nil"/>
              <w:bottom w:val="single" w:sz="4" w:space="0" w:color="auto"/>
              <w:right w:val="nil"/>
            </w:tcBorders>
            <w:shd w:val="clear" w:color="000000" w:fill="FFFFFF"/>
            <w:hideMark/>
          </w:tcPr>
          <w:p w14:paraId="16C43719"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345,264</w:t>
            </w:r>
          </w:p>
        </w:tc>
        <w:tc>
          <w:tcPr>
            <w:tcW w:w="0" w:type="auto"/>
            <w:tcBorders>
              <w:left w:val="nil"/>
              <w:bottom w:val="single" w:sz="4" w:space="0" w:color="auto"/>
              <w:right w:val="nil"/>
            </w:tcBorders>
            <w:shd w:val="clear" w:color="000000" w:fill="FFFFFF"/>
            <w:hideMark/>
          </w:tcPr>
          <w:p w14:paraId="0082817E"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285,479</w:t>
            </w:r>
          </w:p>
        </w:tc>
        <w:tc>
          <w:tcPr>
            <w:tcW w:w="0" w:type="auto"/>
            <w:tcBorders>
              <w:left w:val="nil"/>
              <w:bottom w:val="single" w:sz="4" w:space="0" w:color="auto"/>
              <w:right w:val="nil"/>
            </w:tcBorders>
            <w:shd w:val="clear" w:color="000000" w:fill="FFFFFF"/>
            <w:hideMark/>
          </w:tcPr>
          <w:p w14:paraId="29AE7639"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243,231</w:t>
            </w:r>
          </w:p>
        </w:tc>
        <w:tc>
          <w:tcPr>
            <w:tcW w:w="0" w:type="auto"/>
            <w:tcBorders>
              <w:left w:val="nil"/>
              <w:bottom w:val="single" w:sz="4" w:space="0" w:color="auto"/>
            </w:tcBorders>
            <w:shd w:val="clear" w:color="000000" w:fill="FFFFFF"/>
            <w:hideMark/>
          </w:tcPr>
          <w:p w14:paraId="24FA2C12" w14:textId="77777777" w:rsidR="00462FB9" w:rsidRPr="000B5C54" w:rsidRDefault="00462FB9" w:rsidP="00CC5021">
            <w:pPr>
              <w:spacing w:after="0" w:line="240" w:lineRule="auto"/>
              <w:rPr>
                <w:rFonts w:ascii="Times New Roman" w:eastAsia="Times New Roman" w:hAnsi="Times New Roman" w:cs="Times New Roman"/>
                <w:color w:val="000000"/>
                <w:sz w:val="18"/>
                <w:szCs w:val="21"/>
                <w:lang w:eastAsia="zh-CN"/>
              </w:rPr>
            </w:pPr>
            <w:r w:rsidRPr="000B5C54">
              <w:rPr>
                <w:rFonts w:ascii="Times New Roman" w:eastAsia="Times New Roman" w:hAnsi="Times New Roman" w:cs="Times New Roman"/>
                <w:color w:val="000000"/>
                <w:sz w:val="18"/>
                <w:szCs w:val="21"/>
                <w:lang w:eastAsia="zh-CN"/>
              </w:rPr>
              <w:t>214,057</w:t>
            </w:r>
          </w:p>
        </w:tc>
      </w:tr>
      <w:tr w:rsidR="00462FB9" w:rsidRPr="000B5C54" w14:paraId="21A59B47" w14:textId="77777777" w:rsidTr="00CC5021">
        <w:trPr>
          <w:trHeight w:hRule="exact" w:val="340"/>
        </w:trPr>
        <w:tc>
          <w:tcPr>
            <w:tcW w:w="1707" w:type="dxa"/>
            <w:vMerge w:val="restart"/>
            <w:shd w:val="clear" w:color="000000" w:fill="FFFFFF"/>
            <w:hideMark/>
          </w:tcPr>
          <w:p w14:paraId="4B1D4DBF"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Estimated CMHP cases</w:t>
            </w:r>
          </w:p>
        </w:tc>
        <w:tc>
          <w:tcPr>
            <w:tcW w:w="1649" w:type="dxa"/>
            <w:tcBorders>
              <w:bottom w:val="nil"/>
              <w:right w:val="single" w:sz="4" w:space="0" w:color="auto"/>
            </w:tcBorders>
            <w:shd w:val="clear" w:color="000000" w:fill="FFFFFF"/>
            <w:hideMark/>
          </w:tcPr>
          <w:p w14:paraId="3E3C69B9"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left w:val="single" w:sz="4" w:space="0" w:color="auto"/>
              <w:bottom w:val="nil"/>
              <w:right w:val="nil"/>
            </w:tcBorders>
            <w:shd w:val="clear" w:color="000000" w:fill="FFFFFF"/>
            <w:hideMark/>
          </w:tcPr>
          <w:p w14:paraId="2EB0AB6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35,001</w:t>
            </w:r>
          </w:p>
        </w:tc>
        <w:tc>
          <w:tcPr>
            <w:tcW w:w="0" w:type="auto"/>
            <w:tcBorders>
              <w:left w:val="nil"/>
              <w:bottom w:val="nil"/>
              <w:right w:val="nil"/>
            </w:tcBorders>
            <w:shd w:val="clear" w:color="000000" w:fill="FFFFFF"/>
            <w:hideMark/>
          </w:tcPr>
          <w:p w14:paraId="4AABABE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44,942</w:t>
            </w:r>
          </w:p>
        </w:tc>
        <w:tc>
          <w:tcPr>
            <w:tcW w:w="0" w:type="auto"/>
            <w:tcBorders>
              <w:left w:val="nil"/>
              <w:bottom w:val="nil"/>
              <w:right w:val="nil"/>
            </w:tcBorders>
            <w:shd w:val="clear" w:color="000000" w:fill="FFFFFF"/>
            <w:hideMark/>
          </w:tcPr>
          <w:p w14:paraId="36EE02C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49,269</w:t>
            </w:r>
          </w:p>
        </w:tc>
        <w:tc>
          <w:tcPr>
            <w:tcW w:w="0" w:type="auto"/>
            <w:tcBorders>
              <w:left w:val="nil"/>
              <w:bottom w:val="nil"/>
              <w:right w:val="nil"/>
            </w:tcBorders>
            <w:shd w:val="clear" w:color="000000" w:fill="FFFFFF"/>
            <w:hideMark/>
          </w:tcPr>
          <w:p w14:paraId="63ED419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51,344</w:t>
            </w:r>
          </w:p>
        </w:tc>
        <w:tc>
          <w:tcPr>
            <w:tcW w:w="0" w:type="auto"/>
            <w:tcBorders>
              <w:left w:val="nil"/>
              <w:bottom w:val="nil"/>
              <w:right w:val="nil"/>
            </w:tcBorders>
            <w:shd w:val="clear" w:color="000000" w:fill="FFFFFF"/>
            <w:hideMark/>
          </w:tcPr>
          <w:p w14:paraId="1FF9372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63,188</w:t>
            </w:r>
          </w:p>
        </w:tc>
        <w:tc>
          <w:tcPr>
            <w:tcW w:w="0" w:type="auto"/>
            <w:tcBorders>
              <w:left w:val="nil"/>
              <w:bottom w:val="nil"/>
              <w:right w:val="nil"/>
            </w:tcBorders>
            <w:shd w:val="clear" w:color="000000" w:fill="FFFFFF"/>
            <w:hideMark/>
          </w:tcPr>
          <w:p w14:paraId="36C4FCE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72,673</w:t>
            </w:r>
          </w:p>
        </w:tc>
        <w:tc>
          <w:tcPr>
            <w:tcW w:w="0" w:type="auto"/>
            <w:tcBorders>
              <w:left w:val="nil"/>
              <w:bottom w:val="nil"/>
              <w:right w:val="nil"/>
            </w:tcBorders>
            <w:shd w:val="clear" w:color="000000" w:fill="FFFFFF"/>
            <w:hideMark/>
          </w:tcPr>
          <w:p w14:paraId="3E27E75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66,849</w:t>
            </w:r>
          </w:p>
        </w:tc>
        <w:tc>
          <w:tcPr>
            <w:tcW w:w="0" w:type="auto"/>
            <w:tcBorders>
              <w:left w:val="nil"/>
              <w:bottom w:val="nil"/>
              <w:right w:val="nil"/>
            </w:tcBorders>
            <w:shd w:val="clear" w:color="000000" w:fill="FFFFFF"/>
            <w:hideMark/>
          </w:tcPr>
          <w:p w14:paraId="1BE1D26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62,190</w:t>
            </w:r>
          </w:p>
        </w:tc>
        <w:tc>
          <w:tcPr>
            <w:tcW w:w="0" w:type="auto"/>
            <w:tcBorders>
              <w:left w:val="nil"/>
              <w:bottom w:val="nil"/>
              <w:right w:val="nil"/>
            </w:tcBorders>
            <w:shd w:val="clear" w:color="000000" w:fill="FFFFFF"/>
            <w:hideMark/>
          </w:tcPr>
          <w:p w14:paraId="4150F02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55,179</w:t>
            </w:r>
          </w:p>
        </w:tc>
        <w:tc>
          <w:tcPr>
            <w:tcW w:w="0" w:type="auto"/>
            <w:tcBorders>
              <w:left w:val="nil"/>
              <w:bottom w:val="nil"/>
              <w:right w:val="nil"/>
            </w:tcBorders>
            <w:shd w:val="clear" w:color="000000" w:fill="FFFFFF"/>
            <w:hideMark/>
          </w:tcPr>
          <w:p w14:paraId="5919563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43,676</w:t>
            </w:r>
          </w:p>
        </w:tc>
        <w:tc>
          <w:tcPr>
            <w:tcW w:w="0" w:type="auto"/>
            <w:tcBorders>
              <w:left w:val="nil"/>
              <w:bottom w:val="nil"/>
              <w:right w:val="nil"/>
            </w:tcBorders>
            <w:shd w:val="clear" w:color="000000" w:fill="FFFFFF"/>
            <w:hideMark/>
          </w:tcPr>
          <w:p w14:paraId="3C0C69B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23,892</w:t>
            </w:r>
          </w:p>
        </w:tc>
        <w:tc>
          <w:tcPr>
            <w:tcW w:w="0" w:type="auto"/>
            <w:tcBorders>
              <w:left w:val="nil"/>
              <w:bottom w:val="nil"/>
            </w:tcBorders>
            <w:shd w:val="clear" w:color="000000" w:fill="FFFFFF"/>
            <w:hideMark/>
          </w:tcPr>
          <w:p w14:paraId="4340A27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20,270</w:t>
            </w:r>
          </w:p>
        </w:tc>
      </w:tr>
      <w:tr w:rsidR="00462FB9" w:rsidRPr="000B5C54" w14:paraId="55A31959" w14:textId="77777777" w:rsidTr="00CC5021">
        <w:trPr>
          <w:trHeight w:hRule="exact" w:val="325"/>
        </w:trPr>
        <w:tc>
          <w:tcPr>
            <w:tcW w:w="1707" w:type="dxa"/>
            <w:vMerge/>
            <w:hideMark/>
          </w:tcPr>
          <w:p w14:paraId="6942C9C8"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single" w:sz="4" w:space="0" w:color="auto"/>
              <w:right w:val="single" w:sz="4" w:space="0" w:color="auto"/>
            </w:tcBorders>
            <w:shd w:val="clear" w:color="000000" w:fill="FFFFFF"/>
            <w:hideMark/>
          </w:tcPr>
          <w:p w14:paraId="4243F970"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pop.)</w:t>
            </w:r>
          </w:p>
        </w:tc>
        <w:tc>
          <w:tcPr>
            <w:tcW w:w="0" w:type="auto"/>
            <w:tcBorders>
              <w:top w:val="nil"/>
              <w:left w:val="single" w:sz="4" w:space="0" w:color="auto"/>
              <w:bottom w:val="single" w:sz="4" w:space="0" w:color="auto"/>
              <w:right w:val="nil"/>
            </w:tcBorders>
            <w:shd w:val="clear" w:color="000000" w:fill="FFFFFF"/>
            <w:hideMark/>
          </w:tcPr>
          <w:p w14:paraId="44C51A3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13.78</w:t>
            </w:r>
          </w:p>
        </w:tc>
        <w:tc>
          <w:tcPr>
            <w:tcW w:w="0" w:type="auto"/>
            <w:tcBorders>
              <w:top w:val="nil"/>
              <w:left w:val="nil"/>
              <w:bottom w:val="single" w:sz="4" w:space="0" w:color="auto"/>
              <w:right w:val="nil"/>
            </w:tcBorders>
            <w:shd w:val="clear" w:color="000000" w:fill="FFFFFF"/>
            <w:hideMark/>
          </w:tcPr>
          <w:p w14:paraId="588BE30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15.33</w:t>
            </w:r>
          </w:p>
        </w:tc>
        <w:tc>
          <w:tcPr>
            <w:tcW w:w="0" w:type="auto"/>
            <w:tcBorders>
              <w:top w:val="nil"/>
              <w:left w:val="nil"/>
              <w:bottom w:val="single" w:sz="4" w:space="0" w:color="auto"/>
              <w:right w:val="nil"/>
            </w:tcBorders>
            <w:shd w:val="clear" w:color="000000" w:fill="FFFFFF"/>
            <w:hideMark/>
          </w:tcPr>
          <w:p w14:paraId="099294F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18.91</w:t>
            </w:r>
          </w:p>
        </w:tc>
        <w:tc>
          <w:tcPr>
            <w:tcW w:w="0" w:type="auto"/>
            <w:tcBorders>
              <w:top w:val="nil"/>
              <w:left w:val="nil"/>
              <w:bottom w:val="single" w:sz="4" w:space="0" w:color="auto"/>
              <w:right w:val="nil"/>
            </w:tcBorders>
            <w:shd w:val="clear" w:color="000000" w:fill="FFFFFF"/>
            <w:hideMark/>
          </w:tcPr>
          <w:p w14:paraId="5768708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17.12</w:t>
            </w:r>
          </w:p>
        </w:tc>
        <w:tc>
          <w:tcPr>
            <w:tcW w:w="0" w:type="auto"/>
            <w:tcBorders>
              <w:top w:val="nil"/>
              <w:left w:val="nil"/>
              <w:bottom w:val="single" w:sz="4" w:space="0" w:color="auto"/>
              <w:right w:val="nil"/>
            </w:tcBorders>
            <w:shd w:val="clear" w:color="000000" w:fill="FFFFFF"/>
            <w:hideMark/>
          </w:tcPr>
          <w:p w14:paraId="5CB21E3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17.85</w:t>
            </w:r>
          </w:p>
        </w:tc>
        <w:tc>
          <w:tcPr>
            <w:tcW w:w="0" w:type="auto"/>
            <w:tcBorders>
              <w:top w:val="nil"/>
              <w:left w:val="nil"/>
              <w:bottom w:val="single" w:sz="4" w:space="0" w:color="auto"/>
              <w:right w:val="nil"/>
            </w:tcBorders>
            <w:shd w:val="clear" w:color="000000" w:fill="FFFFFF"/>
            <w:hideMark/>
          </w:tcPr>
          <w:p w14:paraId="383D499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20.09</w:t>
            </w:r>
          </w:p>
        </w:tc>
        <w:tc>
          <w:tcPr>
            <w:tcW w:w="0" w:type="auto"/>
            <w:tcBorders>
              <w:top w:val="nil"/>
              <w:left w:val="nil"/>
              <w:bottom w:val="single" w:sz="4" w:space="0" w:color="auto"/>
              <w:right w:val="nil"/>
            </w:tcBorders>
            <w:shd w:val="clear" w:color="000000" w:fill="FFFFFF"/>
            <w:hideMark/>
          </w:tcPr>
          <w:p w14:paraId="223E09F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20.59</w:t>
            </w:r>
          </w:p>
        </w:tc>
        <w:tc>
          <w:tcPr>
            <w:tcW w:w="0" w:type="auto"/>
            <w:tcBorders>
              <w:top w:val="nil"/>
              <w:left w:val="nil"/>
              <w:bottom w:val="single" w:sz="4" w:space="0" w:color="auto"/>
              <w:right w:val="nil"/>
            </w:tcBorders>
            <w:shd w:val="clear" w:color="000000" w:fill="FFFFFF"/>
            <w:hideMark/>
          </w:tcPr>
          <w:p w14:paraId="411215B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20.21</w:t>
            </w:r>
          </w:p>
        </w:tc>
        <w:tc>
          <w:tcPr>
            <w:tcW w:w="0" w:type="auto"/>
            <w:tcBorders>
              <w:top w:val="nil"/>
              <w:left w:val="nil"/>
              <w:bottom w:val="single" w:sz="4" w:space="0" w:color="auto"/>
              <w:right w:val="nil"/>
            </w:tcBorders>
            <w:shd w:val="clear" w:color="000000" w:fill="FFFFFF"/>
            <w:hideMark/>
          </w:tcPr>
          <w:p w14:paraId="6DD7C90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15.98</w:t>
            </w:r>
          </w:p>
        </w:tc>
        <w:tc>
          <w:tcPr>
            <w:tcW w:w="0" w:type="auto"/>
            <w:tcBorders>
              <w:top w:val="nil"/>
              <w:left w:val="nil"/>
              <w:bottom w:val="single" w:sz="4" w:space="0" w:color="auto"/>
              <w:right w:val="nil"/>
            </w:tcBorders>
            <w:shd w:val="clear" w:color="000000" w:fill="FFFFFF"/>
            <w:hideMark/>
          </w:tcPr>
          <w:p w14:paraId="0A48BAB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15.30</w:t>
            </w:r>
          </w:p>
        </w:tc>
        <w:tc>
          <w:tcPr>
            <w:tcW w:w="0" w:type="auto"/>
            <w:tcBorders>
              <w:top w:val="nil"/>
              <w:left w:val="nil"/>
              <w:bottom w:val="single" w:sz="4" w:space="0" w:color="auto"/>
              <w:right w:val="nil"/>
            </w:tcBorders>
            <w:shd w:val="clear" w:color="000000" w:fill="FFFFFF"/>
            <w:hideMark/>
          </w:tcPr>
          <w:p w14:paraId="232F9A9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9.82</w:t>
            </w:r>
          </w:p>
        </w:tc>
        <w:tc>
          <w:tcPr>
            <w:tcW w:w="0" w:type="auto"/>
            <w:tcBorders>
              <w:top w:val="nil"/>
              <w:left w:val="nil"/>
              <w:bottom w:val="single" w:sz="4" w:space="0" w:color="auto"/>
            </w:tcBorders>
            <w:shd w:val="clear" w:color="000000" w:fill="FFFFFF"/>
            <w:hideMark/>
          </w:tcPr>
          <w:p w14:paraId="7449FE0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9.47</w:t>
            </w:r>
          </w:p>
        </w:tc>
      </w:tr>
      <w:tr w:rsidR="00462FB9" w:rsidRPr="000B5C54" w14:paraId="3F9938A7" w14:textId="77777777" w:rsidTr="00CC5021">
        <w:trPr>
          <w:trHeight w:hRule="exact" w:val="340"/>
        </w:trPr>
        <w:tc>
          <w:tcPr>
            <w:tcW w:w="1707" w:type="dxa"/>
            <w:vMerge w:val="restart"/>
            <w:shd w:val="clear" w:color="000000" w:fill="FFFFFF"/>
            <w:hideMark/>
          </w:tcPr>
          <w:p w14:paraId="6D105E32"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Referrals</w:t>
            </w:r>
          </w:p>
        </w:tc>
        <w:tc>
          <w:tcPr>
            <w:tcW w:w="1649" w:type="dxa"/>
            <w:tcBorders>
              <w:bottom w:val="nil"/>
            </w:tcBorders>
            <w:shd w:val="clear" w:color="000000" w:fill="FFFFFF"/>
            <w:hideMark/>
          </w:tcPr>
          <w:p w14:paraId="27FA8F77"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bottom w:val="nil"/>
              <w:right w:val="nil"/>
            </w:tcBorders>
            <w:shd w:val="clear" w:color="000000" w:fill="FFFFFF"/>
            <w:hideMark/>
          </w:tcPr>
          <w:p w14:paraId="525E7FE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3,527</w:t>
            </w:r>
          </w:p>
        </w:tc>
        <w:tc>
          <w:tcPr>
            <w:tcW w:w="0" w:type="auto"/>
            <w:tcBorders>
              <w:left w:val="nil"/>
              <w:bottom w:val="nil"/>
              <w:right w:val="nil"/>
            </w:tcBorders>
            <w:shd w:val="clear" w:color="000000" w:fill="FFFFFF"/>
            <w:hideMark/>
          </w:tcPr>
          <w:p w14:paraId="0E5D993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10,313</w:t>
            </w:r>
          </w:p>
        </w:tc>
        <w:tc>
          <w:tcPr>
            <w:tcW w:w="0" w:type="auto"/>
            <w:tcBorders>
              <w:left w:val="nil"/>
              <w:bottom w:val="nil"/>
              <w:right w:val="nil"/>
            </w:tcBorders>
            <w:shd w:val="clear" w:color="000000" w:fill="FFFFFF"/>
            <w:hideMark/>
          </w:tcPr>
          <w:p w14:paraId="37CA78D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10,199</w:t>
            </w:r>
          </w:p>
        </w:tc>
        <w:tc>
          <w:tcPr>
            <w:tcW w:w="0" w:type="auto"/>
            <w:tcBorders>
              <w:left w:val="nil"/>
              <w:bottom w:val="nil"/>
              <w:right w:val="nil"/>
            </w:tcBorders>
            <w:shd w:val="clear" w:color="000000" w:fill="FFFFFF"/>
            <w:hideMark/>
          </w:tcPr>
          <w:p w14:paraId="6D8B997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9,568</w:t>
            </w:r>
          </w:p>
        </w:tc>
        <w:tc>
          <w:tcPr>
            <w:tcW w:w="0" w:type="auto"/>
            <w:tcBorders>
              <w:left w:val="nil"/>
              <w:bottom w:val="nil"/>
              <w:right w:val="nil"/>
            </w:tcBorders>
            <w:shd w:val="clear" w:color="000000" w:fill="FFFFFF"/>
            <w:hideMark/>
          </w:tcPr>
          <w:p w14:paraId="1F8C3D2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9,582</w:t>
            </w:r>
          </w:p>
        </w:tc>
        <w:tc>
          <w:tcPr>
            <w:tcW w:w="0" w:type="auto"/>
            <w:tcBorders>
              <w:left w:val="nil"/>
              <w:bottom w:val="nil"/>
              <w:right w:val="nil"/>
            </w:tcBorders>
            <w:shd w:val="clear" w:color="000000" w:fill="FFFFFF"/>
            <w:hideMark/>
          </w:tcPr>
          <w:p w14:paraId="62120A6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10,071</w:t>
            </w:r>
          </w:p>
        </w:tc>
        <w:tc>
          <w:tcPr>
            <w:tcW w:w="0" w:type="auto"/>
            <w:tcBorders>
              <w:left w:val="nil"/>
              <w:bottom w:val="nil"/>
              <w:right w:val="nil"/>
            </w:tcBorders>
            <w:shd w:val="clear" w:color="000000" w:fill="FFFFFF"/>
            <w:hideMark/>
          </w:tcPr>
          <w:p w14:paraId="6926157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8,885</w:t>
            </w:r>
          </w:p>
        </w:tc>
        <w:tc>
          <w:tcPr>
            <w:tcW w:w="0" w:type="auto"/>
            <w:tcBorders>
              <w:left w:val="nil"/>
              <w:bottom w:val="nil"/>
              <w:right w:val="nil"/>
            </w:tcBorders>
            <w:shd w:val="clear" w:color="000000" w:fill="FFFFFF"/>
            <w:hideMark/>
          </w:tcPr>
          <w:p w14:paraId="75116BD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6,681</w:t>
            </w:r>
          </w:p>
        </w:tc>
        <w:tc>
          <w:tcPr>
            <w:tcW w:w="0" w:type="auto"/>
            <w:tcBorders>
              <w:left w:val="nil"/>
              <w:bottom w:val="nil"/>
              <w:right w:val="nil"/>
            </w:tcBorders>
            <w:shd w:val="clear" w:color="000000" w:fill="FFFFFF"/>
            <w:hideMark/>
          </w:tcPr>
          <w:p w14:paraId="3862DE2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5,152</w:t>
            </w:r>
          </w:p>
        </w:tc>
        <w:tc>
          <w:tcPr>
            <w:tcW w:w="0" w:type="auto"/>
            <w:tcBorders>
              <w:left w:val="nil"/>
              <w:bottom w:val="nil"/>
              <w:right w:val="nil"/>
            </w:tcBorders>
            <w:shd w:val="clear" w:color="000000" w:fill="FFFFFF"/>
            <w:hideMark/>
          </w:tcPr>
          <w:p w14:paraId="43F0C60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3,595</w:t>
            </w:r>
          </w:p>
        </w:tc>
        <w:tc>
          <w:tcPr>
            <w:tcW w:w="0" w:type="auto"/>
            <w:tcBorders>
              <w:left w:val="nil"/>
              <w:bottom w:val="nil"/>
              <w:right w:val="nil"/>
            </w:tcBorders>
            <w:shd w:val="clear" w:color="000000" w:fill="FFFFFF"/>
            <w:hideMark/>
          </w:tcPr>
          <w:p w14:paraId="06EA925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2,321</w:t>
            </w:r>
          </w:p>
        </w:tc>
        <w:tc>
          <w:tcPr>
            <w:tcW w:w="0" w:type="auto"/>
            <w:tcBorders>
              <w:left w:val="nil"/>
              <w:bottom w:val="nil"/>
            </w:tcBorders>
            <w:shd w:val="clear" w:color="000000" w:fill="FFFFFF"/>
            <w:hideMark/>
          </w:tcPr>
          <w:p w14:paraId="6FFC5D6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1,217</w:t>
            </w:r>
          </w:p>
        </w:tc>
      </w:tr>
      <w:tr w:rsidR="00462FB9" w:rsidRPr="000B5C54" w14:paraId="4549093E" w14:textId="77777777" w:rsidTr="00CC5021">
        <w:trPr>
          <w:trHeight w:hRule="exact" w:val="340"/>
        </w:trPr>
        <w:tc>
          <w:tcPr>
            <w:tcW w:w="1707" w:type="dxa"/>
            <w:vMerge/>
            <w:hideMark/>
          </w:tcPr>
          <w:p w14:paraId="741F2386"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69A2C91C"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pop)</w:t>
            </w:r>
          </w:p>
        </w:tc>
        <w:tc>
          <w:tcPr>
            <w:tcW w:w="0" w:type="auto"/>
            <w:tcBorders>
              <w:top w:val="nil"/>
              <w:bottom w:val="nil"/>
              <w:right w:val="nil"/>
            </w:tcBorders>
            <w:shd w:val="clear" w:color="000000" w:fill="FFFFFF"/>
            <w:hideMark/>
          </w:tcPr>
          <w:p w14:paraId="250A13B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1.39</w:t>
            </w:r>
          </w:p>
        </w:tc>
        <w:tc>
          <w:tcPr>
            <w:tcW w:w="0" w:type="auto"/>
            <w:tcBorders>
              <w:top w:val="nil"/>
              <w:left w:val="nil"/>
              <w:bottom w:val="nil"/>
              <w:right w:val="nil"/>
            </w:tcBorders>
            <w:shd w:val="clear" w:color="000000" w:fill="FFFFFF"/>
            <w:hideMark/>
          </w:tcPr>
          <w:p w14:paraId="0EA2ED1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3.52</w:t>
            </w:r>
          </w:p>
        </w:tc>
        <w:tc>
          <w:tcPr>
            <w:tcW w:w="0" w:type="auto"/>
            <w:tcBorders>
              <w:top w:val="nil"/>
              <w:left w:val="nil"/>
              <w:bottom w:val="nil"/>
              <w:right w:val="nil"/>
            </w:tcBorders>
            <w:shd w:val="clear" w:color="000000" w:fill="FFFFFF"/>
            <w:hideMark/>
          </w:tcPr>
          <w:p w14:paraId="1B6F034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3.91</w:t>
            </w:r>
          </w:p>
        </w:tc>
        <w:tc>
          <w:tcPr>
            <w:tcW w:w="0" w:type="auto"/>
            <w:tcBorders>
              <w:top w:val="nil"/>
              <w:left w:val="nil"/>
              <w:bottom w:val="nil"/>
              <w:right w:val="nil"/>
            </w:tcBorders>
            <w:shd w:val="clear" w:color="000000" w:fill="FFFFFF"/>
            <w:hideMark/>
          </w:tcPr>
          <w:p w14:paraId="0CDE2FF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3.19</w:t>
            </w:r>
          </w:p>
        </w:tc>
        <w:tc>
          <w:tcPr>
            <w:tcW w:w="0" w:type="auto"/>
            <w:tcBorders>
              <w:top w:val="nil"/>
              <w:left w:val="nil"/>
              <w:bottom w:val="nil"/>
              <w:right w:val="nil"/>
            </w:tcBorders>
            <w:shd w:val="clear" w:color="000000" w:fill="FFFFFF"/>
            <w:hideMark/>
          </w:tcPr>
          <w:p w14:paraId="42E2B06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2.71</w:t>
            </w:r>
          </w:p>
        </w:tc>
        <w:tc>
          <w:tcPr>
            <w:tcW w:w="0" w:type="auto"/>
            <w:tcBorders>
              <w:top w:val="nil"/>
              <w:left w:val="nil"/>
              <w:bottom w:val="nil"/>
              <w:right w:val="nil"/>
            </w:tcBorders>
            <w:shd w:val="clear" w:color="000000" w:fill="FFFFFF"/>
            <w:hideMark/>
          </w:tcPr>
          <w:p w14:paraId="0D97516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2.78</w:t>
            </w:r>
          </w:p>
        </w:tc>
        <w:tc>
          <w:tcPr>
            <w:tcW w:w="0" w:type="auto"/>
            <w:tcBorders>
              <w:top w:val="nil"/>
              <w:left w:val="nil"/>
              <w:bottom w:val="nil"/>
              <w:right w:val="nil"/>
            </w:tcBorders>
            <w:shd w:val="clear" w:color="000000" w:fill="FFFFFF"/>
            <w:hideMark/>
          </w:tcPr>
          <w:p w14:paraId="011B271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2.74</w:t>
            </w:r>
          </w:p>
        </w:tc>
        <w:tc>
          <w:tcPr>
            <w:tcW w:w="0" w:type="auto"/>
            <w:tcBorders>
              <w:top w:val="nil"/>
              <w:left w:val="nil"/>
              <w:bottom w:val="nil"/>
              <w:right w:val="nil"/>
            </w:tcBorders>
            <w:shd w:val="clear" w:color="000000" w:fill="FFFFFF"/>
            <w:hideMark/>
          </w:tcPr>
          <w:p w14:paraId="09B7D0E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2.17</w:t>
            </w:r>
          </w:p>
        </w:tc>
        <w:tc>
          <w:tcPr>
            <w:tcW w:w="0" w:type="auto"/>
            <w:tcBorders>
              <w:top w:val="nil"/>
              <w:left w:val="nil"/>
              <w:bottom w:val="nil"/>
              <w:right w:val="nil"/>
            </w:tcBorders>
            <w:shd w:val="clear" w:color="000000" w:fill="FFFFFF"/>
            <w:hideMark/>
          </w:tcPr>
          <w:p w14:paraId="6BD5500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1.49</w:t>
            </w:r>
          </w:p>
        </w:tc>
        <w:tc>
          <w:tcPr>
            <w:tcW w:w="0" w:type="auto"/>
            <w:tcBorders>
              <w:top w:val="nil"/>
              <w:left w:val="nil"/>
              <w:bottom w:val="nil"/>
              <w:right w:val="nil"/>
            </w:tcBorders>
            <w:shd w:val="clear" w:color="000000" w:fill="FFFFFF"/>
            <w:hideMark/>
          </w:tcPr>
          <w:p w14:paraId="716C37C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1.26</w:t>
            </w:r>
          </w:p>
        </w:tc>
        <w:tc>
          <w:tcPr>
            <w:tcW w:w="0" w:type="auto"/>
            <w:tcBorders>
              <w:top w:val="nil"/>
              <w:left w:val="nil"/>
              <w:bottom w:val="nil"/>
              <w:right w:val="nil"/>
            </w:tcBorders>
            <w:shd w:val="clear" w:color="000000" w:fill="FFFFFF"/>
            <w:hideMark/>
          </w:tcPr>
          <w:p w14:paraId="5FA3DE7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0.95</w:t>
            </w:r>
          </w:p>
        </w:tc>
        <w:tc>
          <w:tcPr>
            <w:tcW w:w="0" w:type="auto"/>
            <w:tcBorders>
              <w:top w:val="nil"/>
              <w:left w:val="nil"/>
              <w:bottom w:val="nil"/>
            </w:tcBorders>
            <w:shd w:val="clear" w:color="000000" w:fill="FFFFFF"/>
            <w:hideMark/>
          </w:tcPr>
          <w:p w14:paraId="2C9AAF6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0.57</w:t>
            </w:r>
          </w:p>
        </w:tc>
      </w:tr>
      <w:tr w:rsidR="00462FB9" w:rsidRPr="000B5C54" w14:paraId="2F3125A6" w14:textId="77777777" w:rsidTr="00CC5021">
        <w:trPr>
          <w:trHeight w:hRule="exact" w:val="463"/>
        </w:trPr>
        <w:tc>
          <w:tcPr>
            <w:tcW w:w="1707" w:type="dxa"/>
            <w:vMerge/>
            <w:hideMark/>
          </w:tcPr>
          <w:p w14:paraId="1DF47A26"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single" w:sz="4" w:space="0" w:color="auto"/>
            </w:tcBorders>
            <w:shd w:val="clear" w:color="000000" w:fill="FFFFFF"/>
            <w:hideMark/>
          </w:tcPr>
          <w:p w14:paraId="46FEC97D"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CMHP cases)</w:t>
            </w:r>
          </w:p>
        </w:tc>
        <w:tc>
          <w:tcPr>
            <w:tcW w:w="0" w:type="auto"/>
            <w:tcBorders>
              <w:top w:val="nil"/>
              <w:bottom w:val="single" w:sz="4" w:space="0" w:color="auto"/>
              <w:right w:val="nil"/>
            </w:tcBorders>
            <w:shd w:val="clear" w:color="000000" w:fill="FFFFFF"/>
            <w:hideMark/>
          </w:tcPr>
          <w:p w14:paraId="3784976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10.08</w:t>
            </w:r>
          </w:p>
        </w:tc>
        <w:tc>
          <w:tcPr>
            <w:tcW w:w="0" w:type="auto"/>
            <w:tcBorders>
              <w:top w:val="nil"/>
              <w:left w:val="nil"/>
              <w:bottom w:val="single" w:sz="4" w:space="0" w:color="auto"/>
              <w:right w:val="nil"/>
            </w:tcBorders>
            <w:shd w:val="clear" w:color="000000" w:fill="FFFFFF"/>
            <w:hideMark/>
          </w:tcPr>
          <w:p w14:paraId="74B11FD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22.95</w:t>
            </w:r>
          </w:p>
        </w:tc>
        <w:tc>
          <w:tcPr>
            <w:tcW w:w="0" w:type="auto"/>
            <w:tcBorders>
              <w:top w:val="nil"/>
              <w:left w:val="nil"/>
              <w:bottom w:val="single" w:sz="4" w:space="0" w:color="auto"/>
              <w:right w:val="nil"/>
            </w:tcBorders>
            <w:shd w:val="clear" w:color="000000" w:fill="FFFFFF"/>
            <w:hideMark/>
          </w:tcPr>
          <w:p w14:paraId="4A1F314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20.70</w:t>
            </w:r>
          </w:p>
        </w:tc>
        <w:tc>
          <w:tcPr>
            <w:tcW w:w="0" w:type="auto"/>
            <w:tcBorders>
              <w:top w:val="nil"/>
              <w:left w:val="nil"/>
              <w:bottom w:val="single" w:sz="4" w:space="0" w:color="auto"/>
              <w:right w:val="nil"/>
            </w:tcBorders>
            <w:shd w:val="clear" w:color="000000" w:fill="FFFFFF"/>
            <w:hideMark/>
          </w:tcPr>
          <w:p w14:paraId="29B2573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18.64</w:t>
            </w:r>
          </w:p>
        </w:tc>
        <w:tc>
          <w:tcPr>
            <w:tcW w:w="0" w:type="auto"/>
            <w:tcBorders>
              <w:top w:val="nil"/>
              <w:left w:val="nil"/>
              <w:bottom w:val="single" w:sz="4" w:space="0" w:color="auto"/>
              <w:right w:val="nil"/>
            </w:tcBorders>
            <w:shd w:val="clear" w:color="000000" w:fill="FFFFFF"/>
            <w:hideMark/>
          </w:tcPr>
          <w:p w14:paraId="39C8E4C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15.16</w:t>
            </w:r>
          </w:p>
        </w:tc>
        <w:tc>
          <w:tcPr>
            <w:tcW w:w="0" w:type="auto"/>
            <w:tcBorders>
              <w:top w:val="nil"/>
              <w:left w:val="nil"/>
              <w:bottom w:val="single" w:sz="4" w:space="0" w:color="auto"/>
              <w:right w:val="nil"/>
            </w:tcBorders>
            <w:shd w:val="clear" w:color="000000" w:fill="FFFFFF"/>
            <w:hideMark/>
          </w:tcPr>
          <w:p w14:paraId="6AFE3DB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13.86</w:t>
            </w:r>
          </w:p>
        </w:tc>
        <w:tc>
          <w:tcPr>
            <w:tcW w:w="0" w:type="auto"/>
            <w:tcBorders>
              <w:top w:val="nil"/>
              <w:left w:val="nil"/>
              <w:bottom w:val="single" w:sz="4" w:space="0" w:color="auto"/>
              <w:right w:val="nil"/>
            </w:tcBorders>
            <w:shd w:val="clear" w:color="000000" w:fill="FFFFFF"/>
            <w:hideMark/>
          </w:tcPr>
          <w:p w14:paraId="3691E2D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13.29</w:t>
            </w:r>
          </w:p>
        </w:tc>
        <w:tc>
          <w:tcPr>
            <w:tcW w:w="0" w:type="auto"/>
            <w:tcBorders>
              <w:top w:val="nil"/>
              <w:left w:val="nil"/>
              <w:bottom w:val="single" w:sz="4" w:space="0" w:color="auto"/>
              <w:right w:val="nil"/>
            </w:tcBorders>
            <w:shd w:val="clear" w:color="000000" w:fill="FFFFFF"/>
            <w:hideMark/>
          </w:tcPr>
          <w:p w14:paraId="15B7C0F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10.74</w:t>
            </w:r>
          </w:p>
        </w:tc>
        <w:tc>
          <w:tcPr>
            <w:tcW w:w="0" w:type="auto"/>
            <w:tcBorders>
              <w:top w:val="nil"/>
              <w:left w:val="nil"/>
              <w:bottom w:val="single" w:sz="4" w:space="0" w:color="auto"/>
              <w:right w:val="nil"/>
            </w:tcBorders>
            <w:shd w:val="clear" w:color="000000" w:fill="FFFFFF"/>
            <w:hideMark/>
          </w:tcPr>
          <w:p w14:paraId="4571ED4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9.34</w:t>
            </w:r>
          </w:p>
        </w:tc>
        <w:tc>
          <w:tcPr>
            <w:tcW w:w="0" w:type="auto"/>
            <w:tcBorders>
              <w:top w:val="nil"/>
              <w:left w:val="nil"/>
              <w:bottom w:val="single" w:sz="4" w:space="0" w:color="auto"/>
              <w:right w:val="nil"/>
            </w:tcBorders>
            <w:shd w:val="clear" w:color="000000" w:fill="FFFFFF"/>
            <w:hideMark/>
          </w:tcPr>
          <w:p w14:paraId="3EA80C0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8.23</w:t>
            </w:r>
          </w:p>
        </w:tc>
        <w:tc>
          <w:tcPr>
            <w:tcW w:w="0" w:type="auto"/>
            <w:tcBorders>
              <w:top w:val="nil"/>
              <w:left w:val="nil"/>
              <w:bottom w:val="single" w:sz="4" w:space="0" w:color="auto"/>
              <w:right w:val="nil"/>
            </w:tcBorders>
            <w:shd w:val="clear" w:color="000000" w:fill="FFFFFF"/>
            <w:hideMark/>
          </w:tcPr>
          <w:p w14:paraId="4FE1C5C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9.71</w:t>
            </w:r>
          </w:p>
        </w:tc>
        <w:tc>
          <w:tcPr>
            <w:tcW w:w="0" w:type="auto"/>
            <w:tcBorders>
              <w:top w:val="nil"/>
              <w:left w:val="nil"/>
              <w:bottom w:val="single" w:sz="4" w:space="0" w:color="auto"/>
            </w:tcBorders>
            <w:shd w:val="clear" w:color="000000" w:fill="FFFFFF"/>
            <w:hideMark/>
          </w:tcPr>
          <w:p w14:paraId="236D325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6.00</w:t>
            </w:r>
          </w:p>
        </w:tc>
      </w:tr>
      <w:tr w:rsidR="00462FB9" w:rsidRPr="000B5C54" w14:paraId="2D3CC1C1" w14:textId="77777777" w:rsidTr="00CC5021">
        <w:trPr>
          <w:trHeight w:hRule="exact" w:val="340"/>
        </w:trPr>
        <w:tc>
          <w:tcPr>
            <w:tcW w:w="1707" w:type="dxa"/>
            <w:vMerge w:val="restart"/>
            <w:shd w:val="clear" w:color="000000" w:fill="FFFFFF"/>
            <w:hideMark/>
          </w:tcPr>
          <w:p w14:paraId="0B7E1651"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Attenders</w:t>
            </w:r>
          </w:p>
        </w:tc>
        <w:tc>
          <w:tcPr>
            <w:tcW w:w="1649" w:type="dxa"/>
            <w:tcBorders>
              <w:bottom w:val="nil"/>
            </w:tcBorders>
            <w:shd w:val="clear" w:color="000000" w:fill="FFFFFF"/>
            <w:hideMark/>
          </w:tcPr>
          <w:p w14:paraId="7F2AE010"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bottom w:val="nil"/>
              <w:right w:val="nil"/>
            </w:tcBorders>
            <w:shd w:val="clear" w:color="000000" w:fill="FFFFFF"/>
            <w:hideMark/>
          </w:tcPr>
          <w:p w14:paraId="2AE2C05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2,033</w:t>
            </w:r>
          </w:p>
        </w:tc>
        <w:tc>
          <w:tcPr>
            <w:tcW w:w="0" w:type="auto"/>
            <w:tcBorders>
              <w:left w:val="nil"/>
              <w:bottom w:val="nil"/>
              <w:right w:val="nil"/>
            </w:tcBorders>
            <w:shd w:val="clear" w:color="000000" w:fill="FFFFFF"/>
            <w:hideMark/>
          </w:tcPr>
          <w:p w14:paraId="57F8E30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5,913</w:t>
            </w:r>
          </w:p>
        </w:tc>
        <w:tc>
          <w:tcPr>
            <w:tcW w:w="0" w:type="auto"/>
            <w:tcBorders>
              <w:left w:val="nil"/>
              <w:bottom w:val="nil"/>
              <w:right w:val="nil"/>
            </w:tcBorders>
            <w:shd w:val="clear" w:color="000000" w:fill="FFFFFF"/>
            <w:hideMark/>
          </w:tcPr>
          <w:p w14:paraId="022A6A3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6,205</w:t>
            </w:r>
          </w:p>
        </w:tc>
        <w:tc>
          <w:tcPr>
            <w:tcW w:w="0" w:type="auto"/>
            <w:tcBorders>
              <w:left w:val="nil"/>
              <w:bottom w:val="nil"/>
              <w:right w:val="nil"/>
            </w:tcBorders>
            <w:shd w:val="clear" w:color="000000" w:fill="FFFFFF"/>
            <w:hideMark/>
          </w:tcPr>
          <w:p w14:paraId="3038D42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6,155</w:t>
            </w:r>
          </w:p>
        </w:tc>
        <w:tc>
          <w:tcPr>
            <w:tcW w:w="0" w:type="auto"/>
            <w:tcBorders>
              <w:left w:val="nil"/>
              <w:bottom w:val="nil"/>
              <w:right w:val="nil"/>
            </w:tcBorders>
            <w:shd w:val="clear" w:color="000000" w:fill="FFFFFF"/>
            <w:hideMark/>
          </w:tcPr>
          <w:p w14:paraId="0F2FF42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6,438</w:t>
            </w:r>
          </w:p>
        </w:tc>
        <w:tc>
          <w:tcPr>
            <w:tcW w:w="0" w:type="auto"/>
            <w:tcBorders>
              <w:left w:val="nil"/>
              <w:bottom w:val="nil"/>
              <w:right w:val="nil"/>
            </w:tcBorders>
            <w:shd w:val="clear" w:color="000000" w:fill="FFFFFF"/>
            <w:hideMark/>
          </w:tcPr>
          <w:p w14:paraId="3DB5483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6,916</w:t>
            </w:r>
          </w:p>
        </w:tc>
        <w:tc>
          <w:tcPr>
            <w:tcW w:w="0" w:type="auto"/>
            <w:tcBorders>
              <w:left w:val="nil"/>
              <w:bottom w:val="nil"/>
              <w:right w:val="nil"/>
            </w:tcBorders>
            <w:shd w:val="clear" w:color="000000" w:fill="FFFFFF"/>
            <w:hideMark/>
          </w:tcPr>
          <w:p w14:paraId="6E9F4E1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6,400</w:t>
            </w:r>
          </w:p>
        </w:tc>
        <w:tc>
          <w:tcPr>
            <w:tcW w:w="0" w:type="auto"/>
            <w:tcBorders>
              <w:left w:val="nil"/>
              <w:bottom w:val="nil"/>
              <w:right w:val="nil"/>
            </w:tcBorders>
            <w:shd w:val="clear" w:color="000000" w:fill="FFFFFF"/>
            <w:hideMark/>
          </w:tcPr>
          <w:p w14:paraId="70840E2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4,868</w:t>
            </w:r>
          </w:p>
        </w:tc>
        <w:tc>
          <w:tcPr>
            <w:tcW w:w="0" w:type="auto"/>
            <w:tcBorders>
              <w:left w:val="nil"/>
              <w:bottom w:val="nil"/>
              <w:right w:val="nil"/>
            </w:tcBorders>
            <w:shd w:val="clear" w:color="000000" w:fill="FFFFFF"/>
            <w:hideMark/>
          </w:tcPr>
          <w:p w14:paraId="15204F7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3,954</w:t>
            </w:r>
          </w:p>
        </w:tc>
        <w:tc>
          <w:tcPr>
            <w:tcW w:w="0" w:type="auto"/>
            <w:tcBorders>
              <w:left w:val="nil"/>
              <w:bottom w:val="nil"/>
              <w:right w:val="nil"/>
            </w:tcBorders>
            <w:shd w:val="clear" w:color="000000" w:fill="FFFFFF"/>
            <w:hideMark/>
          </w:tcPr>
          <w:p w14:paraId="1395DCA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2,767</w:t>
            </w:r>
          </w:p>
        </w:tc>
        <w:tc>
          <w:tcPr>
            <w:tcW w:w="0" w:type="auto"/>
            <w:tcBorders>
              <w:left w:val="nil"/>
              <w:bottom w:val="nil"/>
              <w:right w:val="nil"/>
            </w:tcBorders>
            <w:shd w:val="clear" w:color="000000" w:fill="FFFFFF"/>
            <w:hideMark/>
          </w:tcPr>
          <w:p w14:paraId="773ECAA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1,774</w:t>
            </w:r>
          </w:p>
        </w:tc>
        <w:tc>
          <w:tcPr>
            <w:tcW w:w="0" w:type="auto"/>
            <w:tcBorders>
              <w:left w:val="nil"/>
              <w:bottom w:val="nil"/>
            </w:tcBorders>
            <w:shd w:val="clear" w:color="000000" w:fill="FFFFFF"/>
            <w:hideMark/>
          </w:tcPr>
          <w:p w14:paraId="3EF08C2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905</w:t>
            </w:r>
          </w:p>
        </w:tc>
      </w:tr>
      <w:tr w:rsidR="00462FB9" w:rsidRPr="000B5C54" w14:paraId="1543F8DC" w14:textId="77777777" w:rsidTr="00CC5021">
        <w:trPr>
          <w:trHeight w:hRule="exact" w:val="340"/>
        </w:trPr>
        <w:tc>
          <w:tcPr>
            <w:tcW w:w="1707" w:type="dxa"/>
            <w:vMerge/>
            <w:hideMark/>
          </w:tcPr>
          <w:p w14:paraId="0EE1D4F2"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08B2F480"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pop)</w:t>
            </w:r>
          </w:p>
        </w:tc>
        <w:tc>
          <w:tcPr>
            <w:tcW w:w="0" w:type="auto"/>
            <w:tcBorders>
              <w:top w:val="nil"/>
              <w:bottom w:val="nil"/>
              <w:right w:val="nil"/>
            </w:tcBorders>
            <w:shd w:val="clear" w:color="000000" w:fill="FFFFFF"/>
            <w:hideMark/>
          </w:tcPr>
          <w:p w14:paraId="545A88E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0.80</w:t>
            </w:r>
          </w:p>
        </w:tc>
        <w:tc>
          <w:tcPr>
            <w:tcW w:w="0" w:type="auto"/>
            <w:tcBorders>
              <w:top w:val="nil"/>
              <w:left w:val="nil"/>
              <w:bottom w:val="nil"/>
              <w:right w:val="nil"/>
            </w:tcBorders>
            <w:shd w:val="clear" w:color="000000" w:fill="FFFFFF"/>
            <w:hideMark/>
          </w:tcPr>
          <w:p w14:paraId="3042B47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2.02</w:t>
            </w:r>
          </w:p>
        </w:tc>
        <w:tc>
          <w:tcPr>
            <w:tcW w:w="0" w:type="auto"/>
            <w:tcBorders>
              <w:top w:val="nil"/>
              <w:left w:val="nil"/>
              <w:bottom w:val="nil"/>
              <w:right w:val="nil"/>
            </w:tcBorders>
            <w:shd w:val="clear" w:color="000000" w:fill="FFFFFF"/>
            <w:hideMark/>
          </w:tcPr>
          <w:p w14:paraId="0A1171E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2.38</w:t>
            </w:r>
          </w:p>
        </w:tc>
        <w:tc>
          <w:tcPr>
            <w:tcW w:w="0" w:type="auto"/>
            <w:tcBorders>
              <w:top w:val="nil"/>
              <w:left w:val="nil"/>
              <w:bottom w:val="nil"/>
              <w:right w:val="nil"/>
            </w:tcBorders>
            <w:shd w:val="clear" w:color="000000" w:fill="FFFFFF"/>
            <w:hideMark/>
          </w:tcPr>
          <w:p w14:paraId="5A4B616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2.05</w:t>
            </w:r>
          </w:p>
        </w:tc>
        <w:tc>
          <w:tcPr>
            <w:tcW w:w="0" w:type="auto"/>
            <w:tcBorders>
              <w:top w:val="nil"/>
              <w:left w:val="nil"/>
              <w:bottom w:val="nil"/>
              <w:right w:val="nil"/>
            </w:tcBorders>
            <w:shd w:val="clear" w:color="000000" w:fill="FFFFFF"/>
            <w:hideMark/>
          </w:tcPr>
          <w:p w14:paraId="18E4153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1.82</w:t>
            </w:r>
          </w:p>
        </w:tc>
        <w:tc>
          <w:tcPr>
            <w:tcW w:w="0" w:type="auto"/>
            <w:tcBorders>
              <w:top w:val="nil"/>
              <w:left w:val="nil"/>
              <w:bottom w:val="nil"/>
              <w:right w:val="nil"/>
            </w:tcBorders>
            <w:shd w:val="clear" w:color="000000" w:fill="FFFFFF"/>
            <w:hideMark/>
          </w:tcPr>
          <w:p w14:paraId="010DC6C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1.91</w:t>
            </w:r>
          </w:p>
        </w:tc>
        <w:tc>
          <w:tcPr>
            <w:tcW w:w="0" w:type="auto"/>
            <w:tcBorders>
              <w:top w:val="nil"/>
              <w:left w:val="nil"/>
              <w:bottom w:val="nil"/>
              <w:right w:val="nil"/>
            </w:tcBorders>
            <w:shd w:val="clear" w:color="000000" w:fill="FFFFFF"/>
            <w:hideMark/>
          </w:tcPr>
          <w:p w14:paraId="089083B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1.97</w:t>
            </w:r>
          </w:p>
        </w:tc>
        <w:tc>
          <w:tcPr>
            <w:tcW w:w="0" w:type="auto"/>
            <w:tcBorders>
              <w:top w:val="nil"/>
              <w:left w:val="nil"/>
              <w:bottom w:val="nil"/>
              <w:right w:val="nil"/>
            </w:tcBorders>
            <w:shd w:val="clear" w:color="000000" w:fill="FFFFFF"/>
            <w:hideMark/>
          </w:tcPr>
          <w:p w14:paraId="2B18A8E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1.58</w:t>
            </w:r>
          </w:p>
        </w:tc>
        <w:tc>
          <w:tcPr>
            <w:tcW w:w="0" w:type="auto"/>
            <w:tcBorders>
              <w:top w:val="nil"/>
              <w:left w:val="nil"/>
              <w:bottom w:val="nil"/>
              <w:right w:val="nil"/>
            </w:tcBorders>
            <w:shd w:val="clear" w:color="000000" w:fill="FFFFFF"/>
            <w:hideMark/>
          </w:tcPr>
          <w:p w14:paraId="6C15044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1.15</w:t>
            </w:r>
          </w:p>
        </w:tc>
        <w:tc>
          <w:tcPr>
            <w:tcW w:w="0" w:type="auto"/>
            <w:tcBorders>
              <w:top w:val="nil"/>
              <w:left w:val="nil"/>
              <w:bottom w:val="nil"/>
              <w:right w:val="nil"/>
            </w:tcBorders>
            <w:shd w:val="clear" w:color="000000" w:fill="FFFFFF"/>
            <w:hideMark/>
          </w:tcPr>
          <w:p w14:paraId="7D51926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0.97</w:t>
            </w:r>
          </w:p>
        </w:tc>
        <w:tc>
          <w:tcPr>
            <w:tcW w:w="0" w:type="auto"/>
            <w:tcBorders>
              <w:top w:val="nil"/>
              <w:left w:val="nil"/>
              <w:bottom w:val="nil"/>
              <w:right w:val="nil"/>
            </w:tcBorders>
            <w:shd w:val="clear" w:color="000000" w:fill="FFFFFF"/>
            <w:hideMark/>
          </w:tcPr>
          <w:p w14:paraId="3D6B99F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0.73</w:t>
            </w:r>
          </w:p>
        </w:tc>
        <w:tc>
          <w:tcPr>
            <w:tcW w:w="0" w:type="auto"/>
            <w:tcBorders>
              <w:top w:val="nil"/>
              <w:left w:val="nil"/>
              <w:bottom w:val="nil"/>
            </w:tcBorders>
            <w:shd w:val="clear" w:color="000000" w:fill="FFFFFF"/>
            <w:hideMark/>
          </w:tcPr>
          <w:p w14:paraId="63FDA8D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0.42</w:t>
            </w:r>
          </w:p>
        </w:tc>
      </w:tr>
      <w:tr w:rsidR="00462FB9" w:rsidRPr="000B5C54" w14:paraId="57C3BD50" w14:textId="77777777" w:rsidTr="00CC5021">
        <w:trPr>
          <w:trHeight w:hRule="exact" w:val="467"/>
        </w:trPr>
        <w:tc>
          <w:tcPr>
            <w:tcW w:w="1707" w:type="dxa"/>
            <w:vMerge/>
            <w:hideMark/>
          </w:tcPr>
          <w:p w14:paraId="6BAEC9D7"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2B82269B" w14:textId="77777777" w:rsidR="00462FB9"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CMHP cases)</w:t>
            </w:r>
          </w:p>
          <w:p w14:paraId="3B0FD88F"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p>
        </w:tc>
        <w:tc>
          <w:tcPr>
            <w:tcW w:w="0" w:type="auto"/>
            <w:tcBorders>
              <w:top w:val="nil"/>
              <w:bottom w:val="nil"/>
              <w:right w:val="nil"/>
            </w:tcBorders>
            <w:shd w:val="clear" w:color="000000" w:fill="FFFFFF"/>
            <w:hideMark/>
          </w:tcPr>
          <w:p w14:paraId="69F3AE0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5.81</w:t>
            </w:r>
          </w:p>
        </w:tc>
        <w:tc>
          <w:tcPr>
            <w:tcW w:w="0" w:type="auto"/>
            <w:tcBorders>
              <w:top w:val="nil"/>
              <w:left w:val="nil"/>
              <w:bottom w:val="nil"/>
              <w:right w:val="nil"/>
            </w:tcBorders>
            <w:shd w:val="clear" w:color="000000" w:fill="FFFFFF"/>
            <w:hideMark/>
          </w:tcPr>
          <w:p w14:paraId="446838B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13.16</w:t>
            </w:r>
          </w:p>
        </w:tc>
        <w:tc>
          <w:tcPr>
            <w:tcW w:w="0" w:type="auto"/>
            <w:tcBorders>
              <w:top w:val="nil"/>
              <w:left w:val="nil"/>
              <w:bottom w:val="nil"/>
              <w:right w:val="nil"/>
            </w:tcBorders>
            <w:shd w:val="clear" w:color="000000" w:fill="FFFFFF"/>
            <w:hideMark/>
          </w:tcPr>
          <w:p w14:paraId="6D543C6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12.59</w:t>
            </w:r>
          </w:p>
        </w:tc>
        <w:tc>
          <w:tcPr>
            <w:tcW w:w="0" w:type="auto"/>
            <w:tcBorders>
              <w:top w:val="nil"/>
              <w:left w:val="nil"/>
              <w:bottom w:val="nil"/>
              <w:right w:val="nil"/>
            </w:tcBorders>
            <w:shd w:val="clear" w:color="000000" w:fill="FFFFFF"/>
            <w:hideMark/>
          </w:tcPr>
          <w:p w14:paraId="539D8A7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11.99</w:t>
            </w:r>
          </w:p>
        </w:tc>
        <w:tc>
          <w:tcPr>
            <w:tcW w:w="0" w:type="auto"/>
            <w:tcBorders>
              <w:top w:val="nil"/>
              <w:left w:val="nil"/>
              <w:bottom w:val="nil"/>
              <w:right w:val="nil"/>
            </w:tcBorders>
            <w:shd w:val="clear" w:color="000000" w:fill="FFFFFF"/>
            <w:hideMark/>
          </w:tcPr>
          <w:p w14:paraId="5DD6C63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10.19</w:t>
            </w:r>
          </w:p>
        </w:tc>
        <w:tc>
          <w:tcPr>
            <w:tcW w:w="0" w:type="auto"/>
            <w:tcBorders>
              <w:top w:val="nil"/>
              <w:left w:val="nil"/>
              <w:bottom w:val="nil"/>
              <w:right w:val="nil"/>
            </w:tcBorders>
            <w:shd w:val="clear" w:color="000000" w:fill="FFFFFF"/>
            <w:hideMark/>
          </w:tcPr>
          <w:p w14:paraId="137FCA0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9.52</w:t>
            </w:r>
          </w:p>
        </w:tc>
        <w:tc>
          <w:tcPr>
            <w:tcW w:w="0" w:type="auto"/>
            <w:tcBorders>
              <w:top w:val="nil"/>
              <w:left w:val="nil"/>
              <w:bottom w:val="nil"/>
              <w:right w:val="nil"/>
            </w:tcBorders>
            <w:shd w:val="clear" w:color="000000" w:fill="FFFFFF"/>
            <w:hideMark/>
          </w:tcPr>
          <w:p w14:paraId="2877684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9.57</w:t>
            </w:r>
          </w:p>
        </w:tc>
        <w:tc>
          <w:tcPr>
            <w:tcW w:w="0" w:type="auto"/>
            <w:tcBorders>
              <w:top w:val="nil"/>
              <w:left w:val="nil"/>
              <w:bottom w:val="nil"/>
              <w:right w:val="nil"/>
            </w:tcBorders>
            <w:shd w:val="clear" w:color="000000" w:fill="FFFFFF"/>
            <w:hideMark/>
          </w:tcPr>
          <w:p w14:paraId="07E7786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7.83</w:t>
            </w:r>
          </w:p>
        </w:tc>
        <w:tc>
          <w:tcPr>
            <w:tcW w:w="0" w:type="auto"/>
            <w:tcBorders>
              <w:top w:val="nil"/>
              <w:left w:val="nil"/>
              <w:bottom w:val="nil"/>
              <w:right w:val="nil"/>
            </w:tcBorders>
            <w:shd w:val="clear" w:color="000000" w:fill="FFFFFF"/>
            <w:hideMark/>
          </w:tcPr>
          <w:p w14:paraId="5602EBB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7.17</w:t>
            </w:r>
          </w:p>
        </w:tc>
        <w:tc>
          <w:tcPr>
            <w:tcW w:w="0" w:type="auto"/>
            <w:tcBorders>
              <w:top w:val="nil"/>
              <w:left w:val="nil"/>
              <w:bottom w:val="nil"/>
              <w:right w:val="nil"/>
            </w:tcBorders>
            <w:shd w:val="clear" w:color="000000" w:fill="FFFFFF"/>
            <w:hideMark/>
          </w:tcPr>
          <w:p w14:paraId="491AE08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6.34</w:t>
            </w:r>
          </w:p>
        </w:tc>
        <w:tc>
          <w:tcPr>
            <w:tcW w:w="0" w:type="auto"/>
            <w:tcBorders>
              <w:top w:val="nil"/>
              <w:left w:val="nil"/>
              <w:bottom w:val="nil"/>
              <w:right w:val="nil"/>
            </w:tcBorders>
            <w:shd w:val="clear" w:color="000000" w:fill="FFFFFF"/>
            <w:hideMark/>
          </w:tcPr>
          <w:p w14:paraId="27250C6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7.43</w:t>
            </w:r>
          </w:p>
        </w:tc>
        <w:tc>
          <w:tcPr>
            <w:tcW w:w="0" w:type="auto"/>
            <w:tcBorders>
              <w:top w:val="nil"/>
              <w:left w:val="nil"/>
              <w:bottom w:val="nil"/>
            </w:tcBorders>
            <w:shd w:val="clear" w:color="000000" w:fill="FFFFFF"/>
            <w:hideMark/>
          </w:tcPr>
          <w:p w14:paraId="53590E47" w14:textId="77777777" w:rsidR="00462FB9"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4.46</w:t>
            </w:r>
          </w:p>
          <w:p w14:paraId="1A858B3E" w14:textId="77777777" w:rsidR="00462FB9" w:rsidRDefault="00462FB9" w:rsidP="00CC5021">
            <w:pPr>
              <w:spacing w:line="240" w:lineRule="auto"/>
              <w:jc w:val="right"/>
              <w:rPr>
                <w:rFonts w:ascii="Times New Roman" w:hAnsi="Times New Roman" w:cs="Times New Roman"/>
                <w:color w:val="000000"/>
                <w:sz w:val="18"/>
                <w:szCs w:val="21"/>
              </w:rPr>
            </w:pPr>
          </w:p>
          <w:p w14:paraId="103B8E03" w14:textId="77777777" w:rsidR="00462FB9" w:rsidRPr="000B5C54" w:rsidRDefault="00462FB9" w:rsidP="00CC5021">
            <w:pPr>
              <w:spacing w:line="240" w:lineRule="auto"/>
              <w:jc w:val="right"/>
              <w:rPr>
                <w:rFonts w:ascii="Times New Roman" w:hAnsi="Times New Roman" w:cs="Times New Roman"/>
                <w:color w:val="000000"/>
                <w:sz w:val="18"/>
                <w:szCs w:val="21"/>
              </w:rPr>
            </w:pPr>
          </w:p>
        </w:tc>
      </w:tr>
      <w:tr w:rsidR="00462FB9" w:rsidRPr="000B5C54" w14:paraId="65D87335" w14:textId="77777777" w:rsidTr="00CC5021">
        <w:trPr>
          <w:trHeight w:hRule="exact" w:val="274"/>
        </w:trPr>
        <w:tc>
          <w:tcPr>
            <w:tcW w:w="1707" w:type="dxa"/>
            <w:vMerge/>
            <w:hideMark/>
          </w:tcPr>
          <w:p w14:paraId="0B42970F"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single" w:sz="4" w:space="0" w:color="auto"/>
            </w:tcBorders>
            <w:shd w:val="clear" w:color="000000" w:fill="FFFFFF"/>
            <w:hideMark/>
          </w:tcPr>
          <w:p w14:paraId="14A9CAA2"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referrals)</w:t>
            </w:r>
          </w:p>
        </w:tc>
        <w:tc>
          <w:tcPr>
            <w:tcW w:w="0" w:type="auto"/>
            <w:tcBorders>
              <w:top w:val="nil"/>
              <w:bottom w:val="single" w:sz="4" w:space="0" w:color="auto"/>
              <w:right w:val="nil"/>
            </w:tcBorders>
            <w:shd w:val="clear" w:color="000000" w:fill="FFFFFF"/>
            <w:hideMark/>
          </w:tcPr>
          <w:p w14:paraId="50CF547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57.64</w:t>
            </w:r>
          </w:p>
        </w:tc>
        <w:tc>
          <w:tcPr>
            <w:tcW w:w="0" w:type="auto"/>
            <w:tcBorders>
              <w:top w:val="nil"/>
              <w:left w:val="nil"/>
              <w:bottom w:val="single" w:sz="4" w:space="0" w:color="auto"/>
              <w:right w:val="nil"/>
            </w:tcBorders>
            <w:shd w:val="clear" w:color="000000" w:fill="FFFFFF"/>
            <w:hideMark/>
          </w:tcPr>
          <w:p w14:paraId="3CE801C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57.34</w:t>
            </w:r>
          </w:p>
        </w:tc>
        <w:tc>
          <w:tcPr>
            <w:tcW w:w="0" w:type="auto"/>
            <w:tcBorders>
              <w:top w:val="nil"/>
              <w:left w:val="nil"/>
              <w:bottom w:val="single" w:sz="4" w:space="0" w:color="auto"/>
              <w:right w:val="nil"/>
            </w:tcBorders>
            <w:shd w:val="clear" w:color="000000" w:fill="FFFFFF"/>
            <w:hideMark/>
          </w:tcPr>
          <w:p w14:paraId="2B98A04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60.84</w:t>
            </w:r>
          </w:p>
        </w:tc>
        <w:tc>
          <w:tcPr>
            <w:tcW w:w="0" w:type="auto"/>
            <w:tcBorders>
              <w:top w:val="nil"/>
              <w:left w:val="nil"/>
              <w:bottom w:val="single" w:sz="4" w:space="0" w:color="auto"/>
              <w:right w:val="nil"/>
            </w:tcBorders>
            <w:shd w:val="clear" w:color="000000" w:fill="FFFFFF"/>
            <w:hideMark/>
          </w:tcPr>
          <w:p w14:paraId="194AC3F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64.33</w:t>
            </w:r>
          </w:p>
        </w:tc>
        <w:tc>
          <w:tcPr>
            <w:tcW w:w="0" w:type="auto"/>
            <w:tcBorders>
              <w:top w:val="nil"/>
              <w:left w:val="nil"/>
              <w:bottom w:val="single" w:sz="4" w:space="0" w:color="auto"/>
              <w:right w:val="nil"/>
            </w:tcBorders>
            <w:shd w:val="clear" w:color="000000" w:fill="FFFFFF"/>
            <w:hideMark/>
          </w:tcPr>
          <w:p w14:paraId="644C258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67.19</w:t>
            </w:r>
          </w:p>
        </w:tc>
        <w:tc>
          <w:tcPr>
            <w:tcW w:w="0" w:type="auto"/>
            <w:tcBorders>
              <w:top w:val="nil"/>
              <w:left w:val="nil"/>
              <w:bottom w:val="single" w:sz="4" w:space="0" w:color="auto"/>
              <w:right w:val="nil"/>
            </w:tcBorders>
            <w:shd w:val="clear" w:color="000000" w:fill="FFFFFF"/>
            <w:hideMark/>
          </w:tcPr>
          <w:p w14:paraId="5848AD9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68.67</w:t>
            </w:r>
          </w:p>
        </w:tc>
        <w:tc>
          <w:tcPr>
            <w:tcW w:w="0" w:type="auto"/>
            <w:tcBorders>
              <w:top w:val="nil"/>
              <w:left w:val="nil"/>
              <w:bottom w:val="single" w:sz="4" w:space="0" w:color="auto"/>
              <w:right w:val="nil"/>
            </w:tcBorders>
            <w:shd w:val="clear" w:color="000000" w:fill="FFFFFF"/>
            <w:hideMark/>
          </w:tcPr>
          <w:p w14:paraId="77387C3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72.03</w:t>
            </w:r>
          </w:p>
        </w:tc>
        <w:tc>
          <w:tcPr>
            <w:tcW w:w="0" w:type="auto"/>
            <w:tcBorders>
              <w:top w:val="nil"/>
              <w:left w:val="nil"/>
              <w:bottom w:val="single" w:sz="4" w:space="0" w:color="auto"/>
              <w:right w:val="nil"/>
            </w:tcBorders>
            <w:shd w:val="clear" w:color="000000" w:fill="FFFFFF"/>
            <w:hideMark/>
          </w:tcPr>
          <w:p w14:paraId="4D02BF5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72.86</w:t>
            </w:r>
          </w:p>
        </w:tc>
        <w:tc>
          <w:tcPr>
            <w:tcW w:w="0" w:type="auto"/>
            <w:tcBorders>
              <w:top w:val="nil"/>
              <w:left w:val="nil"/>
              <w:bottom w:val="single" w:sz="4" w:space="0" w:color="auto"/>
              <w:right w:val="nil"/>
            </w:tcBorders>
            <w:shd w:val="clear" w:color="000000" w:fill="FFFFFF"/>
            <w:hideMark/>
          </w:tcPr>
          <w:p w14:paraId="7D74748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76.75</w:t>
            </w:r>
          </w:p>
        </w:tc>
        <w:tc>
          <w:tcPr>
            <w:tcW w:w="0" w:type="auto"/>
            <w:tcBorders>
              <w:top w:val="nil"/>
              <w:left w:val="nil"/>
              <w:bottom w:val="single" w:sz="4" w:space="0" w:color="auto"/>
              <w:right w:val="nil"/>
            </w:tcBorders>
            <w:shd w:val="clear" w:color="000000" w:fill="FFFFFF"/>
            <w:hideMark/>
          </w:tcPr>
          <w:p w14:paraId="77A84BA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76.97</w:t>
            </w:r>
          </w:p>
        </w:tc>
        <w:tc>
          <w:tcPr>
            <w:tcW w:w="0" w:type="auto"/>
            <w:tcBorders>
              <w:top w:val="nil"/>
              <w:left w:val="nil"/>
              <w:bottom w:val="single" w:sz="4" w:space="0" w:color="auto"/>
              <w:right w:val="nil"/>
            </w:tcBorders>
            <w:shd w:val="clear" w:color="000000" w:fill="FFFFFF"/>
            <w:hideMark/>
          </w:tcPr>
          <w:p w14:paraId="0E6ACDB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76.43</w:t>
            </w:r>
          </w:p>
        </w:tc>
        <w:tc>
          <w:tcPr>
            <w:tcW w:w="0" w:type="auto"/>
            <w:tcBorders>
              <w:top w:val="nil"/>
              <w:left w:val="nil"/>
              <w:bottom w:val="single" w:sz="4" w:space="0" w:color="auto"/>
            </w:tcBorders>
            <w:shd w:val="clear" w:color="000000" w:fill="FFFFFF"/>
            <w:hideMark/>
          </w:tcPr>
          <w:p w14:paraId="32619D3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74.36</w:t>
            </w:r>
          </w:p>
        </w:tc>
      </w:tr>
      <w:tr w:rsidR="00462FB9" w:rsidRPr="000B5C54" w14:paraId="7BF9F4D1" w14:textId="77777777" w:rsidTr="00CC5021">
        <w:trPr>
          <w:trHeight w:hRule="exact" w:val="340"/>
        </w:trPr>
        <w:tc>
          <w:tcPr>
            <w:tcW w:w="1707" w:type="dxa"/>
            <w:vMerge w:val="restart"/>
            <w:shd w:val="clear" w:color="000000" w:fill="FFFFFF"/>
            <w:hideMark/>
          </w:tcPr>
          <w:p w14:paraId="3BC8B59C"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Completers (&gt;=2 sessions)</w:t>
            </w:r>
          </w:p>
        </w:tc>
        <w:tc>
          <w:tcPr>
            <w:tcW w:w="1649" w:type="dxa"/>
            <w:tcBorders>
              <w:bottom w:val="nil"/>
            </w:tcBorders>
            <w:shd w:val="clear" w:color="000000" w:fill="FFFFFF"/>
            <w:hideMark/>
          </w:tcPr>
          <w:p w14:paraId="1DEBF718"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bottom w:val="nil"/>
              <w:right w:val="nil"/>
            </w:tcBorders>
            <w:shd w:val="clear" w:color="000000" w:fill="FFFFFF"/>
            <w:hideMark/>
          </w:tcPr>
          <w:p w14:paraId="007309E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675</w:t>
            </w:r>
          </w:p>
        </w:tc>
        <w:tc>
          <w:tcPr>
            <w:tcW w:w="0" w:type="auto"/>
            <w:tcBorders>
              <w:left w:val="nil"/>
              <w:bottom w:val="nil"/>
              <w:right w:val="nil"/>
            </w:tcBorders>
            <w:shd w:val="clear" w:color="000000" w:fill="FFFFFF"/>
            <w:hideMark/>
          </w:tcPr>
          <w:p w14:paraId="584F562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2,384</w:t>
            </w:r>
          </w:p>
        </w:tc>
        <w:tc>
          <w:tcPr>
            <w:tcW w:w="0" w:type="auto"/>
            <w:tcBorders>
              <w:left w:val="nil"/>
              <w:bottom w:val="nil"/>
              <w:right w:val="nil"/>
            </w:tcBorders>
            <w:shd w:val="clear" w:color="000000" w:fill="FFFFFF"/>
            <w:hideMark/>
          </w:tcPr>
          <w:p w14:paraId="76AA013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2,492</w:t>
            </w:r>
          </w:p>
        </w:tc>
        <w:tc>
          <w:tcPr>
            <w:tcW w:w="0" w:type="auto"/>
            <w:tcBorders>
              <w:left w:val="nil"/>
              <w:bottom w:val="nil"/>
              <w:right w:val="nil"/>
            </w:tcBorders>
            <w:shd w:val="clear" w:color="000000" w:fill="FFFFFF"/>
            <w:hideMark/>
          </w:tcPr>
          <w:p w14:paraId="72FCC25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2,486</w:t>
            </w:r>
          </w:p>
        </w:tc>
        <w:tc>
          <w:tcPr>
            <w:tcW w:w="0" w:type="auto"/>
            <w:tcBorders>
              <w:left w:val="nil"/>
              <w:bottom w:val="nil"/>
              <w:right w:val="nil"/>
            </w:tcBorders>
            <w:shd w:val="clear" w:color="000000" w:fill="FFFFFF"/>
            <w:hideMark/>
          </w:tcPr>
          <w:p w14:paraId="65B8621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2,716</w:t>
            </w:r>
          </w:p>
        </w:tc>
        <w:tc>
          <w:tcPr>
            <w:tcW w:w="0" w:type="auto"/>
            <w:tcBorders>
              <w:left w:val="nil"/>
              <w:bottom w:val="nil"/>
              <w:right w:val="nil"/>
            </w:tcBorders>
            <w:shd w:val="clear" w:color="000000" w:fill="FFFFFF"/>
            <w:hideMark/>
          </w:tcPr>
          <w:p w14:paraId="6D97E82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2,949</w:t>
            </w:r>
          </w:p>
        </w:tc>
        <w:tc>
          <w:tcPr>
            <w:tcW w:w="0" w:type="auto"/>
            <w:tcBorders>
              <w:left w:val="nil"/>
              <w:bottom w:val="nil"/>
              <w:right w:val="nil"/>
            </w:tcBorders>
            <w:shd w:val="clear" w:color="000000" w:fill="FFFFFF"/>
            <w:hideMark/>
          </w:tcPr>
          <w:p w14:paraId="77B19A7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2,723</w:t>
            </w:r>
          </w:p>
        </w:tc>
        <w:tc>
          <w:tcPr>
            <w:tcW w:w="0" w:type="auto"/>
            <w:tcBorders>
              <w:left w:val="nil"/>
              <w:bottom w:val="nil"/>
              <w:right w:val="nil"/>
            </w:tcBorders>
            <w:shd w:val="clear" w:color="000000" w:fill="FFFFFF"/>
            <w:hideMark/>
          </w:tcPr>
          <w:p w14:paraId="737FF54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2,139</w:t>
            </w:r>
          </w:p>
        </w:tc>
        <w:tc>
          <w:tcPr>
            <w:tcW w:w="0" w:type="auto"/>
            <w:tcBorders>
              <w:left w:val="nil"/>
              <w:bottom w:val="nil"/>
              <w:right w:val="nil"/>
            </w:tcBorders>
            <w:shd w:val="clear" w:color="000000" w:fill="FFFFFF"/>
            <w:hideMark/>
          </w:tcPr>
          <w:p w14:paraId="0EF1EFE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1,819</w:t>
            </w:r>
          </w:p>
        </w:tc>
        <w:tc>
          <w:tcPr>
            <w:tcW w:w="0" w:type="auto"/>
            <w:tcBorders>
              <w:left w:val="nil"/>
              <w:bottom w:val="nil"/>
              <w:right w:val="nil"/>
            </w:tcBorders>
            <w:shd w:val="clear" w:color="000000" w:fill="FFFFFF"/>
            <w:hideMark/>
          </w:tcPr>
          <w:p w14:paraId="728E1B0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1,266</w:t>
            </w:r>
          </w:p>
        </w:tc>
        <w:tc>
          <w:tcPr>
            <w:tcW w:w="0" w:type="auto"/>
            <w:tcBorders>
              <w:left w:val="nil"/>
              <w:bottom w:val="nil"/>
              <w:right w:val="nil"/>
            </w:tcBorders>
            <w:shd w:val="clear" w:color="000000" w:fill="FFFFFF"/>
            <w:hideMark/>
          </w:tcPr>
          <w:p w14:paraId="50B0DE9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797</w:t>
            </w:r>
          </w:p>
        </w:tc>
        <w:tc>
          <w:tcPr>
            <w:tcW w:w="0" w:type="auto"/>
            <w:tcBorders>
              <w:left w:val="nil"/>
              <w:bottom w:val="nil"/>
            </w:tcBorders>
            <w:shd w:val="clear" w:color="000000" w:fill="FFFFFF"/>
            <w:hideMark/>
          </w:tcPr>
          <w:p w14:paraId="2C59616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412</w:t>
            </w:r>
          </w:p>
        </w:tc>
      </w:tr>
      <w:tr w:rsidR="00462FB9" w:rsidRPr="000B5C54" w14:paraId="422E5BD5" w14:textId="77777777" w:rsidTr="00CC5021">
        <w:trPr>
          <w:trHeight w:hRule="exact" w:val="340"/>
        </w:trPr>
        <w:tc>
          <w:tcPr>
            <w:tcW w:w="1707" w:type="dxa"/>
            <w:vMerge/>
            <w:hideMark/>
          </w:tcPr>
          <w:p w14:paraId="3F31FEAC"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7C03D2FD"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pop)</w:t>
            </w:r>
          </w:p>
        </w:tc>
        <w:tc>
          <w:tcPr>
            <w:tcW w:w="0" w:type="auto"/>
            <w:tcBorders>
              <w:top w:val="nil"/>
              <w:bottom w:val="nil"/>
              <w:right w:val="nil"/>
            </w:tcBorders>
            <w:shd w:val="clear" w:color="000000" w:fill="FFFFFF"/>
            <w:hideMark/>
          </w:tcPr>
          <w:p w14:paraId="39C2313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0.27</w:t>
            </w:r>
          </w:p>
        </w:tc>
        <w:tc>
          <w:tcPr>
            <w:tcW w:w="0" w:type="auto"/>
            <w:tcBorders>
              <w:top w:val="nil"/>
              <w:left w:val="nil"/>
              <w:bottom w:val="nil"/>
              <w:right w:val="nil"/>
            </w:tcBorders>
            <w:shd w:val="clear" w:color="000000" w:fill="FFFFFF"/>
            <w:hideMark/>
          </w:tcPr>
          <w:p w14:paraId="69E5F34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0.81</w:t>
            </w:r>
          </w:p>
        </w:tc>
        <w:tc>
          <w:tcPr>
            <w:tcW w:w="0" w:type="auto"/>
            <w:tcBorders>
              <w:top w:val="nil"/>
              <w:left w:val="nil"/>
              <w:bottom w:val="nil"/>
              <w:right w:val="nil"/>
            </w:tcBorders>
            <w:shd w:val="clear" w:color="000000" w:fill="FFFFFF"/>
            <w:hideMark/>
          </w:tcPr>
          <w:p w14:paraId="35B1BEE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0.96</w:t>
            </w:r>
          </w:p>
        </w:tc>
        <w:tc>
          <w:tcPr>
            <w:tcW w:w="0" w:type="auto"/>
            <w:tcBorders>
              <w:top w:val="nil"/>
              <w:left w:val="nil"/>
              <w:bottom w:val="nil"/>
              <w:right w:val="nil"/>
            </w:tcBorders>
            <w:shd w:val="clear" w:color="000000" w:fill="FFFFFF"/>
            <w:hideMark/>
          </w:tcPr>
          <w:p w14:paraId="7EF5B04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0.83</w:t>
            </w:r>
          </w:p>
        </w:tc>
        <w:tc>
          <w:tcPr>
            <w:tcW w:w="0" w:type="auto"/>
            <w:tcBorders>
              <w:top w:val="nil"/>
              <w:left w:val="nil"/>
              <w:bottom w:val="nil"/>
              <w:right w:val="nil"/>
            </w:tcBorders>
            <w:shd w:val="clear" w:color="000000" w:fill="FFFFFF"/>
            <w:hideMark/>
          </w:tcPr>
          <w:p w14:paraId="3277B5F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0.77</w:t>
            </w:r>
          </w:p>
        </w:tc>
        <w:tc>
          <w:tcPr>
            <w:tcW w:w="0" w:type="auto"/>
            <w:tcBorders>
              <w:top w:val="nil"/>
              <w:left w:val="nil"/>
              <w:bottom w:val="nil"/>
              <w:right w:val="nil"/>
            </w:tcBorders>
            <w:shd w:val="clear" w:color="000000" w:fill="FFFFFF"/>
            <w:hideMark/>
          </w:tcPr>
          <w:p w14:paraId="358D4E8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0.82</w:t>
            </w:r>
          </w:p>
        </w:tc>
        <w:tc>
          <w:tcPr>
            <w:tcW w:w="0" w:type="auto"/>
            <w:tcBorders>
              <w:top w:val="nil"/>
              <w:left w:val="nil"/>
              <w:bottom w:val="nil"/>
              <w:right w:val="nil"/>
            </w:tcBorders>
            <w:shd w:val="clear" w:color="000000" w:fill="FFFFFF"/>
            <w:hideMark/>
          </w:tcPr>
          <w:p w14:paraId="0909690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0.84</w:t>
            </w:r>
          </w:p>
        </w:tc>
        <w:tc>
          <w:tcPr>
            <w:tcW w:w="0" w:type="auto"/>
            <w:tcBorders>
              <w:top w:val="nil"/>
              <w:left w:val="nil"/>
              <w:bottom w:val="nil"/>
              <w:right w:val="nil"/>
            </w:tcBorders>
            <w:shd w:val="clear" w:color="000000" w:fill="FFFFFF"/>
            <w:hideMark/>
          </w:tcPr>
          <w:p w14:paraId="49100EC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0.70</w:t>
            </w:r>
          </w:p>
        </w:tc>
        <w:tc>
          <w:tcPr>
            <w:tcW w:w="0" w:type="auto"/>
            <w:tcBorders>
              <w:top w:val="nil"/>
              <w:left w:val="nil"/>
              <w:bottom w:val="nil"/>
              <w:right w:val="nil"/>
            </w:tcBorders>
            <w:shd w:val="clear" w:color="000000" w:fill="FFFFFF"/>
            <w:hideMark/>
          </w:tcPr>
          <w:p w14:paraId="0814008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0.53</w:t>
            </w:r>
          </w:p>
        </w:tc>
        <w:tc>
          <w:tcPr>
            <w:tcW w:w="0" w:type="auto"/>
            <w:tcBorders>
              <w:top w:val="nil"/>
              <w:left w:val="nil"/>
              <w:bottom w:val="nil"/>
              <w:right w:val="nil"/>
            </w:tcBorders>
            <w:shd w:val="clear" w:color="000000" w:fill="FFFFFF"/>
            <w:hideMark/>
          </w:tcPr>
          <w:p w14:paraId="0265D84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0.44</w:t>
            </w:r>
          </w:p>
        </w:tc>
        <w:tc>
          <w:tcPr>
            <w:tcW w:w="0" w:type="auto"/>
            <w:tcBorders>
              <w:top w:val="nil"/>
              <w:left w:val="nil"/>
              <w:bottom w:val="nil"/>
              <w:right w:val="nil"/>
            </w:tcBorders>
            <w:shd w:val="clear" w:color="000000" w:fill="FFFFFF"/>
            <w:hideMark/>
          </w:tcPr>
          <w:p w14:paraId="1827A27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0.33</w:t>
            </w:r>
          </w:p>
        </w:tc>
        <w:tc>
          <w:tcPr>
            <w:tcW w:w="0" w:type="auto"/>
            <w:tcBorders>
              <w:top w:val="nil"/>
              <w:left w:val="nil"/>
              <w:bottom w:val="nil"/>
            </w:tcBorders>
            <w:shd w:val="clear" w:color="000000" w:fill="FFFFFF"/>
            <w:hideMark/>
          </w:tcPr>
          <w:p w14:paraId="43918F2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0.19</w:t>
            </w:r>
          </w:p>
        </w:tc>
      </w:tr>
      <w:tr w:rsidR="00462FB9" w:rsidRPr="000B5C54" w14:paraId="0F2C7265" w14:textId="77777777" w:rsidTr="00CC5021">
        <w:trPr>
          <w:trHeight w:hRule="exact" w:val="443"/>
        </w:trPr>
        <w:tc>
          <w:tcPr>
            <w:tcW w:w="1707" w:type="dxa"/>
            <w:vMerge/>
            <w:hideMark/>
          </w:tcPr>
          <w:p w14:paraId="0785D3D9"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341CDAAA"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CMHP cases)</w:t>
            </w:r>
          </w:p>
        </w:tc>
        <w:tc>
          <w:tcPr>
            <w:tcW w:w="0" w:type="auto"/>
            <w:tcBorders>
              <w:top w:val="nil"/>
              <w:bottom w:val="nil"/>
              <w:right w:val="nil"/>
            </w:tcBorders>
            <w:shd w:val="clear" w:color="000000" w:fill="FFFFFF"/>
            <w:hideMark/>
          </w:tcPr>
          <w:p w14:paraId="51FD736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1.93</w:t>
            </w:r>
          </w:p>
        </w:tc>
        <w:tc>
          <w:tcPr>
            <w:tcW w:w="0" w:type="auto"/>
            <w:tcBorders>
              <w:top w:val="nil"/>
              <w:left w:val="nil"/>
              <w:bottom w:val="nil"/>
              <w:right w:val="nil"/>
            </w:tcBorders>
            <w:shd w:val="clear" w:color="000000" w:fill="FFFFFF"/>
            <w:hideMark/>
          </w:tcPr>
          <w:p w14:paraId="03408FA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5.30</w:t>
            </w:r>
          </w:p>
        </w:tc>
        <w:tc>
          <w:tcPr>
            <w:tcW w:w="0" w:type="auto"/>
            <w:tcBorders>
              <w:top w:val="nil"/>
              <w:left w:val="nil"/>
              <w:bottom w:val="nil"/>
              <w:right w:val="nil"/>
            </w:tcBorders>
            <w:shd w:val="clear" w:color="000000" w:fill="FFFFFF"/>
            <w:hideMark/>
          </w:tcPr>
          <w:p w14:paraId="5ED4E39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5.06</w:t>
            </w:r>
          </w:p>
        </w:tc>
        <w:tc>
          <w:tcPr>
            <w:tcW w:w="0" w:type="auto"/>
            <w:tcBorders>
              <w:top w:val="nil"/>
              <w:left w:val="nil"/>
              <w:bottom w:val="nil"/>
              <w:right w:val="nil"/>
            </w:tcBorders>
            <w:shd w:val="clear" w:color="000000" w:fill="FFFFFF"/>
            <w:hideMark/>
          </w:tcPr>
          <w:p w14:paraId="282B3E5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4.84</w:t>
            </w:r>
          </w:p>
        </w:tc>
        <w:tc>
          <w:tcPr>
            <w:tcW w:w="0" w:type="auto"/>
            <w:tcBorders>
              <w:top w:val="nil"/>
              <w:left w:val="nil"/>
              <w:bottom w:val="nil"/>
              <w:right w:val="nil"/>
            </w:tcBorders>
            <w:shd w:val="clear" w:color="000000" w:fill="FFFFFF"/>
            <w:hideMark/>
          </w:tcPr>
          <w:p w14:paraId="1E0297F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4.30</w:t>
            </w:r>
          </w:p>
        </w:tc>
        <w:tc>
          <w:tcPr>
            <w:tcW w:w="0" w:type="auto"/>
            <w:tcBorders>
              <w:top w:val="nil"/>
              <w:left w:val="nil"/>
              <w:bottom w:val="nil"/>
              <w:right w:val="nil"/>
            </w:tcBorders>
            <w:shd w:val="clear" w:color="000000" w:fill="FFFFFF"/>
            <w:hideMark/>
          </w:tcPr>
          <w:p w14:paraId="648BF5A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4.06</w:t>
            </w:r>
          </w:p>
        </w:tc>
        <w:tc>
          <w:tcPr>
            <w:tcW w:w="0" w:type="auto"/>
            <w:tcBorders>
              <w:top w:val="nil"/>
              <w:left w:val="nil"/>
              <w:bottom w:val="nil"/>
              <w:right w:val="nil"/>
            </w:tcBorders>
            <w:shd w:val="clear" w:color="000000" w:fill="FFFFFF"/>
            <w:hideMark/>
          </w:tcPr>
          <w:p w14:paraId="685CFB1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4.07</w:t>
            </w:r>
          </w:p>
        </w:tc>
        <w:tc>
          <w:tcPr>
            <w:tcW w:w="0" w:type="auto"/>
            <w:tcBorders>
              <w:top w:val="nil"/>
              <w:left w:val="nil"/>
              <w:bottom w:val="nil"/>
              <w:right w:val="nil"/>
            </w:tcBorders>
            <w:shd w:val="clear" w:color="000000" w:fill="FFFFFF"/>
            <w:hideMark/>
          </w:tcPr>
          <w:p w14:paraId="521963E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3.44</w:t>
            </w:r>
          </w:p>
        </w:tc>
        <w:tc>
          <w:tcPr>
            <w:tcW w:w="0" w:type="auto"/>
            <w:tcBorders>
              <w:top w:val="nil"/>
              <w:left w:val="nil"/>
              <w:bottom w:val="nil"/>
              <w:right w:val="nil"/>
            </w:tcBorders>
            <w:shd w:val="clear" w:color="000000" w:fill="FFFFFF"/>
            <w:hideMark/>
          </w:tcPr>
          <w:p w14:paraId="331A070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3.30</w:t>
            </w:r>
          </w:p>
        </w:tc>
        <w:tc>
          <w:tcPr>
            <w:tcW w:w="0" w:type="auto"/>
            <w:tcBorders>
              <w:top w:val="nil"/>
              <w:left w:val="nil"/>
              <w:bottom w:val="nil"/>
              <w:right w:val="nil"/>
            </w:tcBorders>
            <w:shd w:val="clear" w:color="000000" w:fill="FFFFFF"/>
            <w:hideMark/>
          </w:tcPr>
          <w:p w14:paraId="088D8D2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2.90</w:t>
            </w:r>
          </w:p>
        </w:tc>
        <w:tc>
          <w:tcPr>
            <w:tcW w:w="0" w:type="auto"/>
            <w:tcBorders>
              <w:top w:val="nil"/>
              <w:left w:val="nil"/>
              <w:bottom w:val="nil"/>
              <w:right w:val="nil"/>
            </w:tcBorders>
            <w:shd w:val="clear" w:color="000000" w:fill="FFFFFF"/>
            <w:hideMark/>
          </w:tcPr>
          <w:p w14:paraId="396C448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3.34</w:t>
            </w:r>
          </w:p>
        </w:tc>
        <w:tc>
          <w:tcPr>
            <w:tcW w:w="0" w:type="auto"/>
            <w:tcBorders>
              <w:top w:val="nil"/>
              <w:left w:val="nil"/>
              <w:bottom w:val="nil"/>
            </w:tcBorders>
            <w:shd w:val="clear" w:color="000000" w:fill="FFFFFF"/>
            <w:hideMark/>
          </w:tcPr>
          <w:p w14:paraId="098D5CC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2.03</w:t>
            </w:r>
          </w:p>
        </w:tc>
      </w:tr>
      <w:tr w:rsidR="00462FB9" w:rsidRPr="000B5C54" w14:paraId="0DAD19D9" w14:textId="77777777" w:rsidTr="00CC5021">
        <w:trPr>
          <w:trHeight w:hRule="exact" w:val="340"/>
        </w:trPr>
        <w:tc>
          <w:tcPr>
            <w:tcW w:w="1707" w:type="dxa"/>
            <w:vMerge/>
            <w:hideMark/>
          </w:tcPr>
          <w:p w14:paraId="372D4018"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5E00A36C"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referrals)</w:t>
            </w:r>
          </w:p>
        </w:tc>
        <w:tc>
          <w:tcPr>
            <w:tcW w:w="0" w:type="auto"/>
            <w:tcBorders>
              <w:top w:val="nil"/>
              <w:bottom w:val="nil"/>
              <w:right w:val="nil"/>
            </w:tcBorders>
            <w:shd w:val="clear" w:color="000000" w:fill="FFFFFF"/>
            <w:hideMark/>
          </w:tcPr>
          <w:p w14:paraId="598A43B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19.14</w:t>
            </w:r>
          </w:p>
        </w:tc>
        <w:tc>
          <w:tcPr>
            <w:tcW w:w="0" w:type="auto"/>
            <w:tcBorders>
              <w:top w:val="nil"/>
              <w:left w:val="nil"/>
              <w:bottom w:val="nil"/>
              <w:right w:val="nil"/>
            </w:tcBorders>
            <w:shd w:val="clear" w:color="000000" w:fill="FFFFFF"/>
            <w:hideMark/>
          </w:tcPr>
          <w:p w14:paraId="2855C43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23.12</w:t>
            </w:r>
          </w:p>
        </w:tc>
        <w:tc>
          <w:tcPr>
            <w:tcW w:w="0" w:type="auto"/>
            <w:tcBorders>
              <w:top w:val="nil"/>
              <w:left w:val="nil"/>
              <w:bottom w:val="nil"/>
              <w:right w:val="nil"/>
            </w:tcBorders>
            <w:shd w:val="clear" w:color="000000" w:fill="FFFFFF"/>
            <w:hideMark/>
          </w:tcPr>
          <w:p w14:paraId="7D56276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24.43</w:t>
            </w:r>
          </w:p>
        </w:tc>
        <w:tc>
          <w:tcPr>
            <w:tcW w:w="0" w:type="auto"/>
            <w:tcBorders>
              <w:top w:val="nil"/>
              <w:left w:val="nil"/>
              <w:bottom w:val="nil"/>
              <w:right w:val="nil"/>
            </w:tcBorders>
            <w:shd w:val="clear" w:color="000000" w:fill="FFFFFF"/>
            <w:hideMark/>
          </w:tcPr>
          <w:p w14:paraId="6D33ADE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25.98</w:t>
            </w:r>
          </w:p>
        </w:tc>
        <w:tc>
          <w:tcPr>
            <w:tcW w:w="0" w:type="auto"/>
            <w:tcBorders>
              <w:top w:val="nil"/>
              <w:left w:val="nil"/>
              <w:bottom w:val="nil"/>
              <w:right w:val="nil"/>
            </w:tcBorders>
            <w:shd w:val="clear" w:color="000000" w:fill="FFFFFF"/>
            <w:hideMark/>
          </w:tcPr>
          <w:p w14:paraId="72A37C5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28.34</w:t>
            </w:r>
          </w:p>
        </w:tc>
        <w:tc>
          <w:tcPr>
            <w:tcW w:w="0" w:type="auto"/>
            <w:tcBorders>
              <w:top w:val="nil"/>
              <w:left w:val="nil"/>
              <w:bottom w:val="nil"/>
              <w:right w:val="nil"/>
            </w:tcBorders>
            <w:shd w:val="clear" w:color="000000" w:fill="FFFFFF"/>
            <w:hideMark/>
          </w:tcPr>
          <w:p w14:paraId="04E6E8F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29.28</w:t>
            </w:r>
          </w:p>
        </w:tc>
        <w:tc>
          <w:tcPr>
            <w:tcW w:w="0" w:type="auto"/>
            <w:tcBorders>
              <w:top w:val="nil"/>
              <w:left w:val="nil"/>
              <w:bottom w:val="nil"/>
              <w:right w:val="nil"/>
            </w:tcBorders>
            <w:shd w:val="clear" w:color="000000" w:fill="FFFFFF"/>
            <w:hideMark/>
          </w:tcPr>
          <w:p w14:paraId="2983CB8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30.65</w:t>
            </w:r>
          </w:p>
        </w:tc>
        <w:tc>
          <w:tcPr>
            <w:tcW w:w="0" w:type="auto"/>
            <w:tcBorders>
              <w:top w:val="nil"/>
              <w:left w:val="nil"/>
              <w:bottom w:val="nil"/>
              <w:right w:val="nil"/>
            </w:tcBorders>
            <w:shd w:val="clear" w:color="000000" w:fill="FFFFFF"/>
            <w:hideMark/>
          </w:tcPr>
          <w:p w14:paraId="4022FF2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32.02</w:t>
            </w:r>
          </w:p>
        </w:tc>
        <w:tc>
          <w:tcPr>
            <w:tcW w:w="0" w:type="auto"/>
            <w:tcBorders>
              <w:top w:val="nil"/>
              <w:left w:val="nil"/>
              <w:bottom w:val="nil"/>
              <w:right w:val="nil"/>
            </w:tcBorders>
            <w:shd w:val="clear" w:color="000000" w:fill="FFFFFF"/>
            <w:hideMark/>
          </w:tcPr>
          <w:p w14:paraId="19A3A5E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35.31</w:t>
            </w:r>
          </w:p>
        </w:tc>
        <w:tc>
          <w:tcPr>
            <w:tcW w:w="0" w:type="auto"/>
            <w:tcBorders>
              <w:top w:val="nil"/>
              <w:left w:val="nil"/>
              <w:bottom w:val="nil"/>
              <w:right w:val="nil"/>
            </w:tcBorders>
            <w:shd w:val="clear" w:color="000000" w:fill="FFFFFF"/>
            <w:hideMark/>
          </w:tcPr>
          <w:p w14:paraId="362173B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35.22</w:t>
            </w:r>
          </w:p>
        </w:tc>
        <w:tc>
          <w:tcPr>
            <w:tcW w:w="0" w:type="auto"/>
            <w:tcBorders>
              <w:top w:val="nil"/>
              <w:left w:val="nil"/>
              <w:bottom w:val="nil"/>
              <w:right w:val="nil"/>
            </w:tcBorders>
            <w:shd w:val="clear" w:color="000000" w:fill="FFFFFF"/>
            <w:hideMark/>
          </w:tcPr>
          <w:p w14:paraId="3C617F5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34.34</w:t>
            </w:r>
          </w:p>
        </w:tc>
        <w:tc>
          <w:tcPr>
            <w:tcW w:w="0" w:type="auto"/>
            <w:tcBorders>
              <w:top w:val="nil"/>
              <w:left w:val="nil"/>
              <w:bottom w:val="nil"/>
            </w:tcBorders>
            <w:shd w:val="clear" w:color="000000" w:fill="FFFFFF"/>
            <w:hideMark/>
          </w:tcPr>
          <w:p w14:paraId="035FCFA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33.85</w:t>
            </w:r>
          </w:p>
        </w:tc>
      </w:tr>
      <w:tr w:rsidR="00462FB9" w:rsidRPr="000B5C54" w14:paraId="629F33AC" w14:textId="77777777" w:rsidTr="00CC5021">
        <w:trPr>
          <w:trHeight w:hRule="exact" w:val="308"/>
        </w:trPr>
        <w:tc>
          <w:tcPr>
            <w:tcW w:w="1707" w:type="dxa"/>
            <w:vMerge/>
            <w:hideMark/>
          </w:tcPr>
          <w:p w14:paraId="44C562D0"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single" w:sz="4" w:space="0" w:color="auto"/>
            </w:tcBorders>
            <w:shd w:val="clear" w:color="000000" w:fill="FFFFFF"/>
            <w:hideMark/>
          </w:tcPr>
          <w:p w14:paraId="636C9C41"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attenders)</w:t>
            </w:r>
          </w:p>
        </w:tc>
        <w:tc>
          <w:tcPr>
            <w:tcW w:w="0" w:type="auto"/>
            <w:tcBorders>
              <w:top w:val="nil"/>
              <w:bottom w:val="single" w:sz="4" w:space="0" w:color="auto"/>
              <w:right w:val="nil"/>
            </w:tcBorders>
            <w:shd w:val="clear" w:color="000000" w:fill="FFFFFF"/>
            <w:hideMark/>
          </w:tcPr>
          <w:p w14:paraId="58B3498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33.20</w:t>
            </w:r>
          </w:p>
        </w:tc>
        <w:tc>
          <w:tcPr>
            <w:tcW w:w="0" w:type="auto"/>
            <w:tcBorders>
              <w:top w:val="nil"/>
              <w:left w:val="nil"/>
              <w:bottom w:val="single" w:sz="4" w:space="0" w:color="auto"/>
              <w:right w:val="nil"/>
            </w:tcBorders>
            <w:shd w:val="clear" w:color="000000" w:fill="FFFFFF"/>
            <w:hideMark/>
          </w:tcPr>
          <w:p w14:paraId="7118605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40.32</w:t>
            </w:r>
          </w:p>
        </w:tc>
        <w:tc>
          <w:tcPr>
            <w:tcW w:w="0" w:type="auto"/>
            <w:tcBorders>
              <w:top w:val="nil"/>
              <w:left w:val="nil"/>
              <w:bottom w:val="single" w:sz="4" w:space="0" w:color="auto"/>
              <w:right w:val="nil"/>
            </w:tcBorders>
            <w:shd w:val="clear" w:color="000000" w:fill="FFFFFF"/>
            <w:hideMark/>
          </w:tcPr>
          <w:p w14:paraId="4F34A81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40.16</w:t>
            </w:r>
          </w:p>
        </w:tc>
        <w:tc>
          <w:tcPr>
            <w:tcW w:w="0" w:type="auto"/>
            <w:tcBorders>
              <w:top w:val="nil"/>
              <w:left w:val="nil"/>
              <w:bottom w:val="single" w:sz="4" w:space="0" w:color="auto"/>
              <w:right w:val="nil"/>
            </w:tcBorders>
            <w:shd w:val="clear" w:color="000000" w:fill="FFFFFF"/>
            <w:hideMark/>
          </w:tcPr>
          <w:p w14:paraId="32218D7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40.39</w:t>
            </w:r>
          </w:p>
        </w:tc>
        <w:tc>
          <w:tcPr>
            <w:tcW w:w="0" w:type="auto"/>
            <w:tcBorders>
              <w:top w:val="nil"/>
              <w:left w:val="nil"/>
              <w:bottom w:val="single" w:sz="4" w:space="0" w:color="auto"/>
              <w:right w:val="nil"/>
            </w:tcBorders>
            <w:shd w:val="clear" w:color="000000" w:fill="FFFFFF"/>
            <w:hideMark/>
          </w:tcPr>
          <w:p w14:paraId="4C3BF10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42.19</w:t>
            </w:r>
          </w:p>
        </w:tc>
        <w:tc>
          <w:tcPr>
            <w:tcW w:w="0" w:type="auto"/>
            <w:tcBorders>
              <w:top w:val="nil"/>
              <w:left w:val="nil"/>
              <w:bottom w:val="single" w:sz="4" w:space="0" w:color="auto"/>
              <w:right w:val="nil"/>
            </w:tcBorders>
            <w:shd w:val="clear" w:color="000000" w:fill="FFFFFF"/>
            <w:hideMark/>
          </w:tcPr>
          <w:p w14:paraId="329A969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42.64</w:t>
            </w:r>
          </w:p>
        </w:tc>
        <w:tc>
          <w:tcPr>
            <w:tcW w:w="0" w:type="auto"/>
            <w:tcBorders>
              <w:top w:val="nil"/>
              <w:left w:val="nil"/>
              <w:bottom w:val="single" w:sz="4" w:space="0" w:color="auto"/>
              <w:right w:val="nil"/>
            </w:tcBorders>
            <w:shd w:val="clear" w:color="000000" w:fill="FFFFFF"/>
            <w:hideMark/>
          </w:tcPr>
          <w:p w14:paraId="6F904B7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42.55</w:t>
            </w:r>
          </w:p>
        </w:tc>
        <w:tc>
          <w:tcPr>
            <w:tcW w:w="0" w:type="auto"/>
            <w:tcBorders>
              <w:top w:val="nil"/>
              <w:left w:val="nil"/>
              <w:bottom w:val="single" w:sz="4" w:space="0" w:color="auto"/>
              <w:right w:val="nil"/>
            </w:tcBorders>
            <w:shd w:val="clear" w:color="000000" w:fill="FFFFFF"/>
            <w:hideMark/>
          </w:tcPr>
          <w:p w14:paraId="0DACE76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43.94</w:t>
            </w:r>
          </w:p>
        </w:tc>
        <w:tc>
          <w:tcPr>
            <w:tcW w:w="0" w:type="auto"/>
            <w:tcBorders>
              <w:top w:val="nil"/>
              <w:left w:val="nil"/>
              <w:bottom w:val="single" w:sz="4" w:space="0" w:color="auto"/>
              <w:right w:val="nil"/>
            </w:tcBorders>
            <w:shd w:val="clear" w:color="000000" w:fill="FFFFFF"/>
            <w:hideMark/>
          </w:tcPr>
          <w:p w14:paraId="3D374BE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46.00</w:t>
            </w:r>
          </w:p>
        </w:tc>
        <w:tc>
          <w:tcPr>
            <w:tcW w:w="0" w:type="auto"/>
            <w:tcBorders>
              <w:top w:val="nil"/>
              <w:left w:val="nil"/>
              <w:bottom w:val="single" w:sz="4" w:space="0" w:color="auto"/>
              <w:right w:val="nil"/>
            </w:tcBorders>
            <w:shd w:val="clear" w:color="000000" w:fill="FFFFFF"/>
            <w:hideMark/>
          </w:tcPr>
          <w:p w14:paraId="0D67370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45.75</w:t>
            </w:r>
          </w:p>
        </w:tc>
        <w:tc>
          <w:tcPr>
            <w:tcW w:w="0" w:type="auto"/>
            <w:tcBorders>
              <w:top w:val="nil"/>
              <w:left w:val="nil"/>
              <w:bottom w:val="single" w:sz="4" w:space="0" w:color="auto"/>
              <w:right w:val="nil"/>
            </w:tcBorders>
            <w:shd w:val="clear" w:color="000000" w:fill="FFFFFF"/>
            <w:hideMark/>
          </w:tcPr>
          <w:p w14:paraId="4BB5FEA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44.93</w:t>
            </w:r>
          </w:p>
        </w:tc>
        <w:tc>
          <w:tcPr>
            <w:tcW w:w="0" w:type="auto"/>
            <w:tcBorders>
              <w:top w:val="nil"/>
              <w:left w:val="nil"/>
              <w:bottom w:val="single" w:sz="4" w:space="0" w:color="auto"/>
            </w:tcBorders>
            <w:shd w:val="clear" w:color="000000" w:fill="FFFFFF"/>
            <w:hideMark/>
          </w:tcPr>
          <w:p w14:paraId="1FF7059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45.52</w:t>
            </w:r>
          </w:p>
        </w:tc>
      </w:tr>
      <w:tr w:rsidR="00462FB9" w:rsidRPr="000B5C54" w14:paraId="1C292CFD" w14:textId="77777777" w:rsidTr="00CC5021">
        <w:trPr>
          <w:trHeight w:hRule="exact" w:val="340"/>
        </w:trPr>
        <w:tc>
          <w:tcPr>
            <w:tcW w:w="1707" w:type="dxa"/>
            <w:vMerge w:val="restart"/>
            <w:shd w:val="clear" w:color="000000" w:fill="FFFFFF"/>
            <w:hideMark/>
          </w:tcPr>
          <w:p w14:paraId="108E2CF2"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Reliable</w:t>
            </w:r>
          </w:p>
          <w:p w14:paraId="395F0320"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r w:rsidRPr="000B5C54">
              <w:rPr>
                <w:rFonts w:ascii="Times New Roman" w:eastAsia="Times New Roman" w:hAnsi="Times New Roman" w:cs="Times New Roman"/>
                <w:b/>
                <w:bCs/>
                <w:color w:val="000000"/>
                <w:sz w:val="18"/>
                <w:szCs w:val="21"/>
                <w:lang w:eastAsia="zh-CN"/>
              </w:rPr>
              <w:t>improvement</w:t>
            </w:r>
          </w:p>
        </w:tc>
        <w:tc>
          <w:tcPr>
            <w:tcW w:w="1649" w:type="dxa"/>
            <w:tcBorders>
              <w:bottom w:val="nil"/>
            </w:tcBorders>
            <w:shd w:val="clear" w:color="000000" w:fill="FFFFFF"/>
            <w:hideMark/>
          </w:tcPr>
          <w:p w14:paraId="0D07B9D8"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(count)</w:t>
            </w:r>
          </w:p>
        </w:tc>
        <w:tc>
          <w:tcPr>
            <w:tcW w:w="0" w:type="auto"/>
            <w:tcBorders>
              <w:bottom w:val="nil"/>
              <w:right w:val="nil"/>
            </w:tcBorders>
            <w:shd w:val="clear" w:color="000000" w:fill="FFFFFF"/>
            <w:hideMark/>
          </w:tcPr>
          <w:p w14:paraId="7C71576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263</w:t>
            </w:r>
          </w:p>
        </w:tc>
        <w:tc>
          <w:tcPr>
            <w:tcW w:w="0" w:type="auto"/>
            <w:tcBorders>
              <w:left w:val="nil"/>
              <w:bottom w:val="nil"/>
              <w:right w:val="nil"/>
            </w:tcBorders>
            <w:shd w:val="clear" w:color="000000" w:fill="FFFFFF"/>
            <w:hideMark/>
          </w:tcPr>
          <w:p w14:paraId="2333E72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884</w:t>
            </w:r>
          </w:p>
        </w:tc>
        <w:tc>
          <w:tcPr>
            <w:tcW w:w="0" w:type="auto"/>
            <w:tcBorders>
              <w:left w:val="nil"/>
              <w:bottom w:val="nil"/>
              <w:right w:val="nil"/>
            </w:tcBorders>
            <w:shd w:val="clear" w:color="000000" w:fill="FFFFFF"/>
            <w:hideMark/>
          </w:tcPr>
          <w:p w14:paraId="1936EAF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983</w:t>
            </w:r>
          </w:p>
        </w:tc>
        <w:tc>
          <w:tcPr>
            <w:tcW w:w="0" w:type="auto"/>
            <w:tcBorders>
              <w:left w:val="nil"/>
              <w:bottom w:val="nil"/>
              <w:right w:val="nil"/>
            </w:tcBorders>
            <w:shd w:val="clear" w:color="000000" w:fill="FFFFFF"/>
            <w:hideMark/>
          </w:tcPr>
          <w:p w14:paraId="6AE15AA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994</w:t>
            </w:r>
          </w:p>
        </w:tc>
        <w:tc>
          <w:tcPr>
            <w:tcW w:w="0" w:type="auto"/>
            <w:tcBorders>
              <w:left w:val="nil"/>
              <w:bottom w:val="nil"/>
              <w:right w:val="nil"/>
            </w:tcBorders>
            <w:shd w:val="clear" w:color="000000" w:fill="FFFFFF"/>
            <w:hideMark/>
          </w:tcPr>
          <w:p w14:paraId="6260813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1,121</w:t>
            </w:r>
          </w:p>
        </w:tc>
        <w:tc>
          <w:tcPr>
            <w:tcW w:w="0" w:type="auto"/>
            <w:tcBorders>
              <w:left w:val="nil"/>
              <w:bottom w:val="nil"/>
              <w:right w:val="nil"/>
            </w:tcBorders>
            <w:shd w:val="clear" w:color="000000" w:fill="FFFFFF"/>
            <w:hideMark/>
          </w:tcPr>
          <w:p w14:paraId="2B4A7AF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1,269</w:t>
            </w:r>
          </w:p>
        </w:tc>
        <w:tc>
          <w:tcPr>
            <w:tcW w:w="0" w:type="auto"/>
            <w:tcBorders>
              <w:left w:val="nil"/>
              <w:bottom w:val="nil"/>
              <w:right w:val="nil"/>
            </w:tcBorders>
            <w:shd w:val="clear" w:color="000000" w:fill="FFFFFF"/>
            <w:hideMark/>
          </w:tcPr>
          <w:p w14:paraId="635B467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1,143</w:t>
            </w:r>
          </w:p>
        </w:tc>
        <w:tc>
          <w:tcPr>
            <w:tcW w:w="0" w:type="auto"/>
            <w:tcBorders>
              <w:left w:val="nil"/>
              <w:bottom w:val="nil"/>
              <w:right w:val="nil"/>
            </w:tcBorders>
            <w:shd w:val="clear" w:color="000000" w:fill="FFFFFF"/>
            <w:hideMark/>
          </w:tcPr>
          <w:p w14:paraId="3FAB380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906</w:t>
            </w:r>
          </w:p>
        </w:tc>
        <w:tc>
          <w:tcPr>
            <w:tcW w:w="0" w:type="auto"/>
            <w:tcBorders>
              <w:left w:val="nil"/>
              <w:bottom w:val="nil"/>
              <w:right w:val="nil"/>
            </w:tcBorders>
            <w:shd w:val="clear" w:color="000000" w:fill="FFFFFF"/>
            <w:hideMark/>
          </w:tcPr>
          <w:p w14:paraId="2691DEA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789</w:t>
            </w:r>
          </w:p>
        </w:tc>
        <w:tc>
          <w:tcPr>
            <w:tcW w:w="0" w:type="auto"/>
            <w:tcBorders>
              <w:left w:val="nil"/>
              <w:bottom w:val="nil"/>
              <w:right w:val="nil"/>
            </w:tcBorders>
            <w:shd w:val="clear" w:color="000000" w:fill="FFFFFF"/>
            <w:hideMark/>
          </w:tcPr>
          <w:p w14:paraId="451792A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560</w:t>
            </w:r>
          </w:p>
        </w:tc>
        <w:tc>
          <w:tcPr>
            <w:tcW w:w="0" w:type="auto"/>
            <w:tcBorders>
              <w:left w:val="nil"/>
              <w:bottom w:val="nil"/>
              <w:right w:val="nil"/>
            </w:tcBorders>
            <w:shd w:val="clear" w:color="000000" w:fill="FFFFFF"/>
            <w:hideMark/>
          </w:tcPr>
          <w:p w14:paraId="3461A5F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368</w:t>
            </w:r>
          </w:p>
        </w:tc>
        <w:tc>
          <w:tcPr>
            <w:tcW w:w="0" w:type="auto"/>
            <w:tcBorders>
              <w:left w:val="nil"/>
              <w:bottom w:val="nil"/>
            </w:tcBorders>
            <w:shd w:val="clear" w:color="000000" w:fill="FFFFFF"/>
            <w:hideMark/>
          </w:tcPr>
          <w:p w14:paraId="2128253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135</w:t>
            </w:r>
          </w:p>
        </w:tc>
      </w:tr>
      <w:tr w:rsidR="00462FB9" w:rsidRPr="000B5C54" w14:paraId="2279A52F" w14:textId="77777777" w:rsidTr="00CC5021">
        <w:trPr>
          <w:trHeight w:hRule="exact" w:val="340"/>
        </w:trPr>
        <w:tc>
          <w:tcPr>
            <w:tcW w:w="1707" w:type="dxa"/>
            <w:vMerge/>
            <w:hideMark/>
          </w:tcPr>
          <w:p w14:paraId="72AFB69B"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59FD4A33"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pop)</w:t>
            </w:r>
          </w:p>
        </w:tc>
        <w:tc>
          <w:tcPr>
            <w:tcW w:w="0" w:type="auto"/>
            <w:tcBorders>
              <w:top w:val="nil"/>
              <w:bottom w:val="nil"/>
              <w:right w:val="nil"/>
            </w:tcBorders>
            <w:shd w:val="clear" w:color="000000" w:fill="FFFFFF"/>
            <w:hideMark/>
          </w:tcPr>
          <w:p w14:paraId="651463F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0.10</w:t>
            </w:r>
          </w:p>
        </w:tc>
        <w:tc>
          <w:tcPr>
            <w:tcW w:w="0" w:type="auto"/>
            <w:tcBorders>
              <w:top w:val="nil"/>
              <w:left w:val="nil"/>
              <w:bottom w:val="nil"/>
              <w:right w:val="nil"/>
            </w:tcBorders>
            <w:shd w:val="clear" w:color="000000" w:fill="FFFFFF"/>
            <w:hideMark/>
          </w:tcPr>
          <w:p w14:paraId="5A4BC19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0.30</w:t>
            </w:r>
          </w:p>
        </w:tc>
        <w:tc>
          <w:tcPr>
            <w:tcW w:w="0" w:type="auto"/>
            <w:tcBorders>
              <w:top w:val="nil"/>
              <w:left w:val="nil"/>
              <w:bottom w:val="nil"/>
              <w:right w:val="nil"/>
            </w:tcBorders>
            <w:shd w:val="clear" w:color="000000" w:fill="FFFFFF"/>
            <w:hideMark/>
          </w:tcPr>
          <w:p w14:paraId="274F776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0.38</w:t>
            </w:r>
          </w:p>
        </w:tc>
        <w:tc>
          <w:tcPr>
            <w:tcW w:w="0" w:type="auto"/>
            <w:tcBorders>
              <w:top w:val="nil"/>
              <w:left w:val="nil"/>
              <w:bottom w:val="nil"/>
              <w:right w:val="nil"/>
            </w:tcBorders>
            <w:shd w:val="clear" w:color="000000" w:fill="FFFFFF"/>
            <w:hideMark/>
          </w:tcPr>
          <w:p w14:paraId="2EA5972C"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0.33</w:t>
            </w:r>
          </w:p>
        </w:tc>
        <w:tc>
          <w:tcPr>
            <w:tcW w:w="0" w:type="auto"/>
            <w:tcBorders>
              <w:top w:val="nil"/>
              <w:left w:val="nil"/>
              <w:bottom w:val="nil"/>
              <w:right w:val="nil"/>
            </w:tcBorders>
            <w:shd w:val="clear" w:color="000000" w:fill="FFFFFF"/>
            <w:hideMark/>
          </w:tcPr>
          <w:p w14:paraId="21A52F2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0.32</w:t>
            </w:r>
          </w:p>
        </w:tc>
        <w:tc>
          <w:tcPr>
            <w:tcW w:w="0" w:type="auto"/>
            <w:tcBorders>
              <w:top w:val="nil"/>
              <w:left w:val="nil"/>
              <w:bottom w:val="nil"/>
              <w:right w:val="nil"/>
            </w:tcBorders>
            <w:shd w:val="clear" w:color="000000" w:fill="FFFFFF"/>
            <w:hideMark/>
          </w:tcPr>
          <w:p w14:paraId="590EBF8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0.35</w:t>
            </w:r>
          </w:p>
        </w:tc>
        <w:tc>
          <w:tcPr>
            <w:tcW w:w="0" w:type="auto"/>
            <w:tcBorders>
              <w:top w:val="nil"/>
              <w:left w:val="nil"/>
              <w:bottom w:val="nil"/>
              <w:right w:val="nil"/>
            </w:tcBorders>
            <w:shd w:val="clear" w:color="000000" w:fill="FFFFFF"/>
            <w:hideMark/>
          </w:tcPr>
          <w:p w14:paraId="25D6D8D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0.35</w:t>
            </w:r>
          </w:p>
        </w:tc>
        <w:tc>
          <w:tcPr>
            <w:tcW w:w="0" w:type="auto"/>
            <w:tcBorders>
              <w:top w:val="nil"/>
              <w:left w:val="nil"/>
              <w:bottom w:val="nil"/>
              <w:right w:val="nil"/>
            </w:tcBorders>
            <w:shd w:val="clear" w:color="000000" w:fill="FFFFFF"/>
            <w:hideMark/>
          </w:tcPr>
          <w:p w14:paraId="3E49836D"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0.29</w:t>
            </w:r>
          </w:p>
        </w:tc>
        <w:tc>
          <w:tcPr>
            <w:tcW w:w="0" w:type="auto"/>
            <w:tcBorders>
              <w:top w:val="nil"/>
              <w:left w:val="nil"/>
              <w:bottom w:val="nil"/>
              <w:right w:val="nil"/>
            </w:tcBorders>
            <w:shd w:val="clear" w:color="000000" w:fill="FFFFFF"/>
            <w:hideMark/>
          </w:tcPr>
          <w:p w14:paraId="2543C5D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0.23</w:t>
            </w:r>
          </w:p>
        </w:tc>
        <w:tc>
          <w:tcPr>
            <w:tcW w:w="0" w:type="auto"/>
            <w:tcBorders>
              <w:top w:val="nil"/>
              <w:left w:val="nil"/>
              <w:bottom w:val="nil"/>
              <w:right w:val="nil"/>
            </w:tcBorders>
            <w:shd w:val="clear" w:color="000000" w:fill="FFFFFF"/>
            <w:hideMark/>
          </w:tcPr>
          <w:p w14:paraId="34098965"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0.20</w:t>
            </w:r>
          </w:p>
        </w:tc>
        <w:tc>
          <w:tcPr>
            <w:tcW w:w="0" w:type="auto"/>
            <w:tcBorders>
              <w:top w:val="nil"/>
              <w:left w:val="nil"/>
              <w:bottom w:val="nil"/>
              <w:right w:val="nil"/>
            </w:tcBorders>
            <w:shd w:val="clear" w:color="000000" w:fill="FFFFFF"/>
            <w:hideMark/>
          </w:tcPr>
          <w:p w14:paraId="6CE8BBA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0.15</w:t>
            </w:r>
          </w:p>
        </w:tc>
        <w:tc>
          <w:tcPr>
            <w:tcW w:w="0" w:type="auto"/>
            <w:tcBorders>
              <w:top w:val="nil"/>
              <w:left w:val="nil"/>
              <w:bottom w:val="nil"/>
            </w:tcBorders>
            <w:shd w:val="clear" w:color="000000" w:fill="FFFFFF"/>
            <w:hideMark/>
          </w:tcPr>
          <w:p w14:paraId="37751A2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0.06</w:t>
            </w:r>
          </w:p>
        </w:tc>
      </w:tr>
      <w:tr w:rsidR="00462FB9" w:rsidRPr="000B5C54" w14:paraId="3258971B" w14:textId="77777777" w:rsidTr="00CC5021">
        <w:trPr>
          <w:trHeight w:hRule="exact" w:val="526"/>
        </w:trPr>
        <w:tc>
          <w:tcPr>
            <w:tcW w:w="1707" w:type="dxa"/>
            <w:vMerge/>
            <w:hideMark/>
          </w:tcPr>
          <w:p w14:paraId="2FC2D371"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603667F2"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CMHP cases)</w:t>
            </w:r>
          </w:p>
        </w:tc>
        <w:tc>
          <w:tcPr>
            <w:tcW w:w="0" w:type="auto"/>
            <w:tcBorders>
              <w:top w:val="nil"/>
              <w:bottom w:val="nil"/>
              <w:right w:val="nil"/>
            </w:tcBorders>
            <w:shd w:val="clear" w:color="000000" w:fill="FFFFFF"/>
            <w:hideMark/>
          </w:tcPr>
          <w:p w14:paraId="223E9D36"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0.75</w:t>
            </w:r>
          </w:p>
        </w:tc>
        <w:tc>
          <w:tcPr>
            <w:tcW w:w="0" w:type="auto"/>
            <w:tcBorders>
              <w:top w:val="nil"/>
              <w:left w:val="nil"/>
              <w:bottom w:val="nil"/>
              <w:right w:val="nil"/>
            </w:tcBorders>
            <w:shd w:val="clear" w:color="000000" w:fill="FFFFFF"/>
            <w:hideMark/>
          </w:tcPr>
          <w:p w14:paraId="5721E27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1.97</w:t>
            </w:r>
          </w:p>
        </w:tc>
        <w:tc>
          <w:tcPr>
            <w:tcW w:w="0" w:type="auto"/>
            <w:tcBorders>
              <w:top w:val="nil"/>
              <w:left w:val="nil"/>
              <w:bottom w:val="nil"/>
              <w:right w:val="nil"/>
            </w:tcBorders>
            <w:shd w:val="clear" w:color="000000" w:fill="FFFFFF"/>
            <w:hideMark/>
          </w:tcPr>
          <w:p w14:paraId="49FA558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2.00</w:t>
            </w:r>
          </w:p>
        </w:tc>
        <w:tc>
          <w:tcPr>
            <w:tcW w:w="0" w:type="auto"/>
            <w:tcBorders>
              <w:top w:val="nil"/>
              <w:left w:val="nil"/>
              <w:bottom w:val="nil"/>
              <w:right w:val="nil"/>
            </w:tcBorders>
            <w:shd w:val="clear" w:color="000000" w:fill="FFFFFF"/>
            <w:hideMark/>
          </w:tcPr>
          <w:p w14:paraId="23B136BA"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1.94</w:t>
            </w:r>
          </w:p>
        </w:tc>
        <w:tc>
          <w:tcPr>
            <w:tcW w:w="0" w:type="auto"/>
            <w:tcBorders>
              <w:top w:val="nil"/>
              <w:left w:val="nil"/>
              <w:bottom w:val="nil"/>
              <w:right w:val="nil"/>
            </w:tcBorders>
            <w:shd w:val="clear" w:color="000000" w:fill="FFFFFF"/>
            <w:hideMark/>
          </w:tcPr>
          <w:p w14:paraId="608D470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1.77</w:t>
            </w:r>
          </w:p>
        </w:tc>
        <w:tc>
          <w:tcPr>
            <w:tcW w:w="0" w:type="auto"/>
            <w:tcBorders>
              <w:top w:val="nil"/>
              <w:left w:val="nil"/>
              <w:bottom w:val="nil"/>
              <w:right w:val="nil"/>
            </w:tcBorders>
            <w:shd w:val="clear" w:color="000000" w:fill="FFFFFF"/>
            <w:hideMark/>
          </w:tcPr>
          <w:p w14:paraId="26E9A524"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1.75</w:t>
            </w:r>
          </w:p>
        </w:tc>
        <w:tc>
          <w:tcPr>
            <w:tcW w:w="0" w:type="auto"/>
            <w:tcBorders>
              <w:top w:val="nil"/>
              <w:left w:val="nil"/>
              <w:bottom w:val="nil"/>
              <w:right w:val="nil"/>
            </w:tcBorders>
            <w:shd w:val="clear" w:color="000000" w:fill="FFFFFF"/>
            <w:hideMark/>
          </w:tcPr>
          <w:p w14:paraId="6C711D4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1.71</w:t>
            </w:r>
          </w:p>
        </w:tc>
        <w:tc>
          <w:tcPr>
            <w:tcW w:w="0" w:type="auto"/>
            <w:tcBorders>
              <w:top w:val="nil"/>
              <w:left w:val="nil"/>
              <w:bottom w:val="nil"/>
              <w:right w:val="nil"/>
            </w:tcBorders>
            <w:shd w:val="clear" w:color="000000" w:fill="FFFFFF"/>
            <w:hideMark/>
          </w:tcPr>
          <w:p w14:paraId="4A7C5C3F"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1.46</w:t>
            </w:r>
          </w:p>
        </w:tc>
        <w:tc>
          <w:tcPr>
            <w:tcW w:w="0" w:type="auto"/>
            <w:tcBorders>
              <w:top w:val="nil"/>
              <w:left w:val="nil"/>
              <w:bottom w:val="nil"/>
              <w:right w:val="nil"/>
            </w:tcBorders>
            <w:shd w:val="clear" w:color="000000" w:fill="FFFFFF"/>
            <w:hideMark/>
          </w:tcPr>
          <w:p w14:paraId="1FEBACB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1.43</w:t>
            </w:r>
          </w:p>
        </w:tc>
        <w:tc>
          <w:tcPr>
            <w:tcW w:w="0" w:type="auto"/>
            <w:tcBorders>
              <w:top w:val="nil"/>
              <w:left w:val="nil"/>
              <w:bottom w:val="nil"/>
              <w:right w:val="nil"/>
            </w:tcBorders>
            <w:shd w:val="clear" w:color="000000" w:fill="FFFFFF"/>
            <w:hideMark/>
          </w:tcPr>
          <w:p w14:paraId="2F4CA09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1.28</w:t>
            </w:r>
          </w:p>
        </w:tc>
        <w:tc>
          <w:tcPr>
            <w:tcW w:w="0" w:type="auto"/>
            <w:tcBorders>
              <w:top w:val="nil"/>
              <w:left w:val="nil"/>
              <w:bottom w:val="nil"/>
              <w:right w:val="nil"/>
            </w:tcBorders>
            <w:shd w:val="clear" w:color="000000" w:fill="FFFFFF"/>
            <w:hideMark/>
          </w:tcPr>
          <w:p w14:paraId="29B8E991"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1.54</w:t>
            </w:r>
          </w:p>
        </w:tc>
        <w:tc>
          <w:tcPr>
            <w:tcW w:w="0" w:type="auto"/>
            <w:tcBorders>
              <w:top w:val="nil"/>
              <w:left w:val="nil"/>
              <w:bottom w:val="nil"/>
            </w:tcBorders>
            <w:shd w:val="clear" w:color="000000" w:fill="FFFFFF"/>
            <w:hideMark/>
          </w:tcPr>
          <w:p w14:paraId="35E5221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0.67</w:t>
            </w:r>
          </w:p>
        </w:tc>
      </w:tr>
      <w:tr w:rsidR="00462FB9" w:rsidRPr="000B5C54" w14:paraId="0F38B813" w14:textId="77777777" w:rsidTr="00CC5021">
        <w:trPr>
          <w:trHeight w:hRule="exact" w:val="340"/>
        </w:trPr>
        <w:tc>
          <w:tcPr>
            <w:tcW w:w="1707" w:type="dxa"/>
            <w:vMerge/>
            <w:hideMark/>
          </w:tcPr>
          <w:p w14:paraId="0BA9B1BE"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08146BB7"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referrals)</w:t>
            </w:r>
          </w:p>
        </w:tc>
        <w:tc>
          <w:tcPr>
            <w:tcW w:w="0" w:type="auto"/>
            <w:tcBorders>
              <w:top w:val="nil"/>
              <w:bottom w:val="nil"/>
              <w:right w:val="nil"/>
            </w:tcBorders>
            <w:shd w:val="clear" w:color="000000" w:fill="FFFFFF"/>
            <w:hideMark/>
          </w:tcPr>
          <w:p w14:paraId="12750CF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7.46</w:t>
            </w:r>
          </w:p>
        </w:tc>
        <w:tc>
          <w:tcPr>
            <w:tcW w:w="0" w:type="auto"/>
            <w:tcBorders>
              <w:top w:val="nil"/>
              <w:left w:val="nil"/>
              <w:bottom w:val="nil"/>
              <w:right w:val="nil"/>
            </w:tcBorders>
            <w:shd w:val="clear" w:color="000000" w:fill="FFFFFF"/>
            <w:hideMark/>
          </w:tcPr>
          <w:p w14:paraId="2F7F567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8.57</w:t>
            </w:r>
          </w:p>
        </w:tc>
        <w:tc>
          <w:tcPr>
            <w:tcW w:w="0" w:type="auto"/>
            <w:tcBorders>
              <w:top w:val="nil"/>
              <w:left w:val="nil"/>
              <w:bottom w:val="nil"/>
              <w:right w:val="nil"/>
            </w:tcBorders>
            <w:shd w:val="clear" w:color="000000" w:fill="FFFFFF"/>
            <w:hideMark/>
          </w:tcPr>
          <w:p w14:paraId="4325F5CB"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9.64</w:t>
            </w:r>
          </w:p>
        </w:tc>
        <w:tc>
          <w:tcPr>
            <w:tcW w:w="0" w:type="auto"/>
            <w:tcBorders>
              <w:top w:val="nil"/>
              <w:left w:val="nil"/>
              <w:bottom w:val="nil"/>
              <w:right w:val="nil"/>
            </w:tcBorders>
            <w:shd w:val="clear" w:color="000000" w:fill="FFFFFF"/>
            <w:hideMark/>
          </w:tcPr>
          <w:p w14:paraId="2253344E"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10.39</w:t>
            </w:r>
          </w:p>
        </w:tc>
        <w:tc>
          <w:tcPr>
            <w:tcW w:w="0" w:type="auto"/>
            <w:tcBorders>
              <w:top w:val="nil"/>
              <w:left w:val="nil"/>
              <w:bottom w:val="nil"/>
              <w:right w:val="nil"/>
            </w:tcBorders>
            <w:shd w:val="clear" w:color="000000" w:fill="FFFFFF"/>
            <w:hideMark/>
          </w:tcPr>
          <w:p w14:paraId="6D0A59B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11.70</w:t>
            </w:r>
          </w:p>
        </w:tc>
        <w:tc>
          <w:tcPr>
            <w:tcW w:w="0" w:type="auto"/>
            <w:tcBorders>
              <w:top w:val="nil"/>
              <w:left w:val="nil"/>
              <w:bottom w:val="nil"/>
              <w:right w:val="nil"/>
            </w:tcBorders>
            <w:shd w:val="clear" w:color="000000" w:fill="FFFFFF"/>
            <w:hideMark/>
          </w:tcPr>
          <w:p w14:paraId="4120C953"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12.60</w:t>
            </w:r>
          </w:p>
        </w:tc>
        <w:tc>
          <w:tcPr>
            <w:tcW w:w="0" w:type="auto"/>
            <w:tcBorders>
              <w:top w:val="nil"/>
              <w:left w:val="nil"/>
              <w:bottom w:val="nil"/>
              <w:right w:val="nil"/>
            </w:tcBorders>
            <w:shd w:val="clear" w:color="000000" w:fill="FFFFFF"/>
            <w:hideMark/>
          </w:tcPr>
          <w:p w14:paraId="21D85B22"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12.86</w:t>
            </w:r>
          </w:p>
        </w:tc>
        <w:tc>
          <w:tcPr>
            <w:tcW w:w="0" w:type="auto"/>
            <w:tcBorders>
              <w:top w:val="nil"/>
              <w:left w:val="nil"/>
              <w:bottom w:val="nil"/>
              <w:right w:val="nil"/>
            </w:tcBorders>
            <w:shd w:val="clear" w:color="000000" w:fill="FFFFFF"/>
            <w:hideMark/>
          </w:tcPr>
          <w:p w14:paraId="042CE30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13.56</w:t>
            </w:r>
          </w:p>
        </w:tc>
        <w:tc>
          <w:tcPr>
            <w:tcW w:w="0" w:type="auto"/>
            <w:tcBorders>
              <w:top w:val="nil"/>
              <w:left w:val="nil"/>
              <w:bottom w:val="nil"/>
              <w:right w:val="nil"/>
            </w:tcBorders>
            <w:shd w:val="clear" w:color="000000" w:fill="FFFFFF"/>
            <w:hideMark/>
          </w:tcPr>
          <w:p w14:paraId="490D1A97"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15.31</w:t>
            </w:r>
          </w:p>
        </w:tc>
        <w:tc>
          <w:tcPr>
            <w:tcW w:w="0" w:type="auto"/>
            <w:tcBorders>
              <w:top w:val="nil"/>
              <w:left w:val="nil"/>
              <w:bottom w:val="nil"/>
              <w:right w:val="nil"/>
            </w:tcBorders>
            <w:shd w:val="clear" w:color="000000" w:fill="FFFFFF"/>
            <w:hideMark/>
          </w:tcPr>
          <w:p w14:paraId="16C1F769"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15.58</w:t>
            </w:r>
          </w:p>
        </w:tc>
        <w:tc>
          <w:tcPr>
            <w:tcW w:w="0" w:type="auto"/>
            <w:tcBorders>
              <w:top w:val="nil"/>
              <w:left w:val="nil"/>
              <w:bottom w:val="nil"/>
              <w:right w:val="nil"/>
            </w:tcBorders>
            <w:shd w:val="clear" w:color="000000" w:fill="FFFFFF"/>
            <w:hideMark/>
          </w:tcPr>
          <w:p w14:paraId="2A3D47D8"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15.86</w:t>
            </w:r>
          </w:p>
        </w:tc>
        <w:tc>
          <w:tcPr>
            <w:tcW w:w="0" w:type="auto"/>
            <w:tcBorders>
              <w:top w:val="nil"/>
              <w:left w:val="nil"/>
              <w:bottom w:val="nil"/>
            </w:tcBorders>
            <w:shd w:val="clear" w:color="000000" w:fill="FFFFFF"/>
            <w:hideMark/>
          </w:tcPr>
          <w:p w14:paraId="0BF9F500" w14:textId="77777777" w:rsidR="00462FB9" w:rsidRPr="000B5C54" w:rsidRDefault="00462FB9" w:rsidP="00CC5021">
            <w:pPr>
              <w:spacing w:line="240" w:lineRule="auto"/>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11.09</w:t>
            </w:r>
          </w:p>
        </w:tc>
      </w:tr>
      <w:tr w:rsidR="00462FB9" w:rsidRPr="000B5C54" w14:paraId="157BBA25" w14:textId="77777777" w:rsidTr="00CC5021">
        <w:trPr>
          <w:trHeight w:hRule="exact" w:val="340"/>
        </w:trPr>
        <w:tc>
          <w:tcPr>
            <w:tcW w:w="1707" w:type="dxa"/>
            <w:vMerge/>
            <w:hideMark/>
          </w:tcPr>
          <w:p w14:paraId="0DFA77CA"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bottom w:val="nil"/>
            </w:tcBorders>
            <w:shd w:val="clear" w:color="000000" w:fill="FFFFFF"/>
            <w:hideMark/>
          </w:tcPr>
          <w:p w14:paraId="5CD22D6A"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attenders)</w:t>
            </w:r>
          </w:p>
        </w:tc>
        <w:tc>
          <w:tcPr>
            <w:tcW w:w="0" w:type="auto"/>
            <w:tcBorders>
              <w:top w:val="nil"/>
              <w:bottom w:val="nil"/>
              <w:right w:val="nil"/>
            </w:tcBorders>
            <w:shd w:val="clear" w:color="000000" w:fill="FFFFFF"/>
            <w:hideMark/>
          </w:tcPr>
          <w:p w14:paraId="06251BB8"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12.94</w:t>
            </w:r>
          </w:p>
        </w:tc>
        <w:tc>
          <w:tcPr>
            <w:tcW w:w="0" w:type="auto"/>
            <w:tcBorders>
              <w:top w:val="nil"/>
              <w:left w:val="nil"/>
              <w:bottom w:val="nil"/>
              <w:right w:val="nil"/>
            </w:tcBorders>
            <w:shd w:val="clear" w:color="000000" w:fill="FFFFFF"/>
            <w:hideMark/>
          </w:tcPr>
          <w:p w14:paraId="58A51E03"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14.95</w:t>
            </w:r>
          </w:p>
        </w:tc>
        <w:tc>
          <w:tcPr>
            <w:tcW w:w="0" w:type="auto"/>
            <w:tcBorders>
              <w:top w:val="nil"/>
              <w:left w:val="nil"/>
              <w:bottom w:val="nil"/>
              <w:right w:val="nil"/>
            </w:tcBorders>
            <w:shd w:val="clear" w:color="000000" w:fill="FFFFFF"/>
            <w:hideMark/>
          </w:tcPr>
          <w:p w14:paraId="517D2D75"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15.84</w:t>
            </w:r>
          </w:p>
        </w:tc>
        <w:tc>
          <w:tcPr>
            <w:tcW w:w="0" w:type="auto"/>
            <w:tcBorders>
              <w:top w:val="nil"/>
              <w:left w:val="nil"/>
              <w:bottom w:val="nil"/>
              <w:right w:val="nil"/>
            </w:tcBorders>
            <w:shd w:val="clear" w:color="000000" w:fill="FFFFFF"/>
            <w:hideMark/>
          </w:tcPr>
          <w:p w14:paraId="4A45CF93"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16.15</w:t>
            </w:r>
          </w:p>
        </w:tc>
        <w:tc>
          <w:tcPr>
            <w:tcW w:w="0" w:type="auto"/>
            <w:tcBorders>
              <w:top w:val="nil"/>
              <w:left w:val="nil"/>
              <w:bottom w:val="nil"/>
              <w:right w:val="nil"/>
            </w:tcBorders>
            <w:shd w:val="clear" w:color="000000" w:fill="FFFFFF"/>
            <w:hideMark/>
          </w:tcPr>
          <w:p w14:paraId="73390DB8"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17.41</w:t>
            </w:r>
          </w:p>
        </w:tc>
        <w:tc>
          <w:tcPr>
            <w:tcW w:w="0" w:type="auto"/>
            <w:tcBorders>
              <w:top w:val="nil"/>
              <w:left w:val="nil"/>
              <w:bottom w:val="nil"/>
              <w:right w:val="nil"/>
            </w:tcBorders>
            <w:shd w:val="clear" w:color="000000" w:fill="FFFFFF"/>
            <w:hideMark/>
          </w:tcPr>
          <w:p w14:paraId="6ED04B72"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18.35</w:t>
            </w:r>
          </w:p>
        </w:tc>
        <w:tc>
          <w:tcPr>
            <w:tcW w:w="0" w:type="auto"/>
            <w:tcBorders>
              <w:top w:val="nil"/>
              <w:left w:val="nil"/>
              <w:bottom w:val="nil"/>
              <w:right w:val="nil"/>
            </w:tcBorders>
            <w:shd w:val="clear" w:color="000000" w:fill="FFFFFF"/>
            <w:hideMark/>
          </w:tcPr>
          <w:p w14:paraId="47EB3B24"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17.86</w:t>
            </w:r>
          </w:p>
        </w:tc>
        <w:tc>
          <w:tcPr>
            <w:tcW w:w="0" w:type="auto"/>
            <w:tcBorders>
              <w:top w:val="nil"/>
              <w:left w:val="nil"/>
              <w:bottom w:val="nil"/>
              <w:right w:val="nil"/>
            </w:tcBorders>
            <w:shd w:val="clear" w:color="000000" w:fill="FFFFFF"/>
            <w:hideMark/>
          </w:tcPr>
          <w:p w14:paraId="2648AF1E"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18.61</w:t>
            </w:r>
          </w:p>
        </w:tc>
        <w:tc>
          <w:tcPr>
            <w:tcW w:w="0" w:type="auto"/>
            <w:tcBorders>
              <w:top w:val="nil"/>
              <w:left w:val="nil"/>
              <w:bottom w:val="nil"/>
              <w:right w:val="nil"/>
            </w:tcBorders>
            <w:shd w:val="clear" w:color="000000" w:fill="FFFFFF"/>
            <w:hideMark/>
          </w:tcPr>
          <w:p w14:paraId="4D72DFF9"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19.95</w:t>
            </w:r>
          </w:p>
        </w:tc>
        <w:tc>
          <w:tcPr>
            <w:tcW w:w="0" w:type="auto"/>
            <w:tcBorders>
              <w:top w:val="nil"/>
              <w:left w:val="nil"/>
              <w:bottom w:val="nil"/>
              <w:right w:val="nil"/>
            </w:tcBorders>
            <w:shd w:val="clear" w:color="000000" w:fill="FFFFFF"/>
            <w:hideMark/>
          </w:tcPr>
          <w:p w14:paraId="4B0737A3"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20.24</w:t>
            </w:r>
          </w:p>
        </w:tc>
        <w:tc>
          <w:tcPr>
            <w:tcW w:w="0" w:type="auto"/>
            <w:tcBorders>
              <w:top w:val="nil"/>
              <w:left w:val="nil"/>
              <w:bottom w:val="nil"/>
              <w:right w:val="nil"/>
            </w:tcBorders>
            <w:shd w:val="clear" w:color="000000" w:fill="FFFFFF"/>
            <w:hideMark/>
          </w:tcPr>
          <w:p w14:paraId="6EEE3C6F"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20.74</w:t>
            </w:r>
          </w:p>
        </w:tc>
        <w:tc>
          <w:tcPr>
            <w:tcW w:w="0" w:type="auto"/>
            <w:tcBorders>
              <w:top w:val="nil"/>
              <w:left w:val="nil"/>
              <w:bottom w:val="nil"/>
            </w:tcBorders>
            <w:shd w:val="clear" w:color="000000" w:fill="FFFFFF"/>
            <w:hideMark/>
          </w:tcPr>
          <w:p w14:paraId="44914E75"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14.92</w:t>
            </w:r>
          </w:p>
        </w:tc>
      </w:tr>
      <w:tr w:rsidR="00462FB9" w:rsidRPr="000B5C54" w14:paraId="3F786CDC" w14:textId="77777777" w:rsidTr="00CC5021">
        <w:trPr>
          <w:trHeight w:hRule="exact" w:val="256"/>
        </w:trPr>
        <w:tc>
          <w:tcPr>
            <w:tcW w:w="1707" w:type="dxa"/>
            <w:vMerge/>
            <w:hideMark/>
          </w:tcPr>
          <w:p w14:paraId="46A0D689" w14:textId="77777777" w:rsidR="00462FB9" w:rsidRPr="000B5C54" w:rsidRDefault="00462FB9" w:rsidP="00CC5021">
            <w:pPr>
              <w:spacing w:after="0" w:line="240" w:lineRule="auto"/>
              <w:rPr>
                <w:rFonts w:ascii="Times New Roman" w:eastAsia="Times New Roman" w:hAnsi="Times New Roman" w:cs="Times New Roman"/>
                <w:b/>
                <w:bCs/>
                <w:color w:val="000000"/>
                <w:sz w:val="18"/>
                <w:szCs w:val="21"/>
                <w:lang w:eastAsia="zh-CN"/>
              </w:rPr>
            </w:pPr>
          </w:p>
        </w:tc>
        <w:tc>
          <w:tcPr>
            <w:tcW w:w="1649" w:type="dxa"/>
            <w:tcBorders>
              <w:top w:val="nil"/>
            </w:tcBorders>
            <w:shd w:val="clear" w:color="000000" w:fill="FFFFFF"/>
            <w:hideMark/>
          </w:tcPr>
          <w:p w14:paraId="23532F58" w14:textId="77777777" w:rsidR="00462FB9" w:rsidRPr="000B5C54" w:rsidRDefault="00462FB9" w:rsidP="00CC5021">
            <w:pPr>
              <w:spacing w:after="0" w:line="240" w:lineRule="auto"/>
              <w:rPr>
                <w:rFonts w:ascii="Times New Roman" w:eastAsia="Times New Roman" w:hAnsi="Times New Roman" w:cs="Times New Roman"/>
                <w:i/>
                <w:iCs/>
                <w:color w:val="000000"/>
                <w:sz w:val="18"/>
                <w:szCs w:val="21"/>
                <w:lang w:eastAsia="zh-CN"/>
              </w:rPr>
            </w:pPr>
            <w:r w:rsidRPr="000B5C54">
              <w:rPr>
                <w:rFonts w:ascii="Times New Roman" w:eastAsia="Times New Roman" w:hAnsi="Times New Roman" w:cs="Times New Roman"/>
                <w:i/>
                <w:iCs/>
                <w:color w:val="000000"/>
                <w:sz w:val="18"/>
                <w:szCs w:val="21"/>
                <w:lang w:eastAsia="zh-CN"/>
              </w:rPr>
              <w:t>(% of completers)</w:t>
            </w:r>
          </w:p>
        </w:tc>
        <w:tc>
          <w:tcPr>
            <w:tcW w:w="0" w:type="auto"/>
            <w:tcBorders>
              <w:top w:val="nil"/>
              <w:right w:val="nil"/>
            </w:tcBorders>
            <w:shd w:val="clear" w:color="000000" w:fill="FFFFFF"/>
            <w:hideMark/>
          </w:tcPr>
          <w:p w14:paraId="494C1A2F"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38.96</w:t>
            </w:r>
          </w:p>
        </w:tc>
        <w:tc>
          <w:tcPr>
            <w:tcW w:w="0" w:type="auto"/>
            <w:tcBorders>
              <w:top w:val="nil"/>
              <w:left w:val="nil"/>
              <w:right w:val="nil"/>
            </w:tcBorders>
            <w:shd w:val="clear" w:color="000000" w:fill="FFFFFF"/>
            <w:hideMark/>
          </w:tcPr>
          <w:p w14:paraId="07956767"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37.08</w:t>
            </w:r>
          </w:p>
        </w:tc>
        <w:tc>
          <w:tcPr>
            <w:tcW w:w="0" w:type="auto"/>
            <w:tcBorders>
              <w:top w:val="nil"/>
              <w:left w:val="nil"/>
              <w:right w:val="nil"/>
            </w:tcBorders>
            <w:shd w:val="clear" w:color="000000" w:fill="FFFFFF"/>
            <w:hideMark/>
          </w:tcPr>
          <w:p w14:paraId="09AC843B"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39.45</w:t>
            </w:r>
          </w:p>
        </w:tc>
        <w:tc>
          <w:tcPr>
            <w:tcW w:w="0" w:type="auto"/>
            <w:tcBorders>
              <w:top w:val="nil"/>
              <w:left w:val="nil"/>
              <w:right w:val="nil"/>
            </w:tcBorders>
            <w:shd w:val="clear" w:color="000000" w:fill="FFFFFF"/>
            <w:hideMark/>
          </w:tcPr>
          <w:p w14:paraId="3A598C8C"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39.98</w:t>
            </w:r>
          </w:p>
        </w:tc>
        <w:tc>
          <w:tcPr>
            <w:tcW w:w="0" w:type="auto"/>
            <w:tcBorders>
              <w:top w:val="nil"/>
              <w:left w:val="nil"/>
              <w:right w:val="nil"/>
            </w:tcBorders>
            <w:shd w:val="clear" w:color="000000" w:fill="FFFFFF"/>
            <w:hideMark/>
          </w:tcPr>
          <w:p w14:paraId="1871AAC8"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41.27</w:t>
            </w:r>
          </w:p>
        </w:tc>
        <w:tc>
          <w:tcPr>
            <w:tcW w:w="0" w:type="auto"/>
            <w:tcBorders>
              <w:top w:val="nil"/>
              <w:left w:val="nil"/>
              <w:right w:val="nil"/>
            </w:tcBorders>
            <w:shd w:val="clear" w:color="000000" w:fill="FFFFFF"/>
            <w:hideMark/>
          </w:tcPr>
          <w:p w14:paraId="5BB17EEA"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43.03</w:t>
            </w:r>
          </w:p>
        </w:tc>
        <w:tc>
          <w:tcPr>
            <w:tcW w:w="0" w:type="auto"/>
            <w:tcBorders>
              <w:top w:val="nil"/>
              <w:left w:val="nil"/>
              <w:right w:val="nil"/>
            </w:tcBorders>
            <w:shd w:val="clear" w:color="000000" w:fill="FFFFFF"/>
            <w:hideMark/>
          </w:tcPr>
          <w:p w14:paraId="435EC30E"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41.98</w:t>
            </w:r>
          </w:p>
        </w:tc>
        <w:tc>
          <w:tcPr>
            <w:tcW w:w="0" w:type="auto"/>
            <w:tcBorders>
              <w:top w:val="nil"/>
              <w:left w:val="nil"/>
              <w:right w:val="nil"/>
            </w:tcBorders>
            <w:shd w:val="clear" w:color="000000" w:fill="FFFFFF"/>
            <w:hideMark/>
          </w:tcPr>
          <w:p w14:paraId="256DC714"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42.36</w:t>
            </w:r>
          </w:p>
        </w:tc>
        <w:tc>
          <w:tcPr>
            <w:tcW w:w="0" w:type="auto"/>
            <w:tcBorders>
              <w:top w:val="nil"/>
              <w:left w:val="nil"/>
              <w:right w:val="nil"/>
            </w:tcBorders>
            <w:shd w:val="clear" w:color="000000" w:fill="FFFFFF"/>
            <w:hideMark/>
          </w:tcPr>
          <w:p w14:paraId="7F7B1FAE"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43.38</w:t>
            </w:r>
          </w:p>
        </w:tc>
        <w:tc>
          <w:tcPr>
            <w:tcW w:w="0" w:type="auto"/>
            <w:tcBorders>
              <w:top w:val="nil"/>
              <w:left w:val="nil"/>
              <w:right w:val="nil"/>
            </w:tcBorders>
            <w:shd w:val="clear" w:color="000000" w:fill="FFFFFF"/>
            <w:hideMark/>
          </w:tcPr>
          <w:p w14:paraId="317B591D"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44.23</w:t>
            </w:r>
          </w:p>
        </w:tc>
        <w:tc>
          <w:tcPr>
            <w:tcW w:w="0" w:type="auto"/>
            <w:tcBorders>
              <w:top w:val="nil"/>
              <w:left w:val="nil"/>
              <w:right w:val="nil"/>
            </w:tcBorders>
            <w:shd w:val="clear" w:color="000000" w:fill="FFFFFF"/>
            <w:hideMark/>
          </w:tcPr>
          <w:p w14:paraId="64166D99"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46.17</w:t>
            </w:r>
          </w:p>
        </w:tc>
        <w:tc>
          <w:tcPr>
            <w:tcW w:w="0" w:type="auto"/>
            <w:tcBorders>
              <w:top w:val="nil"/>
              <w:left w:val="nil"/>
            </w:tcBorders>
            <w:shd w:val="clear" w:color="000000" w:fill="FFFFFF"/>
            <w:hideMark/>
          </w:tcPr>
          <w:p w14:paraId="4B776C09" w14:textId="77777777" w:rsidR="00462FB9" w:rsidRPr="000B5C54" w:rsidRDefault="00462FB9" w:rsidP="00CC5021">
            <w:pPr>
              <w:jc w:val="right"/>
              <w:rPr>
                <w:rFonts w:ascii="Times New Roman" w:hAnsi="Times New Roman" w:cs="Times New Roman"/>
                <w:color w:val="000000"/>
                <w:sz w:val="18"/>
                <w:szCs w:val="21"/>
              </w:rPr>
            </w:pPr>
            <w:r w:rsidRPr="000B5C54">
              <w:rPr>
                <w:rFonts w:ascii="Times New Roman" w:hAnsi="Times New Roman" w:cs="Times New Roman"/>
                <w:color w:val="000000"/>
                <w:sz w:val="18"/>
                <w:szCs w:val="21"/>
              </w:rPr>
              <w:t>32.77</w:t>
            </w:r>
          </w:p>
        </w:tc>
      </w:tr>
    </w:tbl>
    <w:p w14:paraId="36CD9DF8" w14:textId="77777777" w:rsidR="00622FC6" w:rsidRDefault="00622FC6" w:rsidP="00F00351">
      <w:pPr>
        <w:spacing w:after="0" w:line="240" w:lineRule="auto"/>
        <w:rPr>
          <w:rFonts w:ascii="Times New Roman" w:hAnsi="Times New Roman" w:cs="Times New Roman"/>
          <w:sz w:val="24"/>
          <w:szCs w:val="24"/>
          <w:shd w:val="clear" w:color="auto" w:fill="FFFFFF"/>
        </w:rPr>
        <w:sectPr w:rsidR="00622FC6" w:rsidSect="00462FB9">
          <w:pgSz w:w="16838" w:h="11906" w:orient="landscape"/>
          <w:pgMar w:top="1247" w:right="1247" w:bottom="1247" w:left="1247" w:header="709" w:footer="709" w:gutter="0"/>
          <w:cols w:space="708"/>
          <w:docGrid w:linePitch="360"/>
        </w:sectPr>
      </w:pPr>
    </w:p>
    <w:p w14:paraId="09321494" w14:textId="77777777" w:rsidR="00622FC6" w:rsidRDefault="00622FC6" w:rsidP="00622FC6">
      <w:pPr>
        <w:spacing w:after="0" w:line="360" w:lineRule="auto"/>
        <w:rPr>
          <w:rFonts w:ascii="Times New Roman" w:eastAsia="Times New Roman" w:hAnsi="Times New Roman" w:cs="Times New Roman"/>
          <w:sz w:val="24"/>
        </w:rPr>
      </w:pPr>
      <w:r w:rsidRPr="00C221D6">
        <w:rPr>
          <w:rFonts w:ascii="Times New Roman" w:hAnsi="Times New Roman" w:cs="Times New Roman"/>
          <w:noProof/>
          <w:sz w:val="24"/>
          <w:szCs w:val="24"/>
        </w:rPr>
        <w:lastRenderedPageBreak/>
        <w:drawing>
          <wp:inline distT="0" distB="0" distL="0" distR="0" wp14:anchorId="430C5860" wp14:editId="4BA728F3">
            <wp:extent cx="6386523" cy="3878317"/>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4C314E" w14:textId="77777777" w:rsidR="00622FC6" w:rsidRPr="00237F18" w:rsidRDefault="00622FC6" w:rsidP="00622FC6">
      <w:pPr>
        <w:spacing w:line="240" w:lineRule="auto"/>
        <w:rPr>
          <w:rFonts w:ascii="Times New Roman" w:hAnsi="Times New Roman" w:cs="Times New Roman"/>
          <w:sz w:val="24"/>
          <w:szCs w:val="24"/>
        </w:rPr>
      </w:pPr>
      <w:r w:rsidRPr="00801C27">
        <w:rPr>
          <w:rFonts w:ascii="Times New Roman" w:hAnsi="Times New Roman" w:cs="Times New Roman"/>
          <w:i/>
          <w:sz w:val="24"/>
          <w:szCs w:val="24"/>
        </w:rPr>
        <w:t>Figure 1: Estimated percent of CMHPs and number of those: referred, with access, w</w:t>
      </w:r>
      <w:r>
        <w:rPr>
          <w:rFonts w:ascii="Times New Roman" w:hAnsi="Times New Roman" w:cs="Times New Roman"/>
          <w:i/>
          <w:sz w:val="24"/>
          <w:szCs w:val="24"/>
        </w:rPr>
        <w:t>ith 2+ sessions, achieving MCID</w:t>
      </w:r>
      <w:r w:rsidRPr="00801C27">
        <w:rPr>
          <w:rFonts w:ascii="Times New Roman" w:hAnsi="Times New Roman" w:cs="Times New Roman"/>
          <w:i/>
          <w:sz w:val="24"/>
          <w:szCs w:val="24"/>
        </w:rPr>
        <w:t xml:space="preserve"> as a proportion of total population across age in the South West</w:t>
      </w:r>
    </w:p>
    <w:p w14:paraId="72340CCE" w14:textId="085EC58E" w:rsidR="00622FC6" w:rsidRDefault="00622FC6" w:rsidP="00F00351">
      <w:pPr>
        <w:spacing w:after="0" w:line="240" w:lineRule="auto"/>
        <w:rPr>
          <w:rFonts w:ascii="Times New Roman" w:hAnsi="Times New Roman" w:cs="Times New Roman"/>
          <w:sz w:val="24"/>
          <w:szCs w:val="24"/>
          <w:shd w:val="clear" w:color="auto" w:fill="FFFFFF"/>
        </w:rPr>
      </w:pPr>
    </w:p>
    <w:p w14:paraId="168BFE0F"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39E4FA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B61A69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C408CD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3676DA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71E70BF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7C3E511"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137964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C8C876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633F01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18F2CA7"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CB0CB4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57316A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B388618"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27D0B8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22F23F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58374E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F278D6A"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B6905C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70EACAE"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9037ACE"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58B2ABF"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6F3A92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CADB0E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E68AFC3"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5BD51BB" w14:textId="07EE14FA" w:rsidR="00622FC6" w:rsidRDefault="00622FC6" w:rsidP="00622FC6">
      <w:r>
        <w:rPr>
          <w:rFonts w:ascii="Times New Roman" w:hAnsi="Times New Roman" w:cs="Times New Roman"/>
          <w:noProof/>
          <w:sz w:val="24"/>
          <w:szCs w:val="24"/>
        </w:rPr>
        <w:lastRenderedPageBreak/>
        <w:drawing>
          <wp:inline distT="0" distB="0" distL="0" distR="0" wp14:anchorId="4192546B" wp14:editId="2942EF96">
            <wp:extent cx="5736590" cy="3510915"/>
            <wp:effectExtent l="0" t="0" r="1651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F549FF" w14:textId="77777777" w:rsidR="00622FC6" w:rsidRDefault="00622FC6" w:rsidP="00622FC6">
      <w:pPr>
        <w:spacing w:line="240" w:lineRule="auto"/>
        <w:rPr>
          <w:rFonts w:ascii="Times New Roman" w:hAnsi="Times New Roman" w:cs="Times New Roman"/>
          <w:i/>
          <w:sz w:val="24"/>
          <w:szCs w:val="24"/>
        </w:rPr>
      </w:pPr>
      <w:r>
        <w:rPr>
          <w:rFonts w:ascii="Times New Roman" w:hAnsi="Times New Roman" w:cs="Times New Roman"/>
          <w:i/>
          <w:sz w:val="24"/>
          <w:szCs w:val="24"/>
        </w:rPr>
        <w:t>Figure 2: Number of those: referred, with access, with 2+ sessions, achieving MCID as a proportion of total population across age in the South West</w:t>
      </w:r>
    </w:p>
    <w:p w14:paraId="1479BF2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0A0C29F"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25709B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701C2437"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2A64C6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0CE50D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600ACF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2F759B1"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638A15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59319E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7552701"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8C62FC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62393A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DE51808"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8D7CFF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A52D1A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642157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03D49C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A42F8F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65691CC"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224061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B09948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9944E3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9899D4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F62711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E99A58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770C10E" w14:textId="77777777" w:rsidR="00622FC6" w:rsidRDefault="00622FC6" w:rsidP="00F00351">
      <w:pPr>
        <w:spacing w:after="0" w:line="240" w:lineRule="auto"/>
        <w:rPr>
          <w:rFonts w:ascii="Times New Roman" w:hAnsi="Times New Roman" w:cs="Times New Roman"/>
          <w:sz w:val="24"/>
          <w:szCs w:val="24"/>
          <w:shd w:val="clear" w:color="auto" w:fill="FFFFFF"/>
        </w:rPr>
      </w:pPr>
    </w:p>
    <w:p w14:paraId="7BAAFDB7"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F0D0BFE" w14:textId="741B0FAF" w:rsidR="00622FC6" w:rsidRDefault="00622FC6" w:rsidP="00622FC6">
      <w:pPr>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B45AD2" wp14:editId="4CD074BB">
            <wp:extent cx="6391910" cy="4123690"/>
            <wp:effectExtent l="0" t="0" r="889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920A16" w14:textId="77777777" w:rsidR="00622FC6" w:rsidRDefault="00622FC6" w:rsidP="00622FC6">
      <w:pPr>
        <w:spacing w:line="240" w:lineRule="auto"/>
        <w:rPr>
          <w:rFonts w:ascii="Times New Roman" w:hAnsi="Times New Roman" w:cs="Times New Roman"/>
          <w:i/>
          <w:sz w:val="24"/>
          <w:szCs w:val="24"/>
        </w:rPr>
      </w:pPr>
      <w:r>
        <w:rPr>
          <w:rFonts w:ascii="Times New Roman" w:hAnsi="Times New Roman" w:cs="Times New Roman"/>
          <w:i/>
          <w:sz w:val="24"/>
          <w:szCs w:val="24"/>
        </w:rPr>
        <w:t>Figure 3:  Number of those: with access, with 2+ sessions, achieving MCID as a proportion of those referred across age in the South West</w:t>
      </w:r>
    </w:p>
    <w:p w14:paraId="0FE2839A"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679EC85"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E739B9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4257BB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D085023"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2F6FFB9"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8BD07BE" w14:textId="77777777" w:rsidR="00622FC6" w:rsidRDefault="00622FC6" w:rsidP="00F00351">
      <w:pPr>
        <w:spacing w:after="0" w:line="240" w:lineRule="auto"/>
        <w:rPr>
          <w:rFonts w:ascii="Times New Roman" w:hAnsi="Times New Roman" w:cs="Times New Roman"/>
          <w:sz w:val="24"/>
          <w:szCs w:val="24"/>
          <w:shd w:val="clear" w:color="auto" w:fill="FFFFFF"/>
        </w:rPr>
      </w:pPr>
    </w:p>
    <w:p w14:paraId="76DECBF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C4337D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19C30C9A"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AC73853" w14:textId="77777777" w:rsidR="00622FC6" w:rsidRDefault="00622FC6" w:rsidP="00F00351">
      <w:pPr>
        <w:spacing w:after="0" w:line="240" w:lineRule="auto"/>
        <w:rPr>
          <w:rFonts w:ascii="Times New Roman" w:hAnsi="Times New Roman" w:cs="Times New Roman"/>
          <w:sz w:val="24"/>
          <w:szCs w:val="24"/>
          <w:shd w:val="clear" w:color="auto" w:fill="FFFFFF"/>
        </w:rPr>
      </w:pPr>
    </w:p>
    <w:p w14:paraId="77C8B3D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69A7803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9EF953A"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73CAF94" w14:textId="77777777" w:rsidR="00622FC6" w:rsidRDefault="00622FC6" w:rsidP="00F00351">
      <w:pPr>
        <w:spacing w:after="0" w:line="240" w:lineRule="auto"/>
        <w:rPr>
          <w:rFonts w:ascii="Times New Roman" w:hAnsi="Times New Roman" w:cs="Times New Roman"/>
          <w:sz w:val="24"/>
          <w:szCs w:val="24"/>
          <w:shd w:val="clear" w:color="auto" w:fill="FFFFFF"/>
        </w:rPr>
      </w:pPr>
    </w:p>
    <w:p w14:paraId="4E28B4FB"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AB3D07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F50F916"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070A00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BB70621"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772E992"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E7747C0" w14:textId="77777777" w:rsidR="00622FC6" w:rsidRDefault="00622FC6" w:rsidP="00F00351">
      <w:pPr>
        <w:spacing w:after="0" w:line="240" w:lineRule="auto"/>
        <w:rPr>
          <w:rFonts w:ascii="Times New Roman" w:hAnsi="Times New Roman" w:cs="Times New Roman"/>
          <w:sz w:val="24"/>
          <w:szCs w:val="24"/>
          <w:shd w:val="clear" w:color="auto" w:fill="FFFFFF"/>
        </w:rPr>
      </w:pPr>
    </w:p>
    <w:p w14:paraId="2108760E" w14:textId="77777777" w:rsidR="00622FC6" w:rsidRDefault="00622FC6" w:rsidP="00F00351">
      <w:pPr>
        <w:spacing w:after="0" w:line="240" w:lineRule="auto"/>
        <w:rPr>
          <w:rFonts w:ascii="Times New Roman" w:hAnsi="Times New Roman" w:cs="Times New Roman"/>
          <w:sz w:val="24"/>
          <w:szCs w:val="24"/>
          <w:shd w:val="clear" w:color="auto" w:fill="FFFFFF"/>
        </w:rPr>
      </w:pPr>
    </w:p>
    <w:p w14:paraId="5CA5C0BD" w14:textId="77777777" w:rsidR="00622FC6" w:rsidRDefault="00622FC6" w:rsidP="00F00351">
      <w:pPr>
        <w:spacing w:after="0" w:line="240" w:lineRule="auto"/>
        <w:rPr>
          <w:rFonts w:ascii="Times New Roman" w:hAnsi="Times New Roman" w:cs="Times New Roman"/>
          <w:sz w:val="24"/>
          <w:szCs w:val="24"/>
          <w:shd w:val="clear" w:color="auto" w:fill="FFFFFF"/>
        </w:rPr>
      </w:pPr>
    </w:p>
    <w:p w14:paraId="3796CC6F" w14:textId="77777777" w:rsidR="00622FC6" w:rsidRDefault="00622FC6" w:rsidP="00F00351">
      <w:pPr>
        <w:spacing w:after="0" w:line="240" w:lineRule="auto"/>
        <w:rPr>
          <w:rFonts w:ascii="Times New Roman" w:hAnsi="Times New Roman" w:cs="Times New Roman"/>
          <w:sz w:val="24"/>
          <w:szCs w:val="24"/>
          <w:shd w:val="clear" w:color="auto" w:fill="FFFFFF"/>
        </w:rPr>
      </w:pPr>
    </w:p>
    <w:p w14:paraId="0019F8A1" w14:textId="77777777" w:rsidR="00622FC6" w:rsidRDefault="00622FC6" w:rsidP="00622FC6">
      <w:r w:rsidRPr="000A0053">
        <w:rPr>
          <w:rFonts w:ascii="Times New Roman" w:hAnsi="Times New Roman" w:cs="Times New Roman"/>
          <w:noProof/>
          <w:sz w:val="24"/>
          <w:szCs w:val="24"/>
        </w:rPr>
        <w:lastRenderedPageBreak/>
        <w:drawing>
          <wp:inline distT="0" distB="0" distL="0" distR="0" wp14:anchorId="35498C76" wp14:editId="619E4AEE">
            <wp:extent cx="5731510" cy="3749975"/>
            <wp:effectExtent l="0" t="0" r="2540" b="317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63DE06" w14:textId="77777777" w:rsidR="00622FC6" w:rsidRPr="00801C27" w:rsidRDefault="00622FC6" w:rsidP="00622FC6">
      <w:pPr>
        <w:spacing w:before="240" w:line="240" w:lineRule="auto"/>
        <w:rPr>
          <w:rFonts w:ascii="Times New Roman" w:hAnsi="Times New Roman" w:cs="Times New Roman"/>
          <w:i/>
          <w:sz w:val="24"/>
          <w:szCs w:val="24"/>
        </w:rPr>
      </w:pPr>
      <w:r w:rsidRPr="00801C27">
        <w:rPr>
          <w:rFonts w:ascii="Times New Roman" w:hAnsi="Times New Roman" w:cs="Times New Roman"/>
          <w:i/>
          <w:sz w:val="24"/>
          <w:szCs w:val="24"/>
        </w:rPr>
        <w:t xml:space="preserve">Figure 4: Those achieving </w:t>
      </w:r>
      <w:r>
        <w:rPr>
          <w:rFonts w:ascii="Times New Roman" w:hAnsi="Times New Roman" w:cs="Times New Roman"/>
          <w:i/>
          <w:sz w:val="24"/>
          <w:szCs w:val="24"/>
        </w:rPr>
        <w:t>MCID</w:t>
      </w:r>
      <w:r w:rsidRPr="00801C27">
        <w:rPr>
          <w:rFonts w:ascii="Times New Roman" w:hAnsi="Times New Roman" w:cs="Times New Roman"/>
          <w:i/>
          <w:sz w:val="24"/>
          <w:szCs w:val="24"/>
        </w:rPr>
        <w:t xml:space="preserve"> as a proportion of those with 2+ treatment sessi</w:t>
      </w:r>
      <w:r>
        <w:rPr>
          <w:rFonts w:ascii="Times New Roman" w:hAnsi="Times New Roman" w:cs="Times New Roman"/>
          <w:i/>
          <w:sz w:val="24"/>
          <w:szCs w:val="24"/>
        </w:rPr>
        <w:t>ons across age in the South West</w:t>
      </w:r>
    </w:p>
    <w:p w14:paraId="2F2D837C" w14:textId="77777777" w:rsidR="00622FC6" w:rsidRPr="008109FC" w:rsidRDefault="00622FC6" w:rsidP="00F00351">
      <w:pPr>
        <w:spacing w:after="0" w:line="240" w:lineRule="auto"/>
        <w:rPr>
          <w:rFonts w:ascii="Times New Roman" w:hAnsi="Times New Roman" w:cs="Times New Roman"/>
          <w:sz w:val="24"/>
          <w:szCs w:val="24"/>
          <w:shd w:val="clear" w:color="auto" w:fill="FFFFFF"/>
        </w:rPr>
      </w:pPr>
      <w:bookmarkStart w:id="0" w:name="_GoBack"/>
      <w:bookmarkEnd w:id="0"/>
    </w:p>
    <w:sectPr w:rsidR="00622FC6" w:rsidRPr="008109FC" w:rsidSect="00622FC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9975A" w14:textId="77777777" w:rsidR="00066966" w:rsidRDefault="00066966" w:rsidP="00D076CF">
      <w:pPr>
        <w:spacing w:after="0" w:line="240" w:lineRule="auto"/>
      </w:pPr>
      <w:r>
        <w:separator/>
      </w:r>
    </w:p>
  </w:endnote>
  <w:endnote w:type="continuationSeparator" w:id="0">
    <w:p w14:paraId="7EB1D074" w14:textId="77777777" w:rsidR="00066966" w:rsidRDefault="00066966" w:rsidP="00D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80A1A" w14:textId="77777777" w:rsidR="00066966" w:rsidRDefault="00066966" w:rsidP="00D076CF">
      <w:pPr>
        <w:spacing w:after="0" w:line="240" w:lineRule="auto"/>
      </w:pPr>
      <w:r>
        <w:separator/>
      </w:r>
    </w:p>
  </w:footnote>
  <w:footnote w:type="continuationSeparator" w:id="0">
    <w:p w14:paraId="676D754E" w14:textId="77777777" w:rsidR="00066966" w:rsidRDefault="00066966" w:rsidP="00D07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D37C6"/>
    <w:multiLevelType w:val="multilevel"/>
    <w:tmpl w:val="B0B0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C3628"/>
    <w:multiLevelType w:val="hybridMultilevel"/>
    <w:tmpl w:val="A0AA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E2"/>
    <w:rsid w:val="0000097C"/>
    <w:rsid w:val="00001542"/>
    <w:rsid w:val="0000279F"/>
    <w:rsid w:val="000121B7"/>
    <w:rsid w:val="0003405C"/>
    <w:rsid w:val="00034256"/>
    <w:rsid w:val="00041414"/>
    <w:rsid w:val="000544F2"/>
    <w:rsid w:val="00066966"/>
    <w:rsid w:val="00067F1C"/>
    <w:rsid w:val="00072347"/>
    <w:rsid w:val="00074AF7"/>
    <w:rsid w:val="00077A8B"/>
    <w:rsid w:val="00084BE2"/>
    <w:rsid w:val="000923F7"/>
    <w:rsid w:val="0009327C"/>
    <w:rsid w:val="0009585D"/>
    <w:rsid w:val="000A0053"/>
    <w:rsid w:val="000A060D"/>
    <w:rsid w:val="000A5542"/>
    <w:rsid w:val="000B5C54"/>
    <w:rsid w:val="000C1A93"/>
    <w:rsid w:val="000D3A2C"/>
    <w:rsid w:val="000D541D"/>
    <w:rsid w:val="000D54ED"/>
    <w:rsid w:val="000D5561"/>
    <w:rsid w:val="000D7631"/>
    <w:rsid w:val="000F1E48"/>
    <w:rsid w:val="000F7CD6"/>
    <w:rsid w:val="001010D2"/>
    <w:rsid w:val="001033C9"/>
    <w:rsid w:val="00112AF9"/>
    <w:rsid w:val="00125B70"/>
    <w:rsid w:val="00133904"/>
    <w:rsid w:val="001440B6"/>
    <w:rsid w:val="001547A2"/>
    <w:rsid w:val="00154F4B"/>
    <w:rsid w:val="00173CE5"/>
    <w:rsid w:val="00175462"/>
    <w:rsid w:val="00184428"/>
    <w:rsid w:val="00187133"/>
    <w:rsid w:val="00192DC2"/>
    <w:rsid w:val="001B404D"/>
    <w:rsid w:val="001C352D"/>
    <w:rsid w:val="001C5DCA"/>
    <w:rsid w:val="001D02A7"/>
    <w:rsid w:val="001D0D8D"/>
    <w:rsid w:val="001D55A1"/>
    <w:rsid w:val="001E6D35"/>
    <w:rsid w:val="001F6675"/>
    <w:rsid w:val="0022015F"/>
    <w:rsid w:val="00221D97"/>
    <w:rsid w:val="00227210"/>
    <w:rsid w:val="00237F18"/>
    <w:rsid w:val="00240778"/>
    <w:rsid w:val="002438F2"/>
    <w:rsid w:val="00246CDF"/>
    <w:rsid w:val="00257811"/>
    <w:rsid w:val="0026232A"/>
    <w:rsid w:val="0026359D"/>
    <w:rsid w:val="002751F5"/>
    <w:rsid w:val="002D41E2"/>
    <w:rsid w:val="002D6104"/>
    <w:rsid w:val="002E4AF4"/>
    <w:rsid w:val="002F02F8"/>
    <w:rsid w:val="002F38E9"/>
    <w:rsid w:val="00310B5B"/>
    <w:rsid w:val="00316045"/>
    <w:rsid w:val="00320D19"/>
    <w:rsid w:val="00322C12"/>
    <w:rsid w:val="003341E9"/>
    <w:rsid w:val="00343AA6"/>
    <w:rsid w:val="00347807"/>
    <w:rsid w:val="00353F97"/>
    <w:rsid w:val="00354589"/>
    <w:rsid w:val="0036219B"/>
    <w:rsid w:val="003836BF"/>
    <w:rsid w:val="00384329"/>
    <w:rsid w:val="003A0B0D"/>
    <w:rsid w:val="003A4A51"/>
    <w:rsid w:val="003A4B0D"/>
    <w:rsid w:val="003A588C"/>
    <w:rsid w:val="003C48A7"/>
    <w:rsid w:val="003E3629"/>
    <w:rsid w:val="003F116A"/>
    <w:rsid w:val="003F1E23"/>
    <w:rsid w:val="003F6718"/>
    <w:rsid w:val="004048D3"/>
    <w:rsid w:val="00412275"/>
    <w:rsid w:val="004177FA"/>
    <w:rsid w:val="0043065B"/>
    <w:rsid w:val="00447860"/>
    <w:rsid w:val="00462FB9"/>
    <w:rsid w:val="00471FA3"/>
    <w:rsid w:val="004872A7"/>
    <w:rsid w:val="0049680A"/>
    <w:rsid w:val="004A1733"/>
    <w:rsid w:val="004A5FE7"/>
    <w:rsid w:val="004A71E0"/>
    <w:rsid w:val="004D4827"/>
    <w:rsid w:val="004F02CF"/>
    <w:rsid w:val="00515FC2"/>
    <w:rsid w:val="005279A3"/>
    <w:rsid w:val="0053651F"/>
    <w:rsid w:val="005463F3"/>
    <w:rsid w:val="00547353"/>
    <w:rsid w:val="0055331E"/>
    <w:rsid w:val="005611F0"/>
    <w:rsid w:val="005762F2"/>
    <w:rsid w:val="00587E17"/>
    <w:rsid w:val="005A3A3B"/>
    <w:rsid w:val="005B3D88"/>
    <w:rsid w:val="005B740B"/>
    <w:rsid w:val="005B7DCB"/>
    <w:rsid w:val="005D197D"/>
    <w:rsid w:val="005D1A91"/>
    <w:rsid w:val="005E013E"/>
    <w:rsid w:val="006124CF"/>
    <w:rsid w:val="00616FB1"/>
    <w:rsid w:val="006173AC"/>
    <w:rsid w:val="00620046"/>
    <w:rsid w:val="00622FC6"/>
    <w:rsid w:val="0064713C"/>
    <w:rsid w:val="00652CA9"/>
    <w:rsid w:val="006758EB"/>
    <w:rsid w:val="0068391D"/>
    <w:rsid w:val="00684846"/>
    <w:rsid w:val="006932FE"/>
    <w:rsid w:val="006A69C5"/>
    <w:rsid w:val="006B19F2"/>
    <w:rsid w:val="006C7488"/>
    <w:rsid w:val="006C7A32"/>
    <w:rsid w:val="006D1199"/>
    <w:rsid w:val="006D28C8"/>
    <w:rsid w:val="006D4832"/>
    <w:rsid w:val="006F302A"/>
    <w:rsid w:val="00721B25"/>
    <w:rsid w:val="00724134"/>
    <w:rsid w:val="007432D4"/>
    <w:rsid w:val="00751CD9"/>
    <w:rsid w:val="0075592B"/>
    <w:rsid w:val="00755EE7"/>
    <w:rsid w:val="007602AA"/>
    <w:rsid w:val="0076444F"/>
    <w:rsid w:val="007724BC"/>
    <w:rsid w:val="0077551C"/>
    <w:rsid w:val="007762BF"/>
    <w:rsid w:val="0079168B"/>
    <w:rsid w:val="007A1364"/>
    <w:rsid w:val="007A52D2"/>
    <w:rsid w:val="007B01C9"/>
    <w:rsid w:val="007C5B57"/>
    <w:rsid w:val="007C5BA2"/>
    <w:rsid w:val="007F226E"/>
    <w:rsid w:val="00801C27"/>
    <w:rsid w:val="008109FC"/>
    <w:rsid w:val="00811526"/>
    <w:rsid w:val="00811DEC"/>
    <w:rsid w:val="00812BBC"/>
    <w:rsid w:val="00827B71"/>
    <w:rsid w:val="00835585"/>
    <w:rsid w:val="0083661A"/>
    <w:rsid w:val="00843307"/>
    <w:rsid w:val="008647F6"/>
    <w:rsid w:val="008702C8"/>
    <w:rsid w:val="0087765A"/>
    <w:rsid w:val="0088308B"/>
    <w:rsid w:val="008A2B75"/>
    <w:rsid w:val="008A6645"/>
    <w:rsid w:val="008C184C"/>
    <w:rsid w:val="008D5914"/>
    <w:rsid w:val="008E5963"/>
    <w:rsid w:val="008E7644"/>
    <w:rsid w:val="008F03DC"/>
    <w:rsid w:val="008F3334"/>
    <w:rsid w:val="008F3C19"/>
    <w:rsid w:val="00903B27"/>
    <w:rsid w:val="009149C7"/>
    <w:rsid w:val="00936952"/>
    <w:rsid w:val="00937DA8"/>
    <w:rsid w:val="0094467D"/>
    <w:rsid w:val="00946FA0"/>
    <w:rsid w:val="00950BF4"/>
    <w:rsid w:val="0095284E"/>
    <w:rsid w:val="009605C5"/>
    <w:rsid w:val="0096639C"/>
    <w:rsid w:val="009815FE"/>
    <w:rsid w:val="00983940"/>
    <w:rsid w:val="00986FDD"/>
    <w:rsid w:val="0099393D"/>
    <w:rsid w:val="009A3004"/>
    <w:rsid w:val="009B2CBE"/>
    <w:rsid w:val="009D358A"/>
    <w:rsid w:val="009E59EB"/>
    <w:rsid w:val="00A00C21"/>
    <w:rsid w:val="00A115C0"/>
    <w:rsid w:val="00A21C18"/>
    <w:rsid w:val="00A47814"/>
    <w:rsid w:val="00A52D2C"/>
    <w:rsid w:val="00A5452E"/>
    <w:rsid w:val="00A66738"/>
    <w:rsid w:val="00A66CE8"/>
    <w:rsid w:val="00AA15F3"/>
    <w:rsid w:val="00AA25EB"/>
    <w:rsid w:val="00AA5C27"/>
    <w:rsid w:val="00AB2A35"/>
    <w:rsid w:val="00AB4DE9"/>
    <w:rsid w:val="00AC10CA"/>
    <w:rsid w:val="00AC1728"/>
    <w:rsid w:val="00AD3376"/>
    <w:rsid w:val="00AD71B2"/>
    <w:rsid w:val="00AE2752"/>
    <w:rsid w:val="00AF04E4"/>
    <w:rsid w:val="00AF0AE2"/>
    <w:rsid w:val="00B36CB4"/>
    <w:rsid w:val="00B44827"/>
    <w:rsid w:val="00B4544A"/>
    <w:rsid w:val="00B51735"/>
    <w:rsid w:val="00B61C80"/>
    <w:rsid w:val="00B62D55"/>
    <w:rsid w:val="00B71EB1"/>
    <w:rsid w:val="00B72134"/>
    <w:rsid w:val="00B86A03"/>
    <w:rsid w:val="00B9006C"/>
    <w:rsid w:val="00B9042D"/>
    <w:rsid w:val="00B90767"/>
    <w:rsid w:val="00BA395F"/>
    <w:rsid w:val="00BA5438"/>
    <w:rsid w:val="00BD3ACF"/>
    <w:rsid w:val="00BD65F1"/>
    <w:rsid w:val="00BE00C9"/>
    <w:rsid w:val="00BE29F8"/>
    <w:rsid w:val="00C01869"/>
    <w:rsid w:val="00C05611"/>
    <w:rsid w:val="00C17600"/>
    <w:rsid w:val="00C221D6"/>
    <w:rsid w:val="00C22CFD"/>
    <w:rsid w:val="00C46CD5"/>
    <w:rsid w:val="00C52819"/>
    <w:rsid w:val="00C52F1A"/>
    <w:rsid w:val="00C60B22"/>
    <w:rsid w:val="00C64383"/>
    <w:rsid w:val="00C665EA"/>
    <w:rsid w:val="00C75E1C"/>
    <w:rsid w:val="00C835D8"/>
    <w:rsid w:val="00CA70F2"/>
    <w:rsid w:val="00CC32AB"/>
    <w:rsid w:val="00CC6D7D"/>
    <w:rsid w:val="00CE0D1F"/>
    <w:rsid w:val="00CE4CB4"/>
    <w:rsid w:val="00CE6119"/>
    <w:rsid w:val="00CF3F04"/>
    <w:rsid w:val="00D040A5"/>
    <w:rsid w:val="00D076CF"/>
    <w:rsid w:val="00D1448F"/>
    <w:rsid w:val="00D266BF"/>
    <w:rsid w:val="00D32310"/>
    <w:rsid w:val="00D33E4B"/>
    <w:rsid w:val="00D41506"/>
    <w:rsid w:val="00D56929"/>
    <w:rsid w:val="00DC271F"/>
    <w:rsid w:val="00DC72B9"/>
    <w:rsid w:val="00DD3F0D"/>
    <w:rsid w:val="00DD5FE0"/>
    <w:rsid w:val="00DD6572"/>
    <w:rsid w:val="00E074E0"/>
    <w:rsid w:val="00E13AA0"/>
    <w:rsid w:val="00E17C44"/>
    <w:rsid w:val="00E17D51"/>
    <w:rsid w:val="00E21C11"/>
    <w:rsid w:val="00E41110"/>
    <w:rsid w:val="00E56104"/>
    <w:rsid w:val="00E5713B"/>
    <w:rsid w:val="00E87B27"/>
    <w:rsid w:val="00E87F11"/>
    <w:rsid w:val="00E902CF"/>
    <w:rsid w:val="00E97569"/>
    <w:rsid w:val="00EA55A3"/>
    <w:rsid w:val="00ED24CC"/>
    <w:rsid w:val="00ED638B"/>
    <w:rsid w:val="00EE3B06"/>
    <w:rsid w:val="00EE4840"/>
    <w:rsid w:val="00EE600E"/>
    <w:rsid w:val="00EF6358"/>
    <w:rsid w:val="00F00351"/>
    <w:rsid w:val="00F10E27"/>
    <w:rsid w:val="00F1200B"/>
    <w:rsid w:val="00F16FA2"/>
    <w:rsid w:val="00F20055"/>
    <w:rsid w:val="00F216B6"/>
    <w:rsid w:val="00F21B5A"/>
    <w:rsid w:val="00F41C2C"/>
    <w:rsid w:val="00F55FC5"/>
    <w:rsid w:val="00F56A70"/>
    <w:rsid w:val="00F60871"/>
    <w:rsid w:val="00F70271"/>
    <w:rsid w:val="00F70F84"/>
    <w:rsid w:val="00F96042"/>
    <w:rsid w:val="00FA6443"/>
    <w:rsid w:val="00FB0A7F"/>
    <w:rsid w:val="00FB71BE"/>
    <w:rsid w:val="00FC1003"/>
    <w:rsid w:val="00FE2F25"/>
    <w:rsid w:val="00FF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28A9"/>
  <w15:docId w15:val="{0C2E25F5-F51A-44D7-BE81-2BD4D391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F8"/>
  </w:style>
  <w:style w:type="paragraph" w:styleId="Heading1">
    <w:name w:val="heading 1"/>
    <w:basedOn w:val="Normal"/>
    <w:link w:val="Heading1Char"/>
    <w:uiPriority w:val="9"/>
    <w:qFormat/>
    <w:rsid w:val="004A1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76CF"/>
    <w:pPr>
      <w:spacing w:after="0" w:line="240" w:lineRule="auto"/>
    </w:pPr>
    <w:rPr>
      <w:rFonts w:ascii="Calibri" w:eastAsia="SimSun" w:hAnsi="Calibri" w:cs="Arial"/>
      <w:sz w:val="20"/>
      <w:szCs w:val="20"/>
      <w:lang w:eastAsia="zh-CN"/>
    </w:rPr>
  </w:style>
  <w:style w:type="character" w:customStyle="1" w:styleId="FootnoteTextChar">
    <w:name w:val="Footnote Text Char"/>
    <w:basedOn w:val="DefaultParagraphFont"/>
    <w:link w:val="FootnoteText"/>
    <w:uiPriority w:val="99"/>
    <w:semiHidden/>
    <w:rsid w:val="00D076CF"/>
    <w:rPr>
      <w:rFonts w:ascii="Calibri" w:eastAsia="SimSun" w:hAnsi="Calibri" w:cs="Arial"/>
      <w:sz w:val="20"/>
      <w:szCs w:val="20"/>
      <w:lang w:eastAsia="zh-CN"/>
    </w:rPr>
  </w:style>
  <w:style w:type="character" w:styleId="FootnoteReference">
    <w:name w:val="footnote reference"/>
    <w:basedOn w:val="DefaultParagraphFont"/>
    <w:uiPriority w:val="99"/>
    <w:semiHidden/>
    <w:unhideWhenUsed/>
    <w:rsid w:val="00D076CF"/>
    <w:rPr>
      <w:vertAlign w:val="superscript"/>
    </w:rPr>
  </w:style>
  <w:style w:type="paragraph" w:styleId="BalloonText">
    <w:name w:val="Balloon Text"/>
    <w:basedOn w:val="Normal"/>
    <w:link w:val="BalloonTextChar"/>
    <w:uiPriority w:val="99"/>
    <w:semiHidden/>
    <w:unhideWhenUsed/>
    <w:rsid w:val="001D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A7"/>
    <w:rPr>
      <w:rFonts w:ascii="Tahoma" w:hAnsi="Tahoma" w:cs="Tahoma"/>
      <w:sz w:val="16"/>
      <w:szCs w:val="16"/>
    </w:rPr>
  </w:style>
  <w:style w:type="character" w:styleId="CommentReference">
    <w:name w:val="annotation reference"/>
    <w:basedOn w:val="DefaultParagraphFont"/>
    <w:uiPriority w:val="99"/>
    <w:semiHidden/>
    <w:unhideWhenUsed/>
    <w:rsid w:val="001D02A7"/>
    <w:rPr>
      <w:sz w:val="16"/>
      <w:szCs w:val="16"/>
    </w:rPr>
  </w:style>
  <w:style w:type="paragraph" w:styleId="CommentText">
    <w:name w:val="annotation text"/>
    <w:basedOn w:val="Normal"/>
    <w:link w:val="CommentTextChar"/>
    <w:uiPriority w:val="99"/>
    <w:semiHidden/>
    <w:unhideWhenUsed/>
    <w:rsid w:val="001D02A7"/>
    <w:pPr>
      <w:spacing w:line="240" w:lineRule="auto"/>
    </w:pPr>
    <w:rPr>
      <w:sz w:val="20"/>
      <w:szCs w:val="20"/>
    </w:rPr>
  </w:style>
  <w:style w:type="character" w:customStyle="1" w:styleId="CommentTextChar">
    <w:name w:val="Comment Text Char"/>
    <w:basedOn w:val="DefaultParagraphFont"/>
    <w:link w:val="CommentText"/>
    <w:uiPriority w:val="99"/>
    <w:semiHidden/>
    <w:rsid w:val="001D02A7"/>
    <w:rPr>
      <w:sz w:val="20"/>
      <w:szCs w:val="20"/>
    </w:rPr>
  </w:style>
  <w:style w:type="paragraph" w:styleId="CommentSubject">
    <w:name w:val="annotation subject"/>
    <w:basedOn w:val="CommentText"/>
    <w:next w:val="CommentText"/>
    <w:link w:val="CommentSubjectChar"/>
    <w:uiPriority w:val="99"/>
    <w:semiHidden/>
    <w:unhideWhenUsed/>
    <w:rsid w:val="001D02A7"/>
    <w:rPr>
      <w:b/>
      <w:bCs/>
    </w:rPr>
  </w:style>
  <w:style w:type="character" w:customStyle="1" w:styleId="CommentSubjectChar">
    <w:name w:val="Comment Subject Char"/>
    <w:basedOn w:val="CommentTextChar"/>
    <w:link w:val="CommentSubject"/>
    <w:uiPriority w:val="99"/>
    <w:semiHidden/>
    <w:rsid w:val="001D02A7"/>
    <w:rPr>
      <w:b/>
      <w:bCs/>
      <w:sz w:val="20"/>
      <w:szCs w:val="20"/>
    </w:rPr>
  </w:style>
  <w:style w:type="paragraph" w:styleId="Revision">
    <w:name w:val="Revision"/>
    <w:hidden/>
    <w:uiPriority w:val="99"/>
    <w:semiHidden/>
    <w:rsid w:val="00724134"/>
    <w:pPr>
      <w:spacing w:after="0" w:line="240" w:lineRule="auto"/>
    </w:pPr>
  </w:style>
  <w:style w:type="character" w:customStyle="1" w:styleId="apple-converted-space">
    <w:name w:val="apple-converted-space"/>
    <w:basedOn w:val="DefaultParagraphFont"/>
    <w:rsid w:val="007B01C9"/>
  </w:style>
  <w:style w:type="character" w:customStyle="1" w:styleId="ref-journal">
    <w:name w:val="ref-journal"/>
    <w:basedOn w:val="DefaultParagraphFont"/>
    <w:rsid w:val="007B01C9"/>
  </w:style>
  <w:style w:type="character" w:customStyle="1" w:styleId="ref-vol">
    <w:name w:val="ref-vol"/>
    <w:basedOn w:val="DefaultParagraphFont"/>
    <w:rsid w:val="007B01C9"/>
  </w:style>
  <w:style w:type="character" w:styleId="Hyperlink">
    <w:name w:val="Hyperlink"/>
    <w:basedOn w:val="DefaultParagraphFont"/>
    <w:uiPriority w:val="99"/>
    <w:unhideWhenUsed/>
    <w:rsid w:val="007B01C9"/>
    <w:rPr>
      <w:color w:val="0000FF"/>
      <w:u w:val="single"/>
    </w:rPr>
  </w:style>
  <w:style w:type="character" w:styleId="Emphasis">
    <w:name w:val="Emphasis"/>
    <w:basedOn w:val="DefaultParagraphFont"/>
    <w:uiPriority w:val="20"/>
    <w:qFormat/>
    <w:rsid w:val="000D7631"/>
    <w:rPr>
      <w:i/>
      <w:iCs/>
    </w:rPr>
  </w:style>
  <w:style w:type="character" w:styleId="FollowedHyperlink">
    <w:name w:val="FollowedHyperlink"/>
    <w:basedOn w:val="DefaultParagraphFont"/>
    <w:uiPriority w:val="99"/>
    <w:semiHidden/>
    <w:unhideWhenUsed/>
    <w:rsid w:val="00322C12"/>
    <w:rPr>
      <w:color w:val="954F72" w:themeColor="followedHyperlink"/>
      <w:u w:val="single"/>
    </w:rPr>
  </w:style>
  <w:style w:type="character" w:customStyle="1" w:styleId="personname">
    <w:name w:val="person_name"/>
    <w:basedOn w:val="DefaultParagraphFont"/>
    <w:rsid w:val="008A6645"/>
  </w:style>
  <w:style w:type="character" w:customStyle="1" w:styleId="Heading1Char">
    <w:name w:val="Heading 1 Char"/>
    <w:basedOn w:val="DefaultParagraphFont"/>
    <w:link w:val="Heading1"/>
    <w:uiPriority w:val="9"/>
    <w:rsid w:val="004A1733"/>
    <w:rPr>
      <w:rFonts w:ascii="Times New Roman" w:eastAsia="Times New Roman" w:hAnsi="Times New Roman" w:cs="Times New Roman"/>
      <w:b/>
      <w:bCs/>
      <w:kern w:val="36"/>
      <w:sz w:val="48"/>
      <w:szCs w:val="48"/>
    </w:rPr>
  </w:style>
  <w:style w:type="paragraph" w:customStyle="1" w:styleId="volissue">
    <w:name w:val="volissue"/>
    <w:basedOn w:val="Normal"/>
    <w:rsid w:val="004A173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5B7DCB"/>
    <w:pPr>
      <w:spacing w:after="0" w:line="240" w:lineRule="auto"/>
    </w:pPr>
    <w:rPr>
      <w:lang w:eastAsia="zh-CN"/>
    </w:rPr>
  </w:style>
  <w:style w:type="character" w:customStyle="1" w:styleId="org">
    <w:name w:val="org"/>
    <w:basedOn w:val="DefaultParagraphFont"/>
    <w:rsid w:val="005B7DCB"/>
  </w:style>
  <w:style w:type="paragraph" w:styleId="NormalWeb">
    <w:name w:val="Normal (Web)"/>
    <w:basedOn w:val="Normal"/>
    <w:uiPriority w:val="99"/>
    <w:semiHidden/>
    <w:unhideWhenUsed/>
    <w:rsid w:val="009605C5"/>
    <w:pPr>
      <w:spacing w:before="100" w:beforeAutospacing="1" w:after="100" w:afterAutospacing="1" w:line="240" w:lineRule="auto"/>
    </w:pPr>
    <w:rPr>
      <w:rFonts w:ascii="Times" w:hAnsi="Times" w:cs="Times New Roman"/>
      <w:sz w:val="20"/>
      <w:szCs w:val="20"/>
      <w:lang w:eastAsia="en-US"/>
    </w:rPr>
  </w:style>
  <w:style w:type="character" w:styleId="Strong">
    <w:name w:val="Strong"/>
    <w:basedOn w:val="DefaultParagraphFont"/>
    <w:uiPriority w:val="22"/>
    <w:qFormat/>
    <w:rsid w:val="009605C5"/>
    <w:rPr>
      <w:b/>
      <w:bCs/>
    </w:rPr>
  </w:style>
  <w:style w:type="paragraph" w:styleId="ListParagraph">
    <w:name w:val="List Paragraph"/>
    <w:basedOn w:val="Normal"/>
    <w:uiPriority w:val="34"/>
    <w:qFormat/>
    <w:rsid w:val="0027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6086">
      <w:bodyDiv w:val="1"/>
      <w:marLeft w:val="0"/>
      <w:marRight w:val="0"/>
      <w:marTop w:val="0"/>
      <w:marBottom w:val="0"/>
      <w:divBdr>
        <w:top w:val="none" w:sz="0" w:space="0" w:color="auto"/>
        <w:left w:val="none" w:sz="0" w:space="0" w:color="auto"/>
        <w:bottom w:val="none" w:sz="0" w:space="0" w:color="auto"/>
        <w:right w:val="none" w:sz="0" w:space="0" w:color="auto"/>
      </w:divBdr>
    </w:div>
    <w:div w:id="614944790">
      <w:bodyDiv w:val="1"/>
      <w:marLeft w:val="0"/>
      <w:marRight w:val="0"/>
      <w:marTop w:val="0"/>
      <w:marBottom w:val="0"/>
      <w:divBdr>
        <w:top w:val="none" w:sz="0" w:space="0" w:color="auto"/>
        <w:left w:val="none" w:sz="0" w:space="0" w:color="auto"/>
        <w:bottom w:val="none" w:sz="0" w:space="0" w:color="auto"/>
        <w:right w:val="none" w:sz="0" w:space="0" w:color="auto"/>
      </w:divBdr>
    </w:div>
    <w:div w:id="920409848">
      <w:bodyDiv w:val="1"/>
      <w:marLeft w:val="0"/>
      <w:marRight w:val="0"/>
      <w:marTop w:val="0"/>
      <w:marBottom w:val="0"/>
      <w:divBdr>
        <w:top w:val="none" w:sz="0" w:space="0" w:color="auto"/>
        <w:left w:val="none" w:sz="0" w:space="0" w:color="auto"/>
        <w:bottom w:val="none" w:sz="0" w:space="0" w:color="auto"/>
        <w:right w:val="none" w:sz="0" w:space="0" w:color="auto"/>
      </w:divBdr>
    </w:div>
    <w:div w:id="1124731731">
      <w:bodyDiv w:val="1"/>
      <w:marLeft w:val="0"/>
      <w:marRight w:val="0"/>
      <w:marTop w:val="0"/>
      <w:marBottom w:val="0"/>
      <w:divBdr>
        <w:top w:val="none" w:sz="0" w:space="0" w:color="auto"/>
        <w:left w:val="none" w:sz="0" w:space="0" w:color="auto"/>
        <w:bottom w:val="none" w:sz="0" w:space="0" w:color="auto"/>
        <w:right w:val="none" w:sz="0" w:space="0" w:color="auto"/>
      </w:divBdr>
    </w:div>
    <w:div w:id="1240628422">
      <w:bodyDiv w:val="1"/>
      <w:marLeft w:val="0"/>
      <w:marRight w:val="0"/>
      <w:marTop w:val="0"/>
      <w:marBottom w:val="0"/>
      <w:divBdr>
        <w:top w:val="none" w:sz="0" w:space="0" w:color="auto"/>
        <w:left w:val="none" w:sz="0" w:space="0" w:color="auto"/>
        <w:bottom w:val="none" w:sz="0" w:space="0" w:color="auto"/>
        <w:right w:val="none" w:sz="0" w:space="0" w:color="auto"/>
      </w:divBdr>
    </w:div>
    <w:div w:id="1696230457">
      <w:bodyDiv w:val="1"/>
      <w:marLeft w:val="0"/>
      <w:marRight w:val="0"/>
      <w:marTop w:val="0"/>
      <w:marBottom w:val="0"/>
      <w:divBdr>
        <w:top w:val="none" w:sz="0" w:space="0" w:color="auto"/>
        <w:left w:val="none" w:sz="0" w:space="0" w:color="auto"/>
        <w:bottom w:val="none" w:sz="0" w:space="0" w:color="auto"/>
        <w:right w:val="none" w:sz="0" w:space="0" w:color="auto"/>
      </w:divBdr>
      <w:divsChild>
        <w:div w:id="1153524584">
          <w:marLeft w:val="0"/>
          <w:marRight w:val="0"/>
          <w:marTop w:val="225"/>
          <w:marBottom w:val="180"/>
          <w:divBdr>
            <w:top w:val="single" w:sz="6" w:space="0" w:color="D7D7D7"/>
            <w:left w:val="none" w:sz="0" w:space="0" w:color="auto"/>
            <w:bottom w:val="single" w:sz="6" w:space="0" w:color="D7D7D7"/>
            <w:right w:val="none" w:sz="0" w:space="0" w:color="auto"/>
          </w:divBdr>
          <w:divsChild>
            <w:div w:id="1025903539">
              <w:marLeft w:val="0"/>
              <w:marRight w:val="0"/>
              <w:marTop w:val="0"/>
              <w:marBottom w:val="0"/>
              <w:divBdr>
                <w:top w:val="none" w:sz="0" w:space="0" w:color="auto"/>
                <w:left w:val="none" w:sz="0" w:space="0" w:color="auto"/>
                <w:bottom w:val="none" w:sz="0" w:space="0" w:color="auto"/>
                <w:right w:val="none" w:sz="0" w:space="0" w:color="auto"/>
              </w:divBdr>
            </w:div>
            <w:div w:id="1447655788">
              <w:marLeft w:val="0"/>
              <w:marRight w:val="0"/>
              <w:marTop w:val="0"/>
              <w:marBottom w:val="0"/>
              <w:divBdr>
                <w:top w:val="none" w:sz="0" w:space="0" w:color="auto"/>
                <w:left w:val="none" w:sz="0" w:space="0" w:color="auto"/>
                <w:bottom w:val="none" w:sz="0" w:space="0" w:color="auto"/>
                <w:right w:val="none" w:sz="0" w:space="0" w:color="auto"/>
              </w:divBdr>
            </w:div>
          </w:divsChild>
        </w:div>
        <w:div w:id="86847851">
          <w:marLeft w:val="0"/>
          <w:marRight w:val="0"/>
          <w:marTop w:val="0"/>
          <w:marBottom w:val="0"/>
          <w:divBdr>
            <w:top w:val="none" w:sz="0" w:space="0" w:color="auto"/>
            <w:left w:val="none" w:sz="0" w:space="0" w:color="auto"/>
            <w:bottom w:val="none" w:sz="0" w:space="0" w:color="auto"/>
            <w:right w:val="none" w:sz="0" w:space="0" w:color="auto"/>
          </w:divBdr>
        </w:div>
      </w:divsChild>
    </w:div>
    <w:div w:id="204886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chard.byng@plymouth.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4832979575474912E-2"/>
          <c:y val="3.6259045346307542E-2"/>
          <c:w val="0.77483196175500435"/>
          <c:h val="0.80490891429749778"/>
        </c:manualLayout>
      </c:layout>
      <c:lineChart>
        <c:grouping val="standard"/>
        <c:varyColors val="0"/>
        <c:ser>
          <c:idx val="0"/>
          <c:order val="0"/>
          <c:tx>
            <c:strRef>
              <c:f>Sheet3!$P$4</c:f>
              <c:strCache>
                <c:ptCount val="1"/>
                <c:pt idx="0">
                  <c:v>% estimated CMHPs</c:v>
                </c:pt>
              </c:strCache>
            </c:strRef>
          </c:tx>
          <c:spPr>
            <a:ln w="19050" cap="rnd" cmpd="sng" algn="ctr">
              <a:solidFill>
                <a:schemeClr val="dk1">
                  <a:tint val="88500"/>
                </a:schemeClr>
              </a:solidFill>
              <a:prstDash val="solid"/>
              <a:round/>
            </a:ln>
            <a:effectLst/>
          </c:spPr>
          <c:marker>
            <c:symbol val="none"/>
          </c:marker>
          <c:cat>
            <c:strRef>
              <c:f>Sheet3!$Q$3:$AB$3</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Sheet3!$Q$4:$AB$4</c:f>
              <c:numCache>
                <c:formatCode>0.00</c:formatCode>
                <c:ptCount val="12"/>
                <c:pt idx="0">
                  <c:v>13.783394241068619</c:v>
                </c:pt>
                <c:pt idx="1">
                  <c:v>15.334902924216054</c:v>
                </c:pt>
                <c:pt idx="2">
                  <c:v>18.907582374567298</c:v>
                </c:pt>
                <c:pt idx="3">
                  <c:v>17.124941631645655</c:v>
                </c:pt>
                <c:pt idx="4">
                  <c:v>17.845482992736184</c:v>
                </c:pt>
                <c:pt idx="5">
                  <c:v>20.089510319395373</c:v>
                </c:pt>
                <c:pt idx="6">
                  <c:v>20.592937610320956</c:v>
                </c:pt>
                <c:pt idx="7">
                  <c:v>20.209208692006985</c:v>
                </c:pt>
                <c:pt idx="8">
                  <c:v>15.98168358125956</c:v>
                </c:pt>
                <c:pt idx="9">
                  <c:v>15.299198890286151</c:v>
                </c:pt>
                <c:pt idx="10">
                  <c:v>9.8227610789743078</c:v>
                </c:pt>
                <c:pt idx="11">
                  <c:v>9.469440382701805</c:v>
                </c:pt>
              </c:numCache>
            </c:numRef>
          </c:val>
          <c:smooth val="0"/>
        </c:ser>
        <c:ser>
          <c:idx val="1"/>
          <c:order val="1"/>
          <c:tx>
            <c:strRef>
              <c:f>Sheet3!$P$5</c:f>
              <c:strCache>
                <c:ptCount val="1"/>
                <c:pt idx="0">
                  <c:v>% referred from population</c:v>
                </c:pt>
              </c:strCache>
            </c:strRef>
          </c:tx>
          <c:spPr>
            <a:ln w="19050" cap="rnd" cmpd="sng" algn="ctr">
              <a:solidFill>
                <a:schemeClr val="dk1">
                  <a:tint val="55000"/>
                </a:schemeClr>
              </a:solidFill>
              <a:prstDash val="solid"/>
              <a:round/>
            </a:ln>
            <a:effectLst/>
          </c:spPr>
          <c:marker>
            <c:symbol val="none"/>
          </c:marker>
          <c:cat>
            <c:strRef>
              <c:f>Sheet3!$Q$3:$AB$3</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Sheet3!$Q$5:$AB$5</c:f>
              <c:numCache>
                <c:formatCode>0.00</c:formatCode>
                <c:ptCount val="12"/>
                <c:pt idx="0">
                  <c:v>1.3889326444458445</c:v>
                </c:pt>
                <c:pt idx="1">
                  <c:v>3.5189545159859419</c:v>
                </c:pt>
                <c:pt idx="2">
                  <c:v>3.9139912041691938</c:v>
                </c:pt>
                <c:pt idx="3">
                  <c:v>3.1912480821826428</c:v>
                </c:pt>
                <c:pt idx="4">
                  <c:v>2.706137526688583</c:v>
                </c:pt>
                <c:pt idx="5">
                  <c:v>2.783997611583819</c:v>
                </c:pt>
                <c:pt idx="6">
                  <c:v>2.7370379611916671</c:v>
                </c:pt>
                <c:pt idx="7">
                  <c:v>2.1710519902122307</c:v>
                </c:pt>
                <c:pt idx="8">
                  <c:v>1.4921914824597986</c:v>
                </c:pt>
                <c:pt idx="9">
                  <c:v>1.2592870228633282</c:v>
                </c:pt>
                <c:pt idx="10">
                  <c:v>0.95423691881380257</c:v>
                </c:pt>
                <c:pt idx="11">
                  <c:v>0.56854015519230849</c:v>
                </c:pt>
              </c:numCache>
            </c:numRef>
          </c:val>
          <c:smooth val="0"/>
        </c:ser>
        <c:ser>
          <c:idx val="2"/>
          <c:order val="2"/>
          <c:tx>
            <c:strRef>
              <c:f>Sheet3!$P$6</c:f>
              <c:strCache>
                <c:ptCount val="1"/>
                <c:pt idx="0">
                  <c:v>% access from population</c:v>
                </c:pt>
              </c:strCache>
            </c:strRef>
          </c:tx>
          <c:spPr>
            <a:ln w="19050" cap="rnd" cmpd="sng" algn="ctr">
              <a:solidFill>
                <a:schemeClr val="dk1">
                  <a:tint val="75000"/>
                </a:schemeClr>
              </a:solidFill>
              <a:prstDash val="solid"/>
              <a:round/>
            </a:ln>
            <a:effectLst/>
          </c:spPr>
          <c:marker>
            <c:symbol val="none"/>
          </c:marker>
          <c:cat>
            <c:strRef>
              <c:f>Sheet3!$Q$3:$AB$3</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Sheet3!$Q$6:$AB$6</c:f>
              <c:numCache>
                <c:formatCode>0.00</c:formatCode>
                <c:ptCount val="12"/>
                <c:pt idx="0">
                  <c:v>0.80059542561905372</c:v>
                </c:pt>
                <c:pt idx="1">
                  <c:v>2.0176067151192547</c:v>
                </c:pt>
                <c:pt idx="2">
                  <c:v>2.3812447712393219</c:v>
                </c:pt>
                <c:pt idx="3">
                  <c:v>2.0528984057100925</c:v>
                </c:pt>
                <c:pt idx="4">
                  <c:v>1.818212627512116</c:v>
                </c:pt>
                <c:pt idx="5">
                  <c:v>1.9118386934478886</c:v>
                </c:pt>
                <c:pt idx="6">
                  <c:v>1.9715298763789155</c:v>
                </c:pt>
                <c:pt idx="7">
                  <c:v>1.5819010759397003</c:v>
                </c:pt>
                <c:pt idx="8">
                  <c:v>1.1452106214375088</c:v>
                </c:pt>
                <c:pt idx="9">
                  <c:v>0.96924817587283119</c:v>
                </c:pt>
                <c:pt idx="10">
                  <c:v>0.72934782161813272</c:v>
                </c:pt>
                <c:pt idx="11">
                  <c:v>0.42278458541416547</c:v>
                </c:pt>
              </c:numCache>
            </c:numRef>
          </c:val>
          <c:smooth val="0"/>
        </c:ser>
        <c:ser>
          <c:idx val="3"/>
          <c:order val="3"/>
          <c:tx>
            <c:strRef>
              <c:f>Sheet3!$P$7</c:f>
              <c:strCache>
                <c:ptCount val="1"/>
                <c:pt idx="0">
                  <c:v>% 2 + sessions from population</c:v>
                </c:pt>
              </c:strCache>
            </c:strRef>
          </c:tx>
          <c:spPr>
            <a:ln w="19050" cap="rnd" cmpd="sng" algn="ctr">
              <a:solidFill>
                <a:schemeClr val="dk1">
                  <a:tint val="98500"/>
                </a:schemeClr>
              </a:solidFill>
              <a:prstDash val="solid"/>
              <a:round/>
            </a:ln>
            <a:effectLst/>
          </c:spPr>
          <c:marker>
            <c:symbol val="none"/>
          </c:marker>
          <c:cat>
            <c:strRef>
              <c:f>Sheet3!$Q$3:$AB$3</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Sheet3!$Q$7:$AB$7</c:f>
              <c:numCache>
                <c:formatCode>0.00</c:formatCode>
                <c:ptCount val="12"/>
                <c:pt idx="0">
                  <c:v>0.26581500850608025</c:v>
                </c:pt>
                <c:pt idx="1">
                  <c:v>0.81345753574231405</c:v>
                </c:pt>
                <c:pt idx="2">
                  <c:v>0.95633553101182767</c:v>
                </c:pt>
                <c:pt idx="3">
                  <c:v>0.82916416516576597</c:v>
                </c:pt>
                <c:pt idx="4">
                  <c:v>0.76704962664226584</c:v>
                </c:pt>
                <c:pt idx="5">
                  <c:v>0.81521288417840143</c:v>
                </c:pt>
                <c:pt idx="6">
                  <c:v>0.83882435209059192</c:v>
                </c:pt>
                <c:pt idx="7">
                  <c:v>0.69508759273521359</c:v>
                </c:pt>
                <c:pt idx="8">
                  <c:v>0.5268432272116409</c:v>
                </c:pt>
                <c:pt idx="9">
                  <c:v>0.44346519358691883</c:v>
                </c:pt>
                <c:pt idx="10">
                  <c:v>0.32767204838199082</c:v>
                </c:pt>
                <c:pt idx="11">
                  <c:v>0.19247209855318911</c:v>
                </c:pt>
              </c:numCache>
            </c:numRef>
          </c:val>
          <c:smooth val="0"/>
        </c:ser>
        <c:ser>
          <c:idx val="4"/>
          <c:order val="4"/>
          <c:tx>
            <c:strRef>
              <c:f>Sheet3!$P$8</c:f>
              <c:strCache>
                <c:ptCount val="1"/>
                <c:pt idx="0">
                  <c:v>% achieving MCIDs from population</c:v>
                </c:pt>
              </c:strCache>
            </c:strRef>
          </c:tx>
          <c:spPr>
            <a:ln w="19050" cap="rnd" cmpd="sng" algn="ctr">
              <a:solidFill>
                <a:schemeClr val="dk1">
                  <a:tint val="30000"/>
                </a:schemeClr>
              </a:solidFill>
              <a:prstDash val="solid"/>
              <a:round/>
            </a:ln>
            <a:effectLst/>
          </c:spPr>
          <c:marker>
            <c:symbol val="none"/>
          </c:marker>
          <c:cat>
            <c:strRef>
              <c:f>Sheet3!$Q$3:$AB$3</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Sheet3!$Q$8:$AB$8</c:f>
              <c:numCache>
                <c:formatCode>0.00</c:formatCode>
                <c:ptCount val="12"/>
                <c:pt idx="0">
                  <c:v>0.1035694033142209</c:v>
                </c:pt>
                <c:pt idx="1">
                  <c:v>0.301634421810489</c:v>
                </c:pt>
                <c:pt idx="2">
                  <c:v>0.37723829333251474</c:v>
                </c:pt>
                <c:pt idx="3">
                  <c:v>0.33153225268494435</c:v>
                </c:pt>
                <c:pt idx="4">
                  <c:v>0.31659154324962441</c:v>
                </c:pt>
                <c:pt idx="5">
                  <c:v>0.35079862666069561</c:v>
                </c:pt>
                <c:pt idx="6">
                  <c:v>0.35210291385954712</c:v>
                </c:pt>
                <c:pt idx="7">
                  <c:v>0.29441297756807094</c:v>
                </c:pt>
                <c:pt idx="8">
                  <c:v>0.22852078409564855</c:v>
                </c:pt>
                <c:pt idx="9">
                  <c:v>0.19616153902738903</c:v>
                </c:pt>
                <c:pt idx="10">
                  <c:v>0.1512965041462643</c:v>
                </c:pt>
                <c:pt idx="11">
                  <c:v>6.3067313846311993E-2</c:v>
                </c:pt>
              </c:numCache>
            </c:numRef>
          </c:val>
          <c:smooth val="0"/>
        </c:ser>
        <c:dLbls>
          <c:showLegendKey val="0"/>
          <c:showVal val="0"/>
          <c:showCatName val="0"/>
          <c:showSerName val="0"/>
          <c:showPercent val="0"/>
          <c:showBubbleSize val="0"/>
        </c:dLbls>
        <c:smooth val="0"/>
        <c:axId val="478597528"/>
        <c:axId val="485937808"/>
      </c:lineChart>
      <c:catAx>
        <c:axId val="4785975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Age</a:t>
                </a:r>
              </a:p>
            </c:rich>
          </c:tx>
          <c:layout>
            <c:manualLayout>
              <c:xMode val="edge"/>
              <c:yMode val="edge"/>
              <c:x val="0.43308391699656329"/>
              <c:y val="0.9274933930984332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85937808"/>
        <c:crosses val="autoZero"/>
        <c:auto val="1"/>
        <c:lblAlgn val="ctr"/>
        <c:lblOffset val="100"/>
        <c:noMultiLvlLbl val="0"/>
      </c:catAx>
      <c:valAx>
        <c:axId val="485937808"/>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Percent (%) estimated from population</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8597528"/>
        <c:crosses val="autoZero"/>
        <c:crossBetween val="between"/>
      </c:valAx>
      <c:spPr>
        <a:solidFill>
          <a:schemeClr val="bg1"/>
        </a:solidFill>
        <a:ln>
          <a:noFill/>
        </a:ln>
        <a:effectLst/>
      </c:spPr>
    </c:plotArea>
    <c:legend>
      <c:legendPos val="r"/>
      <c:layout>
        <c:manualLayout>
          <c:xMode val="edge"/>
          <c:yMode val="edge"/>
          <c:x val="0.82838215870326537"/>
          <c:y val="7.24027803385556E-2"/>
          <c:w val="0.16888888888888889"/>
          <c:h val="0.823390059529946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9852278080624556E-2"/>
          <c:y val="3.6259045346307542E-2"/>
          <c:w val="0.72416481593646953"/>
          <c:h val="0.81943740131765042"/>
        </c:manualLayout>
      </c:layout>
      <c:lineChart>
        <c:grouping val="standard"/>
        <c:varyColors val="0"/>
        <c:ser>
          <c:idx val="0"/>
          <c:order val="0"/>
          <c:tx>
            <c:strRef>
              <c:f>Sheet3!$P$11</c:f>
              <c:strCache>
                <c:ptCount val="1"/>
                <c:pt idx="0">
                  <c:v>% referred from population</c:v>
                </c:pt>
              </c:strCache>
            </c:strRef>
          </c:tx>
          <c:spPr>
            <a:ln w="19050" cap="rnd" cmpd="sng" algn="ctr">
              <a:solidFill>
                <a:schemeClr val="dk1">
                  <a:tint val="88500"/>
                </a:schemeClr>
              </a:solidFill>
              <a:prstDash val="solid"/>
              <a:round/>
            </a:ln>
            <a:effectLst/>
          </c:spPr>
          <c:marker>
            <c:symbol val="none"/>
          </c:marker>
          <c:cat>
            <c:strRef>
              <c:f>Sheet3!$Q$10:$AB$10</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Sheet3!$Q$11:$AB$11</c:f>
              <c:numCache>
                <c:formatCode>0.00</c:formatCode>
                <c:ptCount val="12"/>
                <c:pt idx="0">
                  <c:v>1.3889326444458445</c:v>
                </c:pt>
                <c:pt idx="1">
                  <c:v>3.5189545159859419</c:v>
                </c:pt>
                <c:pt idx="2">
                  <c:v>3.9139912041691938</c:v>
                </c:pt>
                <c:pt idx="3">
                  <c:v>3.1912480821826428</c:v>
                </c:pt>
                <c:pt idx="4">
                  <c:v>2.706137526688583</c:v>
                </c:pt>
                <c:pt idx="5">
                  <c:v>2.783997611583819</c:v>
                </c:pt>
                <c:pt idx="6">
                  <c:v>2.7370379611916671</c:v>
                </c:pt>
                <c:pt idx="7">
                  <c:v>2.1710519902122307</c:v>
                </c:pt>
                <c:pt idx="8">
                  <c:v>1.4921914824597986</c:v>
                </c:pt>
                <c:pt idx="9">
                  <c:v>1.2592870228633282</c:v>
                </c:pt>
                <c:pt idx="10">
                  <c:v>0.95423691881380257</c:v>
                </c:pt>
                <c:pt idx="11">
                  <c:v>0.56854015519230849</c:v>
                </c:pt>
              </c:numCache>
            </c:numRef>
          </c:val>
          <c:smooth val="0"/>
        </c:ser>
        <c:ser>
          <c:idx val="1"/>
          <c:order val="1"/>
          <c:tx>
            <c:strRef>
              <c:f>Sheet3!$P$12</c:f>
              <c:strCache>
                <c:ptCount val="1"/>
                <c:pt idx="0">
                  <c:v>% access from population</c:v>
                </c:pt>
              </c:strCache>
            </c:strRef>
          </c:tx>
          <c:spPr>
            <a:ln w="19050" cap="rnd" cmpd="sng" algn="ctr">
              <a:solidFill>
                <a:schemeClr val="dk1">
                  <a:tint val="55000"/>
                </a:schemeClr>
              </a:solidFill>
              <a:prstDash val="solid"/>
              <a:round/>
            </a:ln>
            <a:effectLst/>
          </c:spPr>
          <c:marker>
            <c:symbol val="none"/>
          </c:marker>
          <c:cat>
            <c:strRef>
              <c:f>Sheet3!$Q$10:$AB$10</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Sheet3!$Q$12:$AB$12</c:f>
              <c:numCache>
                <c:formatCode>0.00</c:formatCode>
                <c:ptCount val="12"/>
                <c:pt idx="0">
                  <c:v>0.80059542561905372</c:v>
                </c:pt>
                <c:pt idx="1">
                  <c:v>2.0176067151192547</c:v>
                </c:pt>
                <c:pt idx="2">
                  <c:v>2.3812447712393219</c:v>
                </c:pt>
                <c:pt idx="3">
                  <c:v>2.0528984057100925</c:v>
                </c:pt>
                <c:pt idx="4">
                  <c:v>1.818212627512116</c:v>
                </c:pt>
                <c:pt idx="5">
                  <c:v>1.9118386934478886</c:v>
                </c:pt>
                <c:pt idx="6">
                  <c:v>1.9715298763789155</c:v>
                </c:pt>
                <c:pt idx="7">
                  <c:v>1.5819010759397003</c:v>
                </c:pt>
                <c:pt idx="8">
                  <c:v>1.1452106214375088</c:v>
                </c:pt>
                <c:pt idx="9">
                  <c:v>0.96924817587283119</c:v>
                </c:pt>
                <c:pt idx="10">
                  <c:v>0.72934782161813272</c:v>
                </c:pt>
                <c:pt idx="11">
                  <c:v>0.42278458541416547</c:v>
                </c:pt>
              </c:numCache>
            </c:numRef>
          </c:val>
          <c:smooth val="0"/>
        </c:ser>
        <c:ser>
          <c:idx val="2"/>
          <c:order val="2"/>
          <c:tx>
            <c:strRef>
              <c:f>Sheet3!$P$13</c:f>
              <c:strCache>
                <c:ptCount val="1"/>
                <c:pt idx="0">
                  <c:v>% 2 + sessions from population</c:v>
                </c:pt>
              </c:strCache>
            </c:strRef>
          </c:tx>
          <c:spPr>
            <a:ln w="19050" cap="rnd" cmpd="sng" algn="ctr">
              <a:solidFill>
                <a:schemeClr val="dk1">
                  <a:tint val="75000"/>
                </a:schemeClr>
              </a:solidFill>
              <a:prstDash val="solid"/>
              <a:round/>
            </a:ln>
            <a:effectLst/>
          </c:spPr>
          <c:marker>
            <c:symbol val="none"/>
          </c:marker>
          <c:cat>
            <c:strRef>
              <c:f>Sheet3!$Q$10:$AB$10</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Sheet3!$Q$13:$AB$13</c:f>
              <c:numCache>
                <c:formatCode>0.00</c:formatCode>
                <c:ptCount val="12"/>
                <c:pt idx="0">
                  <c:v>0.26581500850608025</c:v>
                </c:pt>
                <c:pt idx="1">
                  <c:v>0.81345753574231405</c:v>
                </c:pt>
                <c:pt idx="2">
                  <c:v>0.95633553101182767</c:v>
                </c:pt>
                <c:pt idx="3">
                  <c:v>0.82916416516576597</c:v>
                </c:pt>
                <c:pt idx="4">
                  <c:v>0.76704962664226584</c:v>
                </c:pt>
                <c:pt idx="5">
                  <c:v>0.81521288417840143</c:v>
                </c:pt>
                <c:pt idx="6">
                  <c:v>0.83882435209059192</c:v>
                </c:pt>
                <c:pt idx="7">
                  <c:v>0.69508759273521359</c:v>
                </c:pt>
                <c:pt idx="8">
                  <c:v>0.5268432272116409</c:v>
                </c:pt>
                <c:pt idx="9">
                  <c:v>0.44346519358691883</c:v>
                </c:pt>
                <c:pt idx="10">
                  <c:v>0.32767204838199082</c:v>
                </c:pt>
                <c:pt idx="11">
                  <c:v>0.19247209855318911</c:v>
                </c:pt>
              </c:numCache>
            </c:numRef>
          </c:val>
          <c:smooth val="0"/>
        </c:ser>
        <c:ser>
          <c:idx val="3"/>
          <c:order val="3"/>
          <c:tx>
            <c:strRef>
              <c:f>Sheet3!$P$14</c:f>
              <c:strCache>
                <c:ptCount val="1"/>
                <c:pt idx="0">
                  <c:v>% achieving MCIDs from population</c:v>
                </c:pt>
              </c:strCache>
            </c:strRef>
          </c:tx>
          <c:spPr>
            <a:ln w="19050" cap="rnd" cmpd="sng" algn="ctr">
              <a:solidFill>
                <a:schemeClr val="dk1">
                  <a:tint val="98500"/>
                </a:schemeClr>
              </a:solidFill>
              <a:prstDash val="solid"/>
              <a:round/>
            </a:ln>
            <a:effectLst/>
          </c:spPr>
          <c:marker>
            <c:symbol val="none"/>
          </c:marker>
          <c:cat>
            <c:strRef>
              <c:f>Sheet3!$Q$10:$AB$10</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Sheet3!$Q$14:$AB$14</c:f>
              <c:numCache>
                <c:formatCode>0.00</c:formatCode>
                <c:ptCount val="12"/>
                <c:pt idx="0">
                  <c:v>0.1035694033142209</c:v>
                </c:pt>
                <c:pt idx="1">
                  <c:v>0.301634421810489</c:v>
                </c:pt>
                <c:pt idx="2">
                  <c:v>0.37723829333251474</c:v>
                </c:pt>
                <c:pt idx="3">
                  <c:v>0.33153225268494435</c:v>
                </c:pt>
                <c:pt idx="4">
                  <c:v>0.31659154324962441</c:v>
                </c:pt>
                <c:pt idx="5">
                  <c:v>0.35079862666069561</c:v>
                </c:pt>
                <c:pt idx="6">
                  <c:v>0.35210291385954712</c:v>
                </c:pt>
                <c:pt idx="7">
                  <c:v>0.29441297756807094</c:v>
                </c:pt>
                <c:pt idx="8">
                  <c:v>0.22852078409564855</c:v>
                </c:pt>
                <c:pt idx="9">
                  <c:v>0.19616153902738903</c:v>
                </c:pt>
                <c:pt idx="10">
                  <c:v>0.1512965041462643</c:v>
                </c:pt>
                <c:pt idx="11">
                  <c:v>6.3067313846311993E-2</c:v>
                </c:pt>
              </c:numCache>
            </c:numRef>
          </c:val>
          <c:smooth val="0"/>
        </c:ser>
        <c:dLbls>
          <c:showLegendKey val="0"/>
          <c:showVal val="0"/>
          <c:showCatName val="0"/>
          <c:showSerName val="0"/>
          <c:showPercent val="0"/>
          <c:showBubbleSize val="0"/>
        </c:dLbls>
        <c:smooth val="0"/>
        <c:axId val="380290984"/>
        <c:axId val="380289808"/>
      </c:lineChart>
      <c:catAx>
        <c:axId val="3802909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Age</a:t>
                </a:r>
              </a:p>
            </c:rich>
          </c:tx>
          <c:layout>
            <c:manualLayout>
              <c:xMode val="edge"/>
              <c:yMode val="edge"/>
              <c:x val="0.43257406147804001"/>
              <c:y val="0.9309794432129687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80289808"/>
        <c:crosses val="autoZero"/>
        <c:auto val="1"/>
        <c:lblAlgn val="ctr"/>
        <c:lblOffset val="100"/>
        <c:noMultiLvlLbl val="0"/>
      </c:catAx>
      <c:valAx>
        <c:axId val="380289808"/>
        <c:scaling>
          <c:orientation val="minMax"/>
          <c:max val="4"/>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Proportion (%)</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80290984"/>
        <c:crosses val="autoZero"/>
        <c:crossBetween val="between"/>
      </c:valAx>
      <c:spPr>
        <a:solidFill>
          <a:schemeClr val="bg1"/>
        </a:solidFill>
        <a:ln>
          <a:noFill/>
        </a:ln>
        <a:effectLst/>
      </c:spPr>
    </c:plotArea>
    <c:legend>
      <c:legendPos val="r"/>
      <c:layout>
        <c:manualLayout>
          <c:xMode val="edge"/>
          <c:yMode val="edge"/>
          <c:x val="0.81615389539722172"/>
          <c:y val="5.8028564522184564E-2"/>
          <c:w val="0.171025641025641"/>
          <c:h val="0.652068279185546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06856114139579"/>
          <c:y val="3.6259045346307542E-2"/>
          <c:w val="0.71610926038091394"/>
          <c:h val="0.80310820471412336"/>
        </c:manualLayout>
      </c:layout>
      <c:lineChart>
        <c:grouping val="standard"/>
        <c:varyColors val="0"/>
        <c:ser>
          <c:idx val="0"/>
          <c:order val="0"/>
          <c:tx>
            <c:strRef>
              <c:f>Sheet3!$P$17</c:f>
              <c:strCache>
                <c:ptCount val="1"/>
                <c:pt idx="0">
                  <c:v>% of referrals attending</c:v>
                </c:pt>
              </c:strCache>
            </c:strRef>
          </c:tx>
          <c:spPr>
            <a:ln w="19050" cap="rnd" cmpd="sng" algn="ctr">
              <a:solidFill>
                <a:schemeClr val="dk1">
                  <a:tint val="88500"/>
                </a:schemeClr>
              </a:solidFill>
              <a:prstDash val="solid"/>
              <a:round/>
            </a:ln>
            <a:effectLst/>
          </c:spPr>
          <c:marker>
            <c:symbol val="none"/>
          </c:marker>
          <c:cat>
            <c:strRef>
              <c:f>Sheet3!$Q$16:$AB$16</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Sheet3!$Q$17:$AB$17</c:f>
              <c:numCache>
                <c:formatCode>0.00</c:formatCode>
                <c:ptCount val="12"/>
                <c:pt idx="0">
                  <c:v>57.641054720725833</c:v>
                </c:pt>
                <c:pt idx="1">
                  <c:v>57.335401919906914</c:v>
                </c:pt>
                <c:pt idx="2">
                  <c:v>60.839297970389254</c:v>
                </c:pt>
                <c:pt idx="3">
                  <c:v>64.329013377926415</c:v>
                </c:pt>
                <c:pt idx="4">
                  <c:v>67.188478396994327</c:v>
                </c:pt>
                <c:pt idx="5">
                  <c:v>68.672425776983388</c:v>
                </c:pt>
                <c:pt idx="6">
                  <c:v>72.031513787281952</c:v>
                </c:pt>
                <c:pt idx="7">
                  <c:v>72.863343810806754</c:v>
                </c:pt>
                <c:pt idx="8">
                  <c:v>76.746894409937909</c:v>
                </c:pt>
                <c:pt idx="9">
                  <c:v>76.968011126564647</c:v>
                </c:pt>
                <c:pt idx="10">
                  <c:v>76.432572167169297</c:v>
                </c:pt>
                <c:pt idx="11">
                  <c:v>74.363188167625296</c:v>
                </c:pt>
              </c:numCache>
            </c:numRef>
          </c:val>
          <c:smooth val="0"/>
        </c:ser>
        <c:ser>
          <c:idx val="1"/>
          <c:order val="1"/>
          <c:tx>
            <c:strRef>
              <c:f>Sheet3!$P$18</c:f>
              <c:strCache>
                <c:ptCount val="1"/>
                <c:pt idx="0">
                  <c:v>% of referrals completing (2 + sessions)</c:v>
                </c:pt>
              </c:strCache>
            </c:strRef>
          </c:tx>
          <c:spPr>
            <a:ln w="19050" cap="rnd" cmpd="sng" algn="ctr">
              <a:solidFill>
                <a:schemeClr val="dk1">
                  <a:tint val="55000"/>
                </a:schemeClr>
              </a:solidFill>
              <a:prstDash val="solid"/>
              <a:round/>
            </a:ln>
            <a:effectLst/>
          </c:spPr>
          <c:marker>
            <c:symbol val="none"/>
          </c:marker>
          <c:cat>
            <c:strRef>
              <c:f>Sheet3!$Q$16:$AB$16</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Sheet3!$Q$18:$AB$18</c:f>
              <c:numCache>
                <c:formatCode>0.00</c:formatCode>
                <c:ptCount val="12"/>
                <c:pt idx="0">
                  <c:v>19.138077686419056</c:v>
                </c:pt>
                <c:pt idx="1">
                  <c:v>23.116454959759533</c:v>
                </c:pt>
                <c:pt idx="2">
                  <c:v>24.433768016472204</c:v>
                </c:pt>
                <c:pt idx="3">
                  <c:v>25.982441471571892</c:v>
                </c:pt>
                <c:pt idx="4">
                  <c:v>28.344813191400544</c:v>
                </c:pt>
                <c:pt idx="5">
                  <c:v>29.282097110515334</c:v>
                </c:pt>
                <c:pt idx="6">
                  <c:v>30.64715813168262</c:v>
                </c:pt>
                <c:pt idx="7">
                  <c:v>32.016165244723858</c:v>
                </c:pt>
                <c:pt idx="8">
                  <c:v>35.306677018633529</c:v>
                </c:pt>
                <c:pt idx="9">
                  <c:v>35.215577190542412</c:v>
                </c:pt>
                <c:pt idx="10">
                  <c:v>34.338647134855655</c:v>
                </c:pt>
                <c:pt idx="11">
                  <c:v>33.853738701725554</c:v>
                </c:pt>
              </c:numCache>
            </c:numRef>
          </c:val>
          <c:smooth val="0"/>
        </c:ser>
        <c:ser>
          <c:idx val="2"/>
          <c:order val="2"/>
          <c:tx>
            <c:strRef>
              <c:f>Sheet3!$P$19</c:f>
              <c:strCache>
                <c:ptCount val="1"/>
                <c:pt idx="0">
                  <c:v>% of referrals achieving MCIDs</c:v>
                </c:pt>
              </c:strCache>
            </c:strRef>
          </c:tx>
          <c:spPr>
            <a:ln w="19050" cap="rnd" cmpd="sng" algn="ctr">
              <a:solidFill>
                <a:schemeClr val="dk1">
                  <a:tint val="75000"/>
                </a:schemeClr>
              </a:solidFill>
              <a:prstDash val="solid"/>
              <a:round/>
            </a:ln>
            <a:effectLst/>
          </c:spPr>
          <c:marker>
            <c:symbol val="none"/>
          </c:marker>
          <c:cat>
            <c:strRef>
              <c:f>Sheet3!$Q$16:$AB$16</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Sheet3!$Q$19:$AB$19</c:f>
              <c:numCache>
                <c:formatCode>0.00</c:formatCode>
                <c:ptCount val="12"/>
                <c:pt idx="0">
                  <c:v>7.4567621207825354</c:v>
                </c:pt>
                <c:pt idx="1">
                  <c:v>8.5717056142732488</c:v>
                </c:pt>
                <c:pt idx="2">
                  <c:v>9.6381998235121067</c:v>
                </c:pt>
                <c:pt idx="3">
                  <c:v>10.388795986622073</c:v>
                </c:pt>
                <c:pt idx="4">
                  <c:v>11.699018993946984</c:v>
                </c:pt>
                <c:pt idx="5">
                  <c:v>12.600536193029495</c:v>
                </c:pt>
                <c:pt idx="6">
                  <c:v>12.864378165447381</c:v>
                </c:pt>
                <c:pt idx="7">
                  <c:v>13.560844185002248</c:v>
                </c:pt>
                <c:pt idx="8">
                  <c:v>15.314440993788821</c:v>
                </c:pt>
                <c:pt idx="9">
                  <c:v>15.577190542420027</c:v>
                </c:pt>
                <c:pt idx="10">
                  <c:v>15.855234812580788</c:v>
                </c:pt>
                <c:pt idx="11">
                  <c:v>11.092851273623667</c:v>
                </c:pt>
              </c:numCache>
            </c:numRef>
          </c:val>
          <c:smooth val="0"/>
        </c:ser>
        <c:dLbls>
          <c:showLegendKey val="0"/>
          <c:showVal val="0"/>
          <c:showCatName val="0"/>
          <c:showSerName val="0"/>
          <c:showPercent val="0"/>
          <c:showBubbleSize val="0"/>
        </c:dLbls>
        <c:smooth val="0"/>
        <c:axId val="485939376"/>
        <c:axId val="327495016"/>
      </c:lineChart>
      <c:catAx>
        <c:axId val="4859393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Age</a:t>
                </a:r>
              </a:p>
            </c:rich>
          </c:tx>
          <c:layout>
            <c:manualLayout>
              <c:xMode val="edge"/>
              <c:yMode val="edge"/>
              <c:x val="0.44499446511063911"/>
              <c:y val="0.914650246609441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27495016"/>
        <c:crosses val="autoZero"/>
        <c:auto val="1"/>
        <c:lblAlgn val="ctr"/>
        <c:lblOffset val="100"/>
        <c:noMultiLvlLbl val="0"/>
      </c:catAx>
      <c:valAx>
        <c:axId val="327495016"/>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Proportion (%)</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85939376"/>
        <c:crosses val="autoZero"/>
        <c:crossBetween val="between"/>
      </c:valAx>
      <c:spPr>
        <a:solidFill>
          <a:schemeClr val="bg1"/>
        </a:solidFill>
        <a:ln>
          <a:noFill/>
        </a:ln>
        <a:effectLst/>
      </c:spPr>
    </c:plotArea>
    <c:legend>
      <c:legendPos val="r"/>
      <c:layout>
        <c:manualLayout>
          <c:xMode val="edge"/>
          <c:yMode val="edge"/>
          <c:x val="0.82106837606837613"/>
          <c:y val="0.17260372254252021"/>
          <c:w val="0.16824786324786328"/>
          <c:h val="0.589475768500851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spPr>
            <a:ln w="19050" cap="rnd" cmpd="sng" algn="ctr">
              <a:solidFill>
                <a:schemeClr val="accent3"/>
              </a:solidFill>
              <a:prstDash val="solid"/>
              <a:round/>
            </a:ln>
            <a:effectLst/>
          </c:spPr>
          <c:marker>
            <c:symbol val="none"/>
          </c:marker>
          <c:cat>
            <c:strRef>
              <c:f>Sheet3!$Q$21:$AB$21</c:f>
              <c:strCache>
                <c:ptCount val="12"/>
                <c:pt idx="0">
                  <c:v>18-19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Sheet3!$Q$22:$AB$22</c:f>
              <c:numCache>
                <c:formatCode>0.00</c:formatCode>
                <c:ptCount val="12"/>
                <c:pt idx="0">
                  <c:v>38.962962962962962</c:v>
                </c:pt>
                <c:pt idx="1">
                  <c:v>37.080536912751683</c:v>
                </c:pt>
                <c:pt idx="2">
                  <c:v>39.446227929373997</c:v>
                </c:pt>
                <c:pt idx="3">
                  <c:v>39.983909895414314</c:v>
                </c:pt>
                <c:pt idx="4">
                  <c:v>41.273932253313696</c:v>
                </c:pt>
                <c:pt idx="5">
                  <c:v>43.03153611393693</c:v>
                </c:pt>
                <c:pt idx="6">
                  <c:v>41.975762027175918</c:v>
                </c:pt>
                <c:pt idx="7">
                  <c:v>42.356241234221592</c:v>
                </c:pt>
                <c:pt idx="8">
                  <c:v>43.375481033534903</c:v>
                </c:pt>
                <c:pt idx="9">
                  <c:v>44.233807266982616</c:v>
                </c:pt>
                <c:pt idx="10">
                  <c:v>46.173149309912162</c:v>
                </c:pt>
                <c:pt idx="11">
                  <c:v>32.76699029126214</c:v>
                </c:pt>
              </c:numCache>
            </c:numRef>
          </c:val>
          <c:smooth val="0"/>
        </c:ser>
        <c:dLbls>
          <c:showLegendKey val="0"/>
          <c:showVal val="0"/>
          <c:showCatName val="0"/>
          <c:showSerName val="0"/>
          <c:showPercent val="0"/>
          <c:showBubbleSize val="0"/>
        </c:dLbls>
        <c:smooth val="0"/>
        <c:axId val="344575320"/>
        <c:axId val="344575712"/>
      </c:lineChart>
      <c:catAx>
        <c:axId val="3445753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Age</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44575712"/>
        <c:crosses val="autoZero"/>
        <c:auto val="1"/>
        <c:lblAlgn val="ctr"/>
        <c:lblOffset val="100"/>
        <c:noMultiLvlLbl val="0"/>
      </c:catAx>
      <c:valAx>
        <c:axId val="344575712"/>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Proportion (%)</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44575320"/>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DF44-427A-401A-83D2-434093BE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Byng</dc:creator>
  <cp:lastModifiedBy>Sophie Pettit</cp:lastModifiedBy>
  <cp:revision>3</cp:revision>
  <cp:lastPrinted>2016-06-28T14:53:00Z</cp:lastPrinted>
  <dcterms:created xsi:type="dcterms:W3CDTF">2017-01-27T16:26:00Z</dcterms:created>
  <dcterms:modified xsi:type="dcterms:W3CDTF">2017-01-27T16:28:00Z</dcterms:modified>
</cp:coreProperties>
</file>