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0D7B4" w14:textId="77777777" w:rsidR="0037364D" w:rsidRDefault="0037364D" w:rsidP="00D650BF">
      <w:pPr>
        <w:spacing w:before="120" w:after="120"/>
        <w:contextualSpacing/>
        <w:jc w:val="center"/>
        <w:rPr>
          <w:rFonts w:ascii="Arial" w:hAnsi="Arial" w:cs="Arial"/>
          <w:b/>
          <w:bCs/>
          <w:sz w:val="22"/>
        </w:rPr>
      </w:pPr>
    </w:p>
    <w:p w14:paraId="190DA563" w14:textId="34261DF9" w:rsidR="0037364D" w:rsidRPr="006454B5" w:rsidRDefault="0037364D" w:rsidP="0037364D">
      <w:pPr>
        <w:jc w:val="center"/>
        <w:rPr>
          <w:rFonts w:ascii="Arial" w:hAnsi="Arial" w:cs="Arial"/>
          <w:b/>
          <w:bCs/>
          <w:sz w:val="22"/>
        </w:rPr>
      </w:pPr>
      <w:r w:rsidRPr="006454B5">
        <w:rPr>
          <w:rFonts w:ascii="Arial" w:hAnsi="Arial" w:cs="Arial"/>
          <w:b/>
          <w:bCs/>
          <w:sz w:val="22"/>
        </w:rPr>
        <w:t xml:space="preserve">Lessons from London: A Contemporary Examination of the Factors Affecting Attrition </w:t>
      </w:r>
      <w:proofErr w:type="gramStart"/>
      <w:r w:rsidRPr="006454B5">
        <w:rPr>
          <w:rFonts w:ascii="Arial" w:hAnsi="Arial" w:cs="Arial"/>
          <w:b/>
          <w:bCs/>
          <w:sz w:val="22"/>
        </w:rPr>
        <w:t>Among</w:t>
      </w:r>
      <w:proofErr w:type="gramEnd"/>
      <w:r w:rsidRPr="006454B5">
        <w:rPr>
          <w:rFonts w:ascii="Arial" w:hAnsi="Arial" w:cs="Arial"/>
          <w:b/>
          <w:bCs/>
          <w:sz w:val="22"/>
        </w:rPr>
        <w:t xml:space="preserve"> Rape Complaints</w:t>
      </w:r>
    </w:p>
    <w:p w14:paraId="3B8E7964" w14:textId="77777777" w:rsidR="0037364D" w:rsidRPr="006454B5" w:rsidRDefault="0037364D" w:rsidP="0037364D">
      <w:pPr>
        <w:jc w:val="center"/>
        <w:rPr>
          <w:rFonts w:ascii="Arial" w:hAnsi="Arial" w:cs="Arial"/>
          <w:sz w:val="22"/>
        </w:rPr>
      </w:pPr>
    </w:p>
    <w:p w14:paraId="63D3D488" w14:textId="77777777" w:rsidR="0037364D" w:rsidRPr="006454B5" w:rsidRDefault="0037364D" w:rsidP="0037364D">
      <w:pPr>
        <w:jc w:val="center"/>
        <w:rPr>
          <w:rFonts w:ascii="Arial" w:hAnsi="Arial" w:cs="Arial"/>
          <w:sz w:val="22"/>
          <w:vertAlign w:val="superscript"/>
        </w:rPr>
      </w:pPr>
      <w:r w:rsidRPr="006454B5">
        <w:rPr>
          <w:rFonts w:ascii="Arial" w:hAnsi="Arial" w:cs="Arial"/>
          <w:sz w:val="22"/>
        </w:rPr>
        <w:t>Anthony Murphy*</w:t>
      </w:r>
      <w:r w:rsidRPr="006454B5">
        <w:rPr>
          <w:rFonts w:ascii="Arial" w:hAnsi="Arial" w:cs="Arial"/>
          <w:sz w:val="22"/>
          <w:vertAlign w:val="superscript"/>
        </w:rPr>
        <w:t>1</w:t>
      </w:r>
      <w:proofErr w:type="gramStart"/>
      <w:r w:rsidRPr="006454B5">
        <w:rPr>
          <w:rFonts w:ascii="Arial" w:hAnsi="Arial" w:cs="Arial"/>
          <w:sz w:val="22"/>
          <w:vertAlign w:val="superscript"/>
        </w:rPr>
        <w:t>,2,5</w:t>
      </w:r>
      <w:proofErr w:type="gramEnd"/>
      <w:r w:rsidRPr="006454B5">
        <w:rPr>
          <w:rFonts w:ascii="Arial" w:hAnsi="Arial" w:cs="Arial"/>
          <w:sz w:val="22"/>
        </w:rPr>
        <w:t>, Ben Hine</w:t>
      </w:r>
      <w:r w:rsidRPr="006454B5">
        <w:rPr>
          <w:rFonts w:ascii="Arial" w:hAnsi="Arial" w:cs="Arial"/>
          <w:sz w:val="22"/>
          <w:vertAlign w:val="superscript"/>
        </w:rPr>
        <w:t>2</w:t>
      </w:r>
      <w:r w:rsidRPr="006454B5">
        <w:rPr>
          <w:rFonts w:ascii="Arial" w:hAnsi="Arial" w:cs="Arial"/>
          <w:sz w:val="22"/>
        </w:rPr>
        <w:t>, Julia A. Yesberg</w:t>
      </w:r>
      <w:r w:rsidRPr="006454B5">
        <w:rPr>
          <w:rFonts w:ascii="Arial" w:hAnsi="Arial" w:cs="Arial"/>
          <w:sz w:val="22"/>
          <w:vertAlign w:val="superscript"/>
        </w:rPr>
        <w:t>3</w:t>
      </w:r>
      <w:r w:rsidRPr="006454B5">
        <w:rPr>
          <w:rFonts w:ascii="Arial" w:hAnsi="Arial" w:cs="Arial"/>
          <w:sz w:val="22"/>
        </w:rPr>
        <w:t>, Daniela Wunsch</w:t>
      </w:r>
      <w:r w:rsidRPr="006454B5">
        <w:rPr>
          <w:rFonts w:ascii="Arial" w:hAnsi="Arial" w:cs="Arial"/>
          <w:sz w:val="22"/>
          <w:vertAlign w:val="superscript"/>
        </w:rPr>
        <w:t>4</w:t>
      </w:r>
      <w:r w:rsidRPr="006454B5">
        <w:rPr>
          <w:rFonts w:ascii="Arial" w:hAnsi="Arial" w:cs="Arial"/>
          <w:sz w:val="22"/>
        </w:rPr>
        <w:t>, and Barry Charleton</w:t>
      </w:r>
      <w:r w:rsidRPr="006454B5">
        <w:rPr>
          <w:rFonts w:ascii="Arial" w:hAnsi="Arial" w:cs="Arial"/>
          <w:sz w:val="22"/>
          <w:vertAlign w:val="superscript"/>
        </w:rPr>
        <w:t>4</w:t>
      </w:r>
    </w:p>
    <w:p w14:paraId="508D5220" w14:textId="77777777" w:rsidR="0037364D" w:rsidRPr="006454B5" w:rsidRDefault="0037364D" w:rsidP="0037364D">
      <w:pPr>
        <w:jc w:val="center"/>
        <w:rPr>
          <w:rFonts w:ascii="Arial" w:hAnsi="Arial" w:cs="Arial"/>
          <w:sz w:val="22"/>
          <w:vertAlign w:val="superscript"/>
        </w:rPr>
      </w:pPr>
    </w:p>
    <w:p w14:paraId="589484F8" w14:textId="77777777" w:rsidR="0037364D" w:rsidRPr="006454B5" w:rsidRDefault="0037364D" w:rsidP="0037364D">
      <w:pPr>
        <w:jc w:val="center"/>
        <w:rPr>
          <w:rFonts w:ascii="Arial" w:hAnsi="Arial" w:cs="Arial"/>
          <w:sz w:val="22"/>
        </w:rPr>
      </w:pPr>
      <w:r w:rsidRPr="006454B5">
        <w:rPr>
          <w:rFonts w:ascii="Arial" w:hAnsi="Arial" w:cs="Arial"/>
          <w:sz w:val="22"/>
          <w:vertAlign w:val="superscript"/>
        </w:rPr>
        <w:t xml:space="preserve">1 </w:t>
      </w:r>
      <w:r w:rsidRPr="006454B5">
        <w:rPr>
          <w:rFonts w:ascii="Arial" w:hAnsi="Arial" w:cs="Arial"/>
          <w:sz w:val="22"/>
        </w:rPr>
        <w:t>School of Psychology, University of Birmingham, United Kingdom</w:t>
      </w:r>
    </w:p>
    <w:p w14:paraId="54BDF4C9" w14:textId="77777777" w:rsidR="0037364D" w:rsidRPr="006454B5" w:rsidRDefault="0037364D" w:rsidP="0037364D">
      <w:pPr>
        <w:jc w:val="center"/>
        <w:rPr>
          <w:rFonts w:ascii="Arial" w:hAnsi="Arial" w:cs="Arial"/>
          <w:sz w:val="22"/>
        </w:rPr>
      </w:pPr>
      <w:r w:rsidRPr="006454B5">
        <w:rPr>
          <w:rFonts w:ascii="Arial" w:hAnsi="Arial" w:cs="Arial"/>
          <w:sz w:val="22"/>
          <w:vertAlign w:val="superscript"/>
        </w:rPr>
        <w:t xml:space="preserve">2 </w:t>
      </w:r>
      <w:r w:rsidRPr="006454B5">
        <w:rPr>
          <w:rFonts w:ascii="Arial" w:hAnsi="Arial" w:cs="Arial"/>
          <w:sz w:val="22"/>
        </w:rPr>
        <w:t>School of Health and Human Sciences, University of West London, United Kingdom</w:t>
      </w:r>
    </w:p>
    <w:p w14:paraId="1664A2EE" w14:textId="77777777" w:rsidR="0037364D" w:rsidRPr="006454B5" w:rsidRDefault="0037364D" w:rsidP="0037364D">
      <w:pPr>
        <w:jc w:val="center"/>
        <w:rPr>
          <w:rFonts w:ascii="Arial" w:hAnsi="Arial" w:cs="Arial"/>
          <w:sz w:val="22"/>
        </w:rPr>
      </w:pPr>
      <w:r w:rsidRPr="006454B5">
        <w:rPr>
          <w:rFonts w:ascii="Arial" w:hAnsi="Arial" w:cs="Arial"/>
          <w:sz w:val="22"/>
          <w:vertAlign w:val="superscript"/>
        </w:rPr>
        <w:t xml:space="preserve">3 </w:t>
      </w:r>
      <w:r w:rsidRPr="006454B5">
        <w:rPr>
          <w:rFonts w:ascii="Arial" w:hAnsi="Arial" w:cs="Arial"/>
          <w:sz w:val="22"/>
        </w:rPr>
        <w:t>Jill Dando Institute of Security and Crime Science, University College London</w:t>
      </w:r>
    </w:p>
    <w:p w14:paraId="2DCB4B1F" w14:textId="77777777" w:rsidR="0037364D" w:rsidRPr="006454B5" w:rsidRDefault="0037364D" w:rsidP="0037364D">
      <w:pPr>
        <w:jc w:val="center"/>
        <w:rPr>
          <w:rFonts w:ascii="Arial" w:hAnsi="Arial" w:cs="Arial"/>
          <w:sz w:val="22"/>
        </w:rPr>
      </w:pPr>
      <w:r w:rsidRPr="006454B5">
        <w:rPr>
          <w:rFonts w:ascii="Arial" w:hAnsi="Arial" w:cs="Arial"/>
          <w:sz w:val="22"/>
          <w:vertAlign w:val="superscript"/>
        </w:rPr>
        <w:t xml:space="preserve">4 </w:t>
      </w:r>
      <w:r w:rsidRPr="006454B5">
        <w:rPr>
          <w:rFonts w:ascii="Arial" w:hAnsi="Arial" w:cs="Arial"/>
          <w:sz w:val="22"/>
        </w:rPr>
        <w:t xml:space="preserve">Evidence &amp; Insight, London Mayor’s Office for Policing </w:t>
      </w:r>
      <w:proofErr w:type="gramStart"/>
      <w:r w:rsidRPr="006454B5">
        <w:rPr>
          <w:rFonts w:ascii="Arial" w:hAnsi="Arial" w:cs="Arial"/>
          <w:sz w:val="22"/>
        </w:rPr>
        <w:t>And</w:t>
      </w:r>
      <w:proofErr w:type="gramEnd"/>
      <w:r w:rsidRPr="006454B5">
        <w:rPr>
          <w:rFonts w:ascii="Arial" w:hAnsi="Arial" w:cs="Arial"/>
          <w:sz w:val="22"/>
        </w:rPr>
        <w:t xml:space="preserve"> Crime</w:t>
      </w:r>
    </w:p>
    <w:p w14:paraId="6B0DA2C0" w14:textId="77777777" w:rsidR="0037364D" w:rsidRPr="006454B5" w:rsidRDefault="0037364D" w:rsidP="0037364D">
      <w:pPr>
        <w:jc w:val="center"/>
        <w:rPr>
          <w:rFonts w:ascii="Arial" w:hAnsi="Arial" w:cs="Arial"/>
          <w:sz w:val="22"/>
        </w:rPr>
      </w:pPr>
      <w:r w:rsidRPr="006454B5">
        <w:rPr>
          <w:rFonts w:ascii="Arial" w:hAnsi="Arial" w:cs="Arial"/>
          <w:sz w:val="22"/>
          <w:vertAlign w:val="superscript"/>
        </w:rPr>
        <w:t xml:space="preserve">5 </w:t>
      </w:r>
      <w:r w:rsidRPr="006454B5">
        <w:rPr>
          <w:rFonts w:ascii="Arial" w:hAnsi="Arial" w:cs="Arial"/>
          <w:sz w:val="22"/>
        </w:rPr>
        <w:t>School of Science and Technology, Middlesex University, United Kingdom</w:t>
      </w:r>
    </w:p>
    <w:p w14:paraId="05298C53" w14:textId="77777777" w:rsidR="0037364D" w:rsidRPr="006454B5" w:rsidRDefault="0037364D" w:rsidP="0037364D">
      <w:pPr>
        <w:jc w:val="center"/>
        <w:rPr>
          <w:rFonts w:ascii="Arial" w:hAnsi="Arial" w:cs="Arial"/>
          <w:b/>
          <w:bCs/>
          <w:sz w:val="22"/>
        </w:rPr>
      </w:pPr>
    </w:p>
    <w:p w14:paraId="25F90746" w14:textId="77777777" w:rsidR="0037364D" w:rsidRPr="006454B5" w:rsidRDefault="0037364D" w:rsidP="0037364D">
      <w:pPr>
        <w:jc w:val="center"/>
        <w:rPr>
          <w:rFonts w:ascii="Arial" w:hAnsi="Arial" w:cs="Arial"/>
          <w:b/>
          <w:bCs/>
          <w:sz w:val="22"/>
        </w:rPr>
      </w:pPr>
      <w:r w:rsidRPr="006454B5">
        <w:rPr>
          <w:rFonts w:ascii="Arial" w:hAnsi="Arial" w:cs="Arial"/>
          <w:b/>
          <w:bCs/>
          <w:sz w:val="22"/>
        </w:rPr>
        <w:t>Author Note</w:t>
      </w:r>
    </w:p>
    <w:p w14:paraId="5D98C7F8" w14:textId="77777777" w:rsidR="0037364D" w:rsidRPr="006454B5" w:rsidRDefault="0037364D" w:rsidP="0037364D">
      <w:pPr>
        <w:ind w:firstLine="720"/>
        <w:rPr>
          <w:rFonts w:ascii="Arial" w:hAnsi="Arial" w:cs="Arial"/>
          <w:sz w:val="22"/>
        </w:rPr>
      </w:pPr>
      <w:r w:rsidRPr="006454B5">
        <w:rPr>
          <w:rFonts w:ascii="Arial" w:hAnsi="Arial" w:cs="Arial"/>
          <w:sz w:val="22"/>
        </w:rPr>
        <w:t xml:space="preserve">* Corresponding author: Anthony Murphy, School of Psychology, University of Birmingham. E-mail: </w:t>
      </w:r>
      <w:hyperlink r:id="rId8" w:history="1">
        <w:r w:rsidRPr="006454B5">
          <w:rPr>
            <w:rStyle w:val="Hyperlink"/>
            <w:rFonts w:ascii="Arial" w:hAnsi="Arial" w:cs="Arial"/>
            <w:sz w:val="22"/>
          </w:rPr>
          <w:t>a.d.murphy@bham.ac.uk</w:t>
        </w:r>
      </w:hyperlink>
      <w:r w:rsidRPr="006454B5">
        <w:rPr>
          <w:rFonts w:ascii="Arial" w:hAnsi="Arial" w:cs="Arial"/>
          <w:sz w:val="22"/>
        </w:rPr>
        <w:t xml:space="preserve"> </w:t>
      </w:r>
    </w:p>
    <w:p w14:paraId="493C5022" w14:textId="77777777" w:rsidR="0037364D" w:rsidRPr="006454B5" w:rsidRDefault="0037364D" w:rsidP="0037364D">
      <w:pPr>
        <w:ind w:firstLine="720"/>
        <w:rPr>
          <w:rFonts w:ascii="Arial" w:hAnsi="Arial" w:cs="Arial"/>
          <w:sz w:val="22"/>
        </w:rPr>
      </w:pPr>
      <w:r w:rsidRPr="006454B5">
        <w:rPr>
          <w:rFonts w:ascii="Arial" w:hAnsi="Arial" w:cs="Arial"/>
          <w:sz w:val="22"/>
        </w:rPr>
        <w:t>This research did not receive any specific grant from funding agencies in the public, commercial, or not-for-profit sectors.</w:t>
      </w:r>
    </w:p>
    <w:p w14:paraId="29DAF66E" w14:textId="77777777" w:rsidR="0037364D" w:rsidRPr="006454B5" w:rsidRDefault="0037364D" w:rsidP="0037364D"/>
    <w:p w14:paraId="20964131" w14:textId="4FFEBAC5" w:rsidR="0037364D" w:rsidRPr="006454B5" w:rsidRDefault="0037364D">
      <w:pPr>
        <w:spacing w:after="0" w:line="240" w:lineRule="auto"/>
        <w:rPr>
          <w:rFonts w:ascii="Arial" w:hAnsi="Arial" w:cs="Arial"/>
          <w:b/>
          <w:bCs/>
          <w:sz w:val="22"/>
        </w:rPr>
      </w:pPr>
      <w:r w:rsidRPr="006454B5">
        <w:rPr>
          <w:rFonts w:ascii="Arial" w:hAnsi="Arial" w:cs="Arial"/>
          <w:b/>
          <w:bCs/>
          <w:sz w:val="22"/>
        </w:rPr>
        <w:br w:type="page"/>
      </w:r>
    </w:p>
    <w:p w14:paraId="7A4FF00E" w14:textId="77777777" w:rsidR="0037364D" w:rsidRPr="006454B5" w:rsidRDefault="0037364D">
      <w:pPr>
        <w:spacing w:after="0" w:line="240" w:lineRule="auto"/>
        <w:rPr>
          <w:rFonts w:ascii="Arial" w:hAnsi="Arial" w:cs="Arial"/>
          <w:b/>
          <w:bCs/>
          <w:sz w:val="22"/>
        </w:rPr>
      </w:pPr>
    </w:p>
    <w:p w14:paraId="71376B1C" w14:textId="06AFC7F2" w:rsidR="00C53FA0" w:rsidRPr="006454B5" w:rsidRDefault="009F4F9E" w:rsidP="00D650BF">
      <w:pPr>
        <w:spacing w:before="120" w:after="120"/>
        <w:contextualSpacing/>
        <w:jc w:val="center"/>
        <w:rPr>
          <w:rFonts w:ascii="Arial" w:hAnsi="Arial" w:cs="Arial"/>
          <w:sz w:val="22"/>
        </w:rPr>
      </w:pPr>
      <w:r w:rsidRPr="006454B5">
        <w:rPr>
          <w:rFonts w:ascii="Arial" w:hAnsi="Arial" w:cs="Arial"/>
          <w:b/>
          <w:bCs/>
          <w:sz w:val="22"/>
        </w:rPr>
        <w:t>Abstract</w:t>
      </w:r>
    </w:p>
    <w:p w14:paraId="45A4E4D5" w14:textId="2C97FE27" w:rsidR="009F4F9E" w:rsidRPr="006454B5" w:rsidRDefault="00316BF8" w:rsidP="000C7544">
      <w:pPr>
        <w:spacing w:before="120" w:after="120"/>
        <w:contextualSpacing/>
        <w:rPr>
          <w:rFonts w:ascii="Arial" w:hAnsi="Arial" w:cs="Arial"/>
          <w:sz w:val="22"/>
        </w:rPr>
      </w:pPr>
      <w:r w:rsidRPr="006454B5">
        <w:rPr>
          <w:rFonts w:ascii="Arial" w:hAnsi="Arial" w:cs="Arial"/>
          <w:sz w:val="22"/>
        </w:rPr>
        <w:t>S</w:t>
      </w:r>
      <w:r w:rsidR="009F4F9E" w:rsidRPr="006454B5">
        <w:rPr>
          <w:rFonts w:ascii="Arial" w:hAnsi="Arial" w:cs="Arial"/>
          <w:sz w:val="22"/>
        </w:rPr>
        <w:t>evere levels of attrition in rape cases within the criminal justice system</w:t>
      </w:r>
      <w:r w:rsidRPr="006454B5">
        <w:rPr>
          <w:rFonts w:ascii="Arial" w:hAnsi="Arial" w:cs="Arial"/>
          <w:sz w:val="22"/>
        </w:rPr>
        <w:t xml:space="preserve"> are</w:t>
      </w:r>
      <w:r w:rsidR="009F4F9E" w:rsidRPr="006454B5">
        <w:rPr>
          <w:rFonts w:ascii="Arial" w:hAnsi="Arial" w:cs="Arial"/>
          <w:sz w:val="22"/>
        </w:rPr>
        <w:t xml:space="preserve"> widely recognised. Previous reviews</w:t>
      </w:r>
      <w:r w:rsidR="00006245" w:rsidRPr="006454B5">
        <w:rPr>
          <w:rFonts w:ascii="Arial" w:hAnsi="Arial" w:cs="Arial"/>
          <w:sz w:val="22"/>
        </w:rPr>
        <w:t xml:space="preserve"> (e.g., </w:t>
      </w:r>
      <w:proofErr w:type="spellStart"/>
      <w:r w:rsidR="00B66033" w:rsidRPr="006454B5">
        <w:rPr>
          <w:rFonts w:ascii="Arial" w:hAnsi="Arial" w:cs="Arial"/>
          <w:sz w:val="22"/>
        </w:rPr>
        <w:t>Hohl</w:t>
      </w:r>
      <w:proofErr w:type="spellEnd"/>
      <w:r w:rsidR="00B66033" w:rsidRPr="006454B5">
        <w:rPr>
          <w:rFonts w:ascii="Arial" w:hAnsi="Arial" w:cs="Arial"/>
          <w:sz w:val="22"/>
        </w:rPr>
        <w:t xml:space="preserve"> and </w:t>
      </w:r>
      <w:proofErr w:type="spellStart"/>
      <w:r w:rsidR="00B66033" w:rsidRPr="006454B5">
        <w:rPr>
          <w:rFonts w:ascii="Arial" w:hAnsi="Arial" w:cs="Arial"/>
          <w:sz w:val="22"/>
        </w:rPr>
        <w:t>Stanko</w:t>
      </w:r>
      <w:proofErr w:type="spellEnd"/>
      <w:r w:rsidR="00006245" w:rsidRPr="006454B5">
        <w:rPr>
          <w:rFonts w:ascii="Arial" w:hAnsi="Arial" w:cs="Arial"/>
          <w:sz w:val="22"/>
        </w:rPr>
        <w:t xml:space="preserve">, </w:t>
      </w:r>
      <w:r w:rsidR="00B66033" w:rsidRPr="006454B5">
        <w:rPr>
          <w:rFonts w:ascii="Arial" w:hAnsi="Arial" w:cs="Arial"/>
          <w:sz w:val="22"/>
        </w:rPr>
        <w:t>2015)</w:t>
      </w:r>
      <w:r w:rsidR="009F4F9E" w:rsidRPr="006454B5">
        <w:rPr>
          <w:rFonts w:ascii="Arial" w:hAnsi="Arial" w:cs="Arial"/>
          <w:sz w:val="22"/>
        </w:rPr>
        <w:t xml:space="preserve"> have provided information on the general profile of cases, their outcomes, and the relationship between the two, </w:t>
      </w:r>
      <w:r w:rsidR="001C0CA4" w:rsidRPr="006454B5">
        <w:rPr>
          <w:rFonts w:ascii="Arial" w:hAnsi="Arial" w:cs="Arial"/>
          <w:sz w:val="22"/>
        </w:rPr>
        <w:t xml:space="preserve">in attempts to </w:t>
      </w:r>
      <w:r w:rsidR="009F4F9E" w:rsidRPr="006454B5">
        <w:rPr>
          <w:rFonts w:ascii="Arial" w:hAnsi="Arial" w:cs="Arial"/>
          <w:sz w:val="22"/>
        </w:rPr>
        <w:t xml:space="preserve">understand </w:t>
      </w:r>
      <w:r w:rsidR="00006245" w:rsidRPr="006454B5">
        <w:rPr>
          <w:rFonts w:ascii="Arial" w:hAnsi="Arial" w:cs="Arial"/>
          <w:sz w:val="22"/>
        </w:rPr>
        <w:t>these patterns</w:t>
      </w:r>
      <w:r w:rsidR="009F4F9E" w:rsidRPr="006454B5">
        <w:rPr>
          <w:rFonts w:ascii="Arial" w:hAnsi="Arial" w:cs="Arial"/>
          <w:sz w:val="22"/>
        </w:rPr>
        <w:t xml:space="preserve">. However, </w:t>
      </w:r>
      <w:r w:rsidR="00B66033" w:rsidRPr="006454B5">
        <w:rPr>
          <w:rFonts w:ascii="Arial" w:hAnsi="Arial" w:cs="Arial"/>
          <w:sz w:val="22"/>
        </w:rPr>
        <w:t xml:space="preserve">recent </w:t>
      </w:r>
      <w:r w:rsidR="009F4F9E" w:rsidRPr="006454B5">
        <w:rPr>
          <w:rFonts w:ascii="Arial" w:hAnsi="Arial" w:cs="Arial"/>
          <w:sz w:val="22"/>
        </w:rPr>
        <w:t xml:space="preserve">changes to the landscape of rape investigation </w:t>
      </w:r>
      <w:r w:rsidR="00006245" w:rsidRPr="006454B5">
        <w:rPr>
          <w:rFonts w:ascii="Arial" w:hAnsi="Arial" w:cs="Arial"/>
          <w:sz w:val="22"/>
        </w:rPr>
        <w:t>(e.g., the impact of technology) justify</w:t>
      </w:r>
      <w:r w:rsidR="009F4F9E" w:rsidRPr="006454B5">
        <w:rPr>
          <w:rFonts w:ascii="Arial" w:hAnsi="Arial" w:cs="Arial"/>
          <w:sz w:val="22"/>
        </w:rPr>
        <w:t xml:space="preserve"> a more contemporary </w:t>
      </w:r>
      <w:r w:rsidR="00E21653" w:rsidRPr="006454B5">
        <w:rPr>
          <w:rFonts w:ascii="Arial" w:hAnsi="Arial" w:cs="Arial"/>
          <w:sz w:val="22"/>
        </w:rPr>
        <w:t>assessment</w:t>
      </w:r>
      <w:r w:rsidR="009F4F9E" w:rsidRPr="006454B5">
        <w:rPr>
          <w:rFonts w:ascii="Arial" w:hAnsi="Arial" w:cs="Arial"/>
          <w:sz w:val="22"/>
        </w:rPr>
        <w:t>. The present study coded 446 cases</w:t>
      </w:r>
      <w:r w:rsidR="00601CF7" w:rsidRPr="006454B5">
        <w:rPr>
          <w:rFonts w:ascii="Arial" w:hAnsi="Arial" w:cs="Arial"/>
          <w:sz w:val="22"/>
        </w:rPr>
        <w:t xml:space="preserve"> of rape</w:t>
      </w:r>
      <w:r w:rsidR="009F4F9E" w:rsidRPr="006454B5">
        <w:rPr>
          <w:rFonts w:ascii="Arial" w:hAnsi="Arial" w:cs="Arial"/>
          <w:sz w:val="22"/>
        </w:rPr>
        <w:t xml:space="preserve"> reported in London in </w:t>
      </w:r>
      <w:r w:rsidR="00601CF7" w:rsidRPr="006454B5">
        <w:rPr>
          <w:rFonts w:ascii="Arial" w:hAnsi="Arial" w:cs="Arial"/>
          <w:sz w:val="22"/>
        </w:rPr>
        <w:t xml:space="preserve">April </w:t>
      </w:r>
      <w:r w:rsidR="009F4F9E" w:rsidRPr="006454B5">
        <w:rPr>
          <w:rFonts w:ascii="Arial" w:hAnsi="Arial" w:cs="Arial"/>
          <w:sz w:val="22"/>
        </w:rPr>
        <w:t>2016, on a variety of victim, suspect, offence, and procedural characteristics, as well as case outcomes</w:t>
      </w:r>
      <w:r w:rsidR="00006245" w:rsidRPr="006454B5">
        <w:rPr>
          <w:rFonts w:ascii="Arial" w:hAnsi="Arial" w:cs="Arial"/>
          <w:sz w:val="22"/>
        </w:rPr>
        <w:t xml:space="preserve">. </w:t>
      </w:r>
      <w:r w:rsidR="00601CF7" w:rsidRPr="006454B5">
        <w:rPr>
          <w:rFonts w:ascii="Arial" w:hAnsi="Arial" w:cs="Arial"/>
          <w:sz w:val="22"/>
        </w:rPr>
        <w:t>We conducted d</w:t>
      </w:r>
      <w:r w:rsidR="009F4F9E" w:rsidRPr="006454B5">
        <w:rPr>
          <w:rFonts w:ascii="Arial" w:hAnsi="Arial" w:cs="Arial"/>
          <w:sz w:val="22"/>
        </w:rPr>
        <w:t xml:space="preserve">escriptive analyses of case profiles and inferential examinations of the relationship between case characteristics and outcomes. </w:t>
      </w:r>
      <w:r w:rsidR="00EA16EE" w:rsidRPr="006454B5">
        <w:rPr>
          <w:rFonts w:ascii="Arial" w:hAnsi="Arial" w:cs="Arial"/>
          <w:sz w:val="22"/>
        </w:rPr>
        <w:t>Findings suggest the</w:t>
      </w:r>
      <w:r w:rsidR="009F4F9E" w:rsidRPr="006454B5">
        <w:rPr>
          <w:rFonts w:ascii="Arial" w:hAnsi="Arial" w:cs="Arial"/>
          <w:sz w:val="22"/>
        </w:rPr>
        <w:t xml:space="preserve"> profile of victims, suspects, and the context of offences has remained mostly similar</w:t>
      </w:r>
      <w:r w:rsidR="00006245" w:rsidRPr="006454B5">
        <w:rPr>
          <w:rFonts w:ascii="Arial" w:hAnsi="Arial" w:cs="Arial"/>
          <w:sz w:val="22"/>
        </w:rPr>
        <w:t>, with some noticeable changes (e.g., a larger array of victim vulnerabilities). Moreover, s</w:t>
      </w:r>
      <w:r w:rsidR="009F4F9E" w:rsidRPr="006454B5">
        <w:rPr>
          <w:rFonts w:ascii="Arial" w:hAnsi="Arial" w:cs="Arial"/>
          <w:sz w:val="22"/>
        </w:rPr>
        <w:t>everal existing, exacerbated, as well as novel procedural challenges present</w:t>
      </w:r>
      <w:r w:rsidR="00006245" w:rsidRPr="006454B5">
        <w:rPr>
          <w:rFonts w:ascii="Arial" w:hAnsi="Arial" w:cs="Arial"/>
          <w:sz w:val="22"/>
        </w:rPr>
        <w:t xml:space="preserve"> (e.g., delay due to workload, third party materials)</w:t>
      </w:r>
      <w:r w:rsidR="009F4F9E" w:rsidRPr="006454B5">
        <w:rPr>
          <w:rFonts w:ascii="Arial" w:hAnsi="Arial" w:cs="Arial"/>
          <w:sz w:val="22"/>
        </w:rPr>
        <w:t xml:space="preserve">. </w:t>
      </w:r>
      <w:r w:rsidR="00C004A2" w:rsidRPr="006454B5">
        <w:rPr>
          <w:rFonts w:ascii="Arial" w:hAnsi="Arial" w:cs="Arial"/>
          <w:sz w:val="22"/>
        </w:rPr>
        <w:t>Additionally,</w:t>
      </w:r>
      <w:r w:rsidR="009F4F9E" w:rsidRPr="006454B5">
        <w:rPr>
          <w:rFonts w:ascii="Arial" w:hAnsi="Arial" w:cs="Arial"/>
          <w:sz w:val="22"/>
        </w:rPr>
        <w:t xml:space="preserve"> many rape-myth related case factors no longer predict case outcomes and officers instead may now engage in greater ‘downstream’ orientation, and anticipation of case uptake, when evaluating cases. Recommendations for policy and practice are discussed.</w:t>
      </w:r>
    </w:p>
    <w:p w14:paraId="7D1A1D61" w14:textId="4F1340DE" w:rsidR="009F4F9E" w:rsidRPr="006454B5" w:rsidRDefault="009F4F9E" w:rsidP="000C7544">
      <w:pPr>
        <w:spacing w:before="120" w:after="120"/>
        <w:contextualSpacing/>
        <w:rPr>
          <w:rFonts w:ascii="Arial" w:hAnsi="Arial" w:cs="Arial"/>
          <w:i/>
          <w:iCs/>
          <w:sz w:val="22"/>
        </w:rPr>
      </w:pPr>
      <w:r w:rsidRPr="006454B5">
        <w:rPr>
          <w:rFonts w:ascii="Arial" w:hAnsi="Arial" w:cs="Arial"/>
          <w:sz w:val="22"/>
        </w:rPr>
        <w:tab/>
      </w:r>
      <w:r w:rsidRPr="006454B5">
        <w:rPr>
          <w:rFonts w:ascii="Arial" w:hAnsi="Arial" w:cs="Arial"/>
          <w:i/>
          <w:iCs/>
          <w:sz w:val="22"/>
        </w:rPr>
        <w:t xml:space="preserve">Keywords: </w:t>
      </w:r>
      <w:r w:rsidRPr="006454B5">
        <w:rPr>
          <w:rFonts w:ascii="Arial" w:hAnsi="Arial" w:cs="Arial"/>
          <w:sz w:val="22"/>
        </w:rPr>
        <w:t>rape, attrition, investigation, policing, rape myth, case review</w:t>
      </w:r>
    </w:p>
    <w:p w14:paraId="6DE5FE5B" w14:textId="77777777" w:rsidR="009F4F9E" w:rsidRPr="006454B5" w:rsidRDefault="009F4F9E" w:rsidP="000C7544">
      <w:pPr>
        <w:spacing w:before="120" w:after="120"/>
        <w:contextualSpacing/>
        <w:rPr>
          <w:rFonts w:ascii="Arial" w:hAnsi="Arial" w:cs="Arial"/>
          <w:sz w:val="22"/>
        </w:rPr>
      </w:pPr>
      <w:r w:rsidRPr="006454B5">
        <w:rPr>
          <w:rFonts w:ascii="Arial" w:hAnsi="Arial" w:cs="Arial"/>
          <w:sz w:val="22"/>
        </w:rPr>
        <w:t xml:space="preserve"> </w:t>
      </w:r>
    </w:p>
    <w:p w14:paraId="2B5BED75" w14:textId="77777777" w:rsidR="009F4F9E" w:rsidRPr="006454B5" w:rsidRDefault="009F4F9E" w:rsidP="000C7544">
      <w:pPr>
        <w:spacing w:before="120" w:after="120"/>
        <w:contextualSpacing/>
        <w:rPr>
          <w:rFonts w:ascii="Arial" w:hAnsi="Arial" w:cs="Arial"/>
          <w:sz w:val="22"/>
        </w:rPr>
      </w:pPr>
    </w:p>
    <w:p w14:paraId="00B179D9" w14:textId="77777777" w:rsidR="009F4F9E" w:rsidRPr="006454B5" w:rsidRDefault="009F4F9E" w:rsidP="000C7544">
      <w:pPr>
        <w:spacing w:before="120" w:after="120"/>
        <w:contextualSpacing/>
        <w:rPr>
          <w:rFonts w:ascii="Arial" w:hAnsi="Arial" w:cs="Arial"/>
          <w:sz w:val="22"/>
        </w:rPr>
      </w:pPr>
      <w:r w:rsidRPr="006454B5">
        <w:rPr>
          <w:rFonts w:ascii="Arial" w:hAnsi="Arial" w:cs="Arial"/>
          <w:sz w:val="22"/>
        </w:rPr>
        <w:t> </w:t>
      </w:r>
    </w:p>
    <w:p w14:paraId="62E4EE39" w14:textId="77777777" w:rsidR="009F4F9E" w:rsidRPr="006454B5" w:rsidRDefault="009F4F9E" w:rsidP="000C7544">
      <w:pPr>
        <w:spacing w:before="120" w:after="120"/>
        <w:contextualSpacing/>
        <w:rPr>
          <w:rFonts w:ascii="Arial" w:hAnsi="Arial" w:cs="Arial"/>
          <w:sz w:val="22"/>
        </w:rPr>
      </w:pPr>
      <w:r w:rsidRPr="006454B5">
        <w:rPr>
          <w:rFonts w:ascii="Arial" w:hAnsi="Arial" w:cs="Arial"/>
          <w:sz w:val="22"/>
        </w:rPr>
        <w:br w:type="page"/>
      </w:r>
    </w:p>
    <w:p w14:paraId="5C5905D4" w14:textId="77777777" w:rsidR="009F4F9E" w:rsidRPr="006454B5" w:rsidRDefault="009F4F9E" w:rsidP="000C7544">
      <w:pPr>
        <w:spacing w:before="120" w:after="120"/>
        <w:contextualSpacing/>
        <w:jc w:val="center"/>
        <w:rPr>
          <w:rFonts w:ascii="Arial" w:hAnsi="Arial" w:cs="Arial"/>
          <w:b/>
          <w:bCs/>
          <w:sz w:val="22"/>
        </w:rPr>
      </w:pPr>
      <w:r w:rsidRPr="006454B5">
        <w:rPr>
          <w:rFonts w:ascii="Arial" w:hAnsi="Arial" w:cs="Arial"/>
          <w:b/>
          <w:bCs/>
          <w:sz w:val="22"/>
        </w:rPr>
        <w:lastRenderedPageBreak/>
        <w:t xml:space="preserve">Lessons from London: A Contemporary Examination of the Factors Affecting Attrition </w:t>
      </w:r>
      <w:proofErr w:type="gramStart"/>
      <w:r w:rsidRPr="006454B5">
        <w:rPr>
          <w:rFonts w:ascii="Arial" w:hAnsi="Arial" w:cs="Arial"/>
          <w:b/>
          <w:bCs/>
          <w:sz w:val="22"/>
        </w:rPr>
        <w:t>Among</w:t>
      </w:r>
      <w:proofErr w:type="gramEnd"/>
      <w:r w:rsidRPr="006454B5">
        <w:rPr>
          <w:rFonts w:ascii="Arial" w:hAnsi="Arial" w:cs="Arial"/>
          <w:b/>
          <w:bCs/>
          <w:sz w:val="22"/>
        </w:rPr>
        <w:t xml:space="preserve"> Rape Complaints</w:t>
      </w:r>
    </w:p>
    <w:p w14:paraId="5343C455" w14:textId="18EF9F25" w:rsidR="007642B7" w:rsidRPr="006454B5" w:rsidRDefault="002F4A6E" w:rsidP="008800BC">
      <w:pPr>
        <w:spacing w:before="120" w:after="120"/>
        <w:ind w:firstLine="720"/>
        <w:contextualSpacing/>
        <w:rPr>
          <w:rFonts w:ascii="Arial" w:hAnsi="Arial" w:cs="Arial"/>
          <w:sz w:val="22"/>
        </w:rPr>
      </w:pPr>
      <w:r w:rsidRPr="006454B5">
        <w:rPr>
          <w:rFonts w:ascii="Arial" w:hAnsi="Arial" w:cs="Arial"/>
          <w:spacing w:val="-1"/>
          <w:sz w:val="22"/>
        </w:rPr>
        <w:t>There</w:t>
      </w:r>
      <w:r w:rsidR="009F4F9E" w:rsidRPr="006454B5">
        <w:rPr>
          <w:rFonts w:ascii="Arial" w:hAnsi="Arial" w:cs="Arial"/>
          <w:sz w:val="22"/>
        </w:rPr>
        <w:t xml:space="preserve"> is widespread acknowledgement that cases of rape </w:t>
      </w:r>
      <w:r w:rsidR="007002F3" w:rsidRPr="006454B5">
        <w:rPr>
          <w:rFonts w:ascii="Arial" w:hAnsi="Arial" w:cs="Arial"/>
          <w:sz w:val="22"/>
        </w:rPr>
        <w:t xml:space="preserve">are subject to </w:t>
      </w:r>
      <w:r w:rsidR="009F4F9E" w:rsidRPr="006454B5">
        <w:rPr>
          <w:rFonts w:ascii="Arial" w:hAnsi="Arial" w:cs="Arial"/>
          <w:sz w:val="22"/>
        </w:rPr>
        <w:t>chronic and severe levels of attrition within the Criminal Justice System (CJS) of the United Kingdom (UK) (</w:t>
      </w:r>
      <w:proofErr w:type="spellStart"/>
      <w:r w:rsidR="009F4F9E" w:rsidRPr="006454B5">
        <w:rPr>
          <w:rFonts w:ascii="Arial" w:hAnsi="Arial" w:cs="Arial"/>
          <w:sz w:val="22"/>
        </w:rPr>
        <w:t>Hohl</w:t>
      </w:r>
      <w:proofErr w:type="spellEnd"/>
      <w:r w:rsidR="009F4F9E" w:rsidRPr="006454B5">
        <w:rPr>
          <w:rFonts w:ascii="Arial" w:hAnsi="Arial" w:cs="Arial"/>
          <w:sz w:val="22"/>
        </w:rPr>
        <w:t xml:space="preserve"> &amp; </w:t>
      </w:r>
      <w:proofErr w:type="spellStart"/>
      <w:r w:rsidR="009F4F9E" w:rsidRPr="006454B5">
        <w:rPr>
          <w:rFonts w:ascii="Arial" w:hAnsi="Arial" w:cs="Arial"/>
          <w:sz w:val="22"/>
        </w:rPr>
        <w:t>Stanko</w:t>
      </w:r>
      <w:proofErr w:type="spellEnd"/>
      <w:r w:rsidR="009F4F9E" w:rsidRPr="006454B5">
        <w:rPr>
          <w:rFonts w:ascii="Arial" w:hAnsi="Arial" w:cs="Arial"/>
          <w:sz w:val="22"/>
        </w:rPr>
        <w:t xml:space="preserve">, 2015; Horvath &amp; Brown, 2009). </w:t>
      </w:r>
      <w:r w:rsidR="00BE0AF1" w:rsidRPr="006454B5">
        <w:rPr>
          <w:rFonts w:ascii="Arial" w:hAnsi="Arial" w:cs="Arial"/>
          <w:sz w:val="22"/>
        </w:rPr>
        <w:t xml:space="preserve">In the current manuscript, rape is defined in line with the Sexual Offences Act (2003) as: If a person (“A”), with A's penis – penetrates to any extent, without (1) another person (“B”) consenting, and (2) without any reasonable belief that B consents, either intending to do so or reckless as to whether there is penetration, the vagina, anus or mouth of B then – A commits an offence, to be known as the offence of rape. </w:t>
      </w:r>
      <w:r w:rsidR="009F4F9E" w:rsidRPr="006454B5">
        <w:rPr>
          <w:rFonts w:ascii="Arial" w:hAnsi="Arial" w:cs="Arial"/>
          <w:sz w:val="22"/>
        </w:rPr>
        <w:t xml:space="preserve">Recent statistics </w:t>
      </w:r>
      <w:r w:rsidR="004730DE" w:rsidRPr="006454B5">
        <w:rPr>
          <w:rFonts w:ascii="Arial" w:hAnsi="Arial" w:cs="Arial"/>
          <w:sz w:val="22"/>
        </w:rPr>
        <w:t xml:space="preserve">show </w:t>
      </w:r>
      <w:r w:rsidR="009F4F9E" w:rsidRPr="006454B5">
        <w:rPr>
          <w:rFonts w:ascii="Arial" w:hAnsi="Arial" w:cs="Arial"/>
          <w:sz w:val="22"/>
        </w:rPr>
        <w:t xml:space="preserve">that, despite a 9% increase in </w:t>
      </w:r>
      <w:r w:rsidR="00041932" w:rsidRPr="006454B5">
        <w:rPr>
          <w:rFonts w:ascii="Arial" w:hAnsi="Arial" w:cs="Arial"/>
          <w:sz w:val="22"/>
        </w:rPr>
        <w:t>incidences or rape reported to the police</w:t>
      </w:r>
      <w:r w:rsidR="009F4F9E" w:rsidRPr="006454B5">
        <w:rPr>
          <w:rFonts w:ascii="Arial" w:hAnsi="Arial" w:cs="Arial"/>
          <w:sz w:val="22"/>
        </w:rPr>
        <w:t xml:space="preserve"> during the year ending March 2019, only 1.5% resulted in </w:t>
      </w:r>
      <w:r w:rsidR="00041932" w:rsidRPr="006454B5">
        <w:rPr>
          <w:rFonts w:ascii="Arial" w:hAnsi="Arial" w:cs="Arial"/>
          <w:sz w:val="22"/>
        </w:rPr>
        <w:t xml:space="preserve">a charge or summons </w:t>
      </w:r>
      <w:r w:rsidR="009F4F9E" w:rsidRPr="006454B5">
        <w:rPr>
          <w:rFonts w:ascii="Arial" w:hAnsi="Arial" w:cs="Arial"/>
          <w:sz w:val="22"/>
        </w:rPr>
        <w:t>(Home Office, 2019). Such findings reinforce the recognition of a long-established ‘justice gap’ for rape victims (</w:t>
      </w:r>
      <w:proofErr w:type="spellStart"/>
      <w:r w:rsidR="009F4F9E" w:rsidRPr="006454B5">
        <w:rPr>
          <w:rFonts w:ascii="Arial" w:hAnsi="Arial" w:cs="Arial"/>
          <w:sz w:val="22"/>
        </w:rPr>
        <w:t>Lonsway</w:t>
      </w:r>
      <w:proofErr w:type="spellEnd"/>
      <w:r w:rsidR="009F4F9E" w:rsidRPr="006454B5">
        <w:rPr>
          <w:rFonts w:ascii="Arial" w:hAnsi="Arial" w:cs="Arial"/>
          <w:sz w:val="22"/>
        </w:rPr>
        <w:t xml:space="preserve"> &amp; </w:t>
      </w:r>
      <w:proofErr w:type="spellStart"/>
      <w:r w:rsidR="009F4F9E" w:rsidRPr="006454B5">
        <w:rPr>
          <w:rFonts w:ascii="Arial" w:hAnsi="Arial" w:cs="Arial"/>
          <w:sz w:val="22"/>
        </w:rPr>
        <w:t>Archambault</w:t>
      </w:r>
      <w:proofErr w:type="spellEnd"/>
      <w:r w:rsidR="009F4F9E" w:rsidRPr="006454B5">
        <w:rPr>
          <w:rFonts w:ascii="Arial" w:hAnsi="Arial" w:cs="Arial"/>
          <w:sz w:val="22"/>
        </w:rPr>
        <w:t>, 2012)</w:t>
      </w:r>
      <w:r w:rsidR="000158CC" w:rsidRPr="006454B5">
        <w:rPr>
          <w:rFonts w:ascii="Arial" w:hAnsi="Arial" w:cs="Arial"/>
          <w:sz w:val="22"/>
        </w:rPr>
        <w:t xml:space="preserve">. Although </w:t>
      </w:r>
      <w:r w:rsidR="009F4F9E" w:rsidRPr="006454B5">
        <w:rPr>
          <w:rFonts w:ascii="Arial" w:hAnsi="Arial" w:cs="Arial"/>
          <w:sz w:val="22"/>
        </w:rPr>
        <w:t>the above issues arguably characterise myriad crimes (Lea</w:t>
      </w:r>
      <w:r w:rsidR="008800BC" w:rsidRPr="006454B5">
        <w:rPr>
          <w:rFonts w:ascii="Arial" w:hAnsi="Arial" w:cs="Arial"/>
          <w:sz w:val="22"/>
        </w:rPr>
        <w:t xml:space="preserve"> et al.</w:t>
      </w:r>
      <w:r w:rsidR="00A915F7" w:rsidRPr="006454B5">
        <w:rPr>
          <w:rFonts w:ascii="Arial" w:hAnsi="Arial" w:cs="Arial"/>
          <w:sz w:val="22"/>
        </w:rPr>
        <w:t xml:space="preserve">, </w:t>
      </w:r>
      <w:r w:rsidR="009F4F9E" w:rsidRPr="006454B5">
        <w:rPr>
          <w:rFonts w:ascii="Arial" w:hAnsi="Arial" w:cs="Arial"/>
          <w:sz w:val="22"/>
        </w:rPr>
        <w:t>2003), they impact sexual offences disproportionately (Roberts, 1996)</w:t>
      </w:r>
      <w:r w:rsidR="006836C3" w:rsidRPr="006454B5">
        <w:rPr>
          <w:rFonts w:ascii="Arial" w:hAnsi="Arial" w:cs="Arial"/>
          <w:sz w:val="22"/>
        </w:rPr>
        <w:t xml:space="preserve">, resulting in </w:t>
      </w:r>
      <w:r w:rsidR="009F4F9E" w:rsidRPr="006454B5">
        <w:rPr>
          <w:rFonts w:ascii="Arial" w:hAnsi="Arial" w:cs="Arial"/>
          <w:sz w:val="22"/>
        </w:rPr>
        <w:t>the lowest conviction rate</w:t>
      </w:r>
      <w:r w:rsidR="006836C3" w:rsidRPr="006454B5">
        <w:rPr>
          <w:rFonts w:ascii="Arial" w:hAnsi="Arial" w:cs="Arial"/>
          <w:sz w:val="22"/>
        </w:rPr>
        <w:t xml:space="preserve"> for rape cases</w:t>
      </w:r>
      <w:r w:rsidR="009F4F9E" w:rsidRPr="006454B5">
        <w:rPr>
          <w:rFonts w:ascii="Arial" w:hAnsi="Arial" w:cs="Arial"/>
          <w:sz w:val="22"/>
        </w:rPr>
        <w:t xml:space="preserve"> across all crime types (Phillips &amp; Brown, 1998), with the UK responsible for some of the worst conviction rates across Europe (</w:t>
      </w:r>
      <w:proofErr w:type="spellStart"/>
      <w:r w:rsidR="009F4F9E" w:rsidRPr="006454B5">
        <w:rPr>
          <w:rFonts w:ascii="Arial" w:hAnsi="Arial" w:cs="Arial"/>
          <w:sz w:val="22"/>
        </w:rPr>
        <w:t>Hohl</w:t>
      </w:r>
      <w:proofErr w:type="spellEnd"/>
      <w:r w:rsidR="009F4F9E" w:rsidRPr="006454B5">
        <w:rPr>
          <w:rFonts w:ascii="Arial" w:hAnsi="Arial" w:cs="Arial"/>
          <w:sz w:val="22"/>
        </w:rPr>
        <w:t xml:space="preserve"> &amp; </w:t>
      </w:r>
      <w:proofErr w:type="spellStart"/>
      <w:r w:rsidR="009F4F9E" w:rsidRPr="006454B5">
        <w:rPr>
          <w:rFonts w:ascii="Arial" w:hAnsi="Arial" w:cs="Arial"/>
          <w:sz w:val="22"/>
        </w:rPr>
        <w:t>Stanko</w:t>
      </w:r>
      <w:proofErr w:type="spellEnd"/>
      <w:r w:rsidR="009F4F9E" w:rsidRPr="006454B5">
        <w:rPr>
          <w:rFonts w:ascii="Arial" w:hAnsi="Arial" w:cs="Arial"/>
          <w:sz w:val="22"/>
        </w:rPr>
        <w:t xml:space="preserve">, 2015). The reasons for </w:t>
      </w:r>
      <w:r w:rsidR="0041725B" w:rsidRPr="006454B5">
        <w:rPr>
          <w:rFonts w:ascii="Arial" w:hAnsi="Arial" w:cs="Arial"/>
          <w:sz w:val="22"/>
        </w:rPr>
        <w:t>such</w:t>
      </w:r>
      <w:r w:rsidR="00055AE0" w:rsidRPr="006454B5">
        <w:rPr>
          <w:rFonts w:ascii="Arial" w:hAnsi="Arial" w:cs="Arial"/>
          <w:sz w:val="22"/>
        </w:rPr>
        <w:t xml:space="preserve"> </w:t>
      </w:r>
      <w:r w:rsidR="009F4F9E" w:rsidRPr="006454B5">
        <w:rPr>
          <w:rFonts w:ascii="Arial" w:hAnsi="Arial" w:cs="Arial"/>
          <w:sz w:val="22"/>
        </w:rPr>
        <w:t xml:space="preserve">high levels of attrition are multiple and complex, and relate to (among others): low levels of reporting from victims in the first instance (Daly &amp; </w:t>
      </w:r>
      <w:proofErr w:type="spellStart"/>
      <w:r w:rsidR="009F4F9E" w:rsidRPr="006454B5">
        <w:rPr>
          <w:rFonts w:ascii="Arial" w:hAnsi="Arial" w:cs="Arial"/>
          <w:sz w:val="22"/>
        </w:rPr>
        <w:t>Bouhours</w:t>
      </w:r>
      <w:proofErr w:type="spellEnd"/>
      <w:r w:rsidR="009F4F9E" w:rsidRPr="006454B5">
        <w:rPr>
          <w:rFonts w:ascii="Arial" w:hAnsi="Arial" w:cs="Arial"/>
          <w:sz w:val="22"/>
        </w:rPr>
        <w:t xml:space="preserve">, 2010; </w:t>
      </w:r>
      <w:r w:rsidR="009E4421" w:rsidRPr="006454B5">
        <w:rPr>
          <w:rFonts w:ascii="Arial" w:hAnsi="Arial" w:cs="Arial"/>
          <w:sz w:val="22"/>
        </w:rPr>
        <w:t>Kelly</w:t>
      </w:r>
      <w:r w:rsidR="008800BC" w:rsidRPr="006454B5">
        <w:rPr>
          <w:rFonts w:ascii="Arial" w:hAnsi="Arial" w:cs="Arial"/>
          <w:sz w:val="22"/>
        </w:rPr>
        <w:t xml:space="preserve"> et al.</w:t>
      </w:r>
      <w:r w:rsidR="009E4421" w:rsidRPr="006454B5">
        <w:rPr>
          <w:rFonts w:ascii="Arial" w:hAnsi="Arial" w:cs="Arial"/>
          <w:sz w:val="22"/>
        </w:rPr>
        <w:t>,</w:t>
      </w:r>
      <w:r w:rsidR="008800BC" w:rsidRPr="006454B5">
        <w:rPr>
          <w:rFonts w:ascii="Arial" w:hAnsi="Arial" w:cs="Arial"/>
          <w:sz w:val="22"/>
        </w:rPr>
        <w:t xml:space="preserve"> </w:t>
      </w:r>
      <w:r w:rsidR="009F4F9E" w:rsidRPr="006454B5">
        <w:rPr>
          <w:rFonts w:ascii="Arial" w:hAnsi="Arial" w:cs="Arial"/>
          <w:sz w:val="22"/>
        </w:rPr>
        <w:t>2005); the nature of the investigation process itself (Jordan, 2001, 2011), for example, the distress caused in having to r</w:t>
      </w:r>
      <w:r w:rsidR="0086787D">
        <w:rPr>
          <w:rFonts w:ascii="Arial" w:hAnsi="Arial" w:cs="Arial"/>
          <w:sz w:val="22"/>
        </w:rPr>
        <w:t>ecount the details of the rape</w:t>
      </w:r>
      <w:r w:rsidR="009F4F9E" w:rsidRPr="006454B5">
        <w:rPr>
          <w:rFonts w:ascii="Arial" w:hAnsi="Arial" w:cs="Arial"/>
          <w:sz w:val="22"/>
        </w:rPr>
        <w:t>, their dress, lifestyle, and behaviours (Brooks &amp; Burman, 2017; McMillan, 2015); low levels of referral from police to prosecutors (</w:t>
      </w:r>
      <w:proofErr w:type="spellStart"/>
      <w:r w:rsidR="009F4F9E" w:rsidRPr="006454B5">
        <w:rPr>
          <w:rFonts w:ascii="Arial" w:hAnsi="Arial" w:cs="Arial"/>
          <w:sz w:val="22"/>
        </w:rPr>
        <w:t>Hohl</w:t>
      </w:r>
      <w:proofErr w:type="spellEnd"/>
      <w:r w:rsidR="009F4F9E" w:rsidRPr="006454B5">
        <w:rPr>
          <w:rFonts w:ascii="Arial" w:hAnsi="Arial" w:cs="Arial"/>
          <w:sz w:val="22"/>
        </w:rPr>
        <w:t xml:space="preserve"> &amp; </w:t>
      </w:r>
      <w:proofErr w:type="spellStart"/>
      <w:r w:rsidR="009F4F9E" w:rsidRPr="006454B5">
        <w:rPr>
          <w:rFonts w:ascii="Arial" w:hAnsi="Arial" w:cs="Arial"/>
          <w:sz w:val="22"/>
        </w:rPr>
        <w:t>Stanko</w:t>
      </w:r>
      <w:proofErr w:type="spellEnd"/>
      <w:r w:rsidR="009F4F9E" w:rsidRPr="006454B5">
        <w:rPr>
          <w:rFonts w:ascii="Arial" w:hAnsi="Arial" w:cs="Arial"/>
          <w:sz w:val="22"/>
        </w:rPr>
        <w:t>, 2015); the process of prosecution through the courts (Brooks &amp; Burman, 2017; Kelly et al., 2005); and jury decision-making (</w:t>
      </w:r>
      <w:proofErr w:type="spellStart"/>
      <w:r w:rsidR="009F4F9E" w:rsidRPr="006454B5">
        <w:rPr>
          <w:rFonts w:ascii="Arial" w:hAnsi="Arial" w:cs="Arial"/>
          <w:sz w:val="22"/>
        </w:rPr>
        <w:t>Dinos</w:t>
      </w:r>
      <w:proofErr w:type="spellEnd"/>
      <w:r w:rsidR="008800BC" w:rsidRPr="006454B5">
        <w:rPr>
          <w:rFonts w:ascii="Arial" w:hAnsi="Arial" w:cs="Arial"/>
          <w:sz w:val="22"/>
        </w:rPr>
        <w:t xml:space="preserve"> et al.</w:t>
      </w:r>
      <w:r w:rsidR="009E4421" w:rsidRPr="006454B5">
        <w:rPr>
          <w:rFonts w:ascii="Arial" w:hAnsi="Arial" w:cs="Arial"/>
          <w:sz w:val="22"/>
        </w:rPr>
        <w:t xml:space="preserve">, </w:t>
      </w:r>
      <w:r w:rsidR="009F4F9E" w:rsidRPr="006454B5">
        <w:rPr>
          <w:rFonts w:ascii="Arial" w:hAnsi="Arial" w:cs="Arial"/>
          <w:sz w:val="22"/>
        </w:rPr>
        <w:t xml:space="preserve">2015). </w:t>
      </w:r>
      <w:r w:rsidR="00FE540D" w:rsidRPr="006454B5">
        <w:rPr>
          <w:rFonts w:ascii="Arial" w:hAnsi="Arial" w:cs="Arial"/>
          <w:sz w:val="22"/>
        </w:rPr>
        <w:t>Moreover, m</w:t>
      </w:r>
      <w:r w:rsidR="007F48F2" w:rsidRPr="006454B5">
        <w:rPr>
          <w:rFonts w:ascii="Arial" w:hAnsi="Arial" w:cs="Arial"/>
          <w:sz w:val="22"/>
        </w:rPr>
        <w:t xml:space="preserve">any reviews have highlighted that, when cases are reported, </w:t>
      </w:r>
      <w:r w:rsidR="00FE540D" w:rsidRPr="006454B5">
        <w:rPr>
          <w:rFonts w:ascii="Arial" w:hAnsi="Arial" w:cs="Arial"/>
          <w:sz w:val="22"/>
        </w:rPr>
        <w:t>the biggest sources of attrition are within the police investigative stage, and relate to both decisions by pol</w:t>
      </w:r>
      <w:r w:rsidR="0086787D">
        <w:rPr>
          <w:rFonts w:ascii="Arial" w:hAnsi="Arial" w:cs="Arial"/>
          <w:sz w:val="22"/>
        </w:rPr>
        <w:t>ice officers and victim</w:t>
      </w:r>
      <w:r w:rsidR="00FE540D" w:rsidRPr="006454B5">
        <w:rPr>
          <w:rFonts w:ascii="Arial" w:hAnsi="Arial" w:cs="Arial"/>
          <w:sz w:val="22"/>
        </w:rPr>
        <w:t xml:space="preserve">s (e.g., withdrawal; </w:t>
      </w:r>
      <w:proofErr w:type="spellStart"/>
      <w:r w:rsidR="00FE540D" w:rsidRPr="006454B5">
        <w:rPr>
          <w:rFonts w:ascii="Arial" w:hAnsi="Arial" w:cs="Arial"/>
          <w:sz w:val="22"/>
        </w:rPr>
        <w:t>Hohl</w:t>
      </w:r>
      <w:proofErr w:type="spellEnd"/>
      <w:r w:rsidR="00FE540D" w:rsidRPr="006454B5">
        <w:rPr>
          <w:rFonts w:ascii="Arial" w:hAnsi="Arial" w:cs="Arial"/>
          <w:sz w:val="22"/>
        </w:rPr>
        <w:t xml:space="preserve"> &amp; </w:t>
      </w:r>
      <w:proofErr w:type="spellStart"/>
      <w:r w:rsidR="00FE540D" w:rsidRPr="006454B5">
        <w:rPr>
          <w:rFonts w:ascii="Arial" w:hAnsi="Arial" w:cs="Arial"/>
          <w:sz w:val="22"/>
        </w:rPr>
        <w:t>Stanko</w:t>
      </w:r>
      <w:proofErr w:type="spellEnd"/>
      <w:r w:rsidR="00FE540D" w:rsidRPr="006454B5">
        <w:rPr>
          <w:rFonts w:ascii="Arial" w:hAnsi="Arial" w:cs="Arial"/>
          <w:sz w:val="22"/>
        </w:rPr>
        <w:t>, 2015)</w:t>
      </w:r>
      <w:r w:rsidR="00974414">
        <w:rPr>
          <w:rFonts w:ascii="Arial" w:hAnsi="Arial" w:cs="Arial"/>
          <w:sz w:val="22"/>
        </w:rPr>
        <w:t>.</w:t>
      </w:r>
    </w:p>
    <w:p w14:paraId="3AD22977" w14:textId="01030804" w:rsidR="00FD5EA3" w:rsidRPr="006454B5" w:rsidRDefault="00557511" w:rsidP="0086787D">
      <w:pPr>
        <w:spacing w:before="120" w:after="120"/>
        <w:ind w:firstLine="720"/>
        <w:contextualSpacing/>
        <w:rPr>
          <w:rFonts w:ascii="Arial" w:hAnsi="Arial" w:cs="Arial"/>
          <w:sz w:val="22"/>
        </w:rPr>
      </w:pPr>
      <w:r w:rsidRPr="006454B5">
        <w:rPr>
          <w:rFonts w:ascii="Arial" w:hAnsi="Arial" w:cs="Arial"/>
          <w:sz w:val="22"/>
        </w:rPr>
        <w:lastRenderedPageBreak/>
        <w:t>P</w:t>
      </w:r>
      <w:r w:rsidR="00E21653" w:rsidRPr="006454B5">
        <w:rPr>
          <w:rFonts w:ascii="Arial" w:hAnsi="Arial" w:cs="Arial"/>
          <w:sz w:val="22"/>
        </w:rPr>
        <w:t xml:space="preserve">revious reviews have </w:t>
      </w:r>
      <w:r w:rsidR="00FE540D" w:rsidRPr="006454B5">
        <w:rPr>
          <w:rFonts w:ascii="Arial" w:hAnsi="Arial" w:cs="Arial"/>
          <w:sz w:val="22"/>
        </w:rPr>
        <w:t>identif</w:t>
      </w:r>
      <w:r w:rsidR="008E7D2D" w:rsidRPr="006454B5">
        <w:rPr>
          <w:rFonts w:ascii="Arial" w:hAnsi="Arial" w:cs="Arial"/>
          <w:sz w:val="22"/>
        </w:rPr>
        <w:t>ied</w:t>
      </w:r>
      <w:r w:rsidR="00FE540D" w:rsidRPr="006454B5">
        <w:rPr>
          <w:rFonts w:ascii="Arial" w:hAnsi="Arial" w:cs="Arial"/>
          <w:sz w:val="22"/>
        </w:rPr>
        <w:t xml:space="preserve"> </w:t>
      </w:r>
      <w:r w:rsidR="00E21653" w:rsidRPr="006454B5">
        <w:rPr>
          <w:rFonts w:ascii="Arial" w:hAnsi="Arial" w:cs="Arial"/>
          <w:sz w:val="22"/>
        </w:rPr>
        <w:t xml:space="preserve">specific case characteristics that </w:t>
      </w:r>
      <w:r w:rsidR="00FE540D" w:rsidRPr="006454B5">
        <w:rPr>
          <w:rFonts w:ascii="Arial" w:hAnsi="Arial" w:cs="Arial"/>
          <w:sz w:val="22"/>
        </w:rPr>
        <w:t>may increase or decrease the likelihood of</w:t>
      </w:r>
      <w:r w:rsidR="00E21653" w:rsidRPr="006454B5">
        <w:rPr>
          <w:rFonts w:ascii="Arial" w:hAnsi="Arial" w:cs="Arial"/>
          <w:sz w:val="22"/>
        </w:rPr>
        <w:t xml:space="preserve"> “negative” case outcomes </w:t>
      </w:r>
      <w:r w:rsidR="00FE540D" w:rsidRPr="006454B5">
        <w:rPr>
          <w:rFonts w:ascii="Arial" w:hAnsi="Arial" w:cs="Arial"/>
          <w:sz w:val="22"/>
        </w:rPr>
        <w:t xml:space="preserve">during this stage of the criminal justice process </w:t>
      </w:r>
      <w:r w:rsidR="00E21653" w:rsidRPr="006454B5">
        <w:rPr>
          <w:rFonts w:ascii="Arial" w:hAnsi="Arial" w:cs="Arial"/>
          <w:sz w:val="22"/>
        </w:rPr>
        <w:t>(</w:t>
      </w:r>
      <w:r w:rsidR="00FE540D" w:rsidRPr="006454B5">
        <w:rPr>
          <w:rFonts w:ascii="Arial" w:hAnsi="Arial" w:cs="Arial"/>
          <w:sz w:val="22"/>
        </w:rPr>
        <w:t xml:space="preserve">the most recent in the UK being </w:t>
      </w:r>
      <w:proofErr w:type="spellStart"/>
      <w:r w:rsidR="00E21653" w:rsidRPr="006454B5">
        <w:rPr>
          <w:rFonts w:ascii="Arial" w:hAnsi="Arial" w:cs="Arial"/>
          <w:sz w:val="22"/>
        </w:rPr>
        <w:t>Hohl</w:t>
      </w:r>
      <w:proofErr w:type="spellEnd"/>
      <w:r w:rsidR="00E21653" w:rsidRPr="006454B5">
        <w:rPr>
          <w:rFonts w:ascii="Arial" w:hAnsi="Arial" w:cs="Arial"/>
          <w:sz w:val="22"/>
        </w:rPr>
        <w:t xml:space="preserve"> &amp; </w:t>
      </w:r>
      <w:proofErr w:type="spellStart"/>
      <w:r w:rsidR="00E21653" w:rsidRPr="006454B5">
        <w:rPr>
          <w:rFonts w:ascii="Arial" w:hAnsi="Arial" w:cs="Arial"/>
          <w:sz w:val="22"/>
        </w:rPr>
        <w:t>Stanko</w:t>
      </w:r>
      <w:proofErr w:type="spellEnd"/>
      <w:r w:rsidR="00E21653" w:rsidRPr="006454B5">
        <w:rPr>
          <w:rFonts w:ascii="Arial" w:hAnsi="Arial" w:cs="Arial"/>
          <w:sz w:val="22"/>
        </w:rPr>
        <w:t>, 201</w:t>
      </w:r>
      <w:r w:rsidR="00B15283" w:rsidRPr="006454B5">
        <w:rPr>
          <w:rFonts w:ascii="Arial" w:hAnsi="Arial" w:cs="Arial"/>
          <w:sz w:val="22"/>
        </w:rPr>
        <w:t>5</w:t>
      </w:r>
      <w:r w:rsidR="008E7D2D" w:rsidRPr="006454B5">
        <w:rPr>
          <w:rFonts w:ascii="Arial" w:hAnsi="Arial" w:cs="Arial"/>
          <w:sz w:val="22"/>
        </w:rPr>
        <w:t>, using data from 2012</w:t>
      </w:r>
      <w:r w:rsidR="00E21653" w:rsidRPr="006454B5">
        <w:rPr>
          <w:rFonts w:ascii="Arial" w:hAnsi="Arial" w:cs="Arial"/>
          <w:sz w:val="22"/>
        </w:rPr>
        <w:t>)</w:t>
      </w:r>
      <w:r w:rsidR="00FE540D" w:rsidRPr="006454B5">
        <w:rPr>
          <w:rFonts w:ascii="Arial" w:hAnsi="Arial" w:cs="Arial"/>
          <w:sz w:val="22"/>
        </w:rPr>
        <w:t xml:space="preserve">, in an attempt to provide more targeted recommendations for </w:t>
      </w:r>
      <w:r w:rsidR="008E7D2D" w:rsidRPr="006454B5">
        <w:rPr>
          <w:rFonts w:ascii="Arial" w:hAnsi="Arial" w:cs="Arial"/>
          <w:sz w:val="22"/>
        </w:rPr>
        <w:t xml:space="preserve">police </w:t>
      </w:r>
      <w:r w:rsidR="00FE540D" w:rsidRPr="006454B5">
        <w:rPr>
          <w:rFonts w:ascii="Arial" w:hAnsi="Arial" w:cs="Arial"/>
          <w:sz w:val="22"/>
        </w:rPr>
        <w:t>training and awareness</w:t>
      </w:r>
      <w:r w:rsidR="00E21653" w:rsidRPr="006454B5">
        <w:rPr>
          <w:rFonts w:ascii="Arial" w:hAnsi="Arial" w:cs="Arial"/>
          <w:sz w:val="22"/>
        </w:rPr>
        <w:t xml:space="preserve">. </w:t>
      </w:r>
      <w:r w:rsidR="00FD5EA3" w:rsidRPr="006454B5">
        <w:rPr>
          <w:rFonts w:ascii="Arial" w:hAnsi="Arial" w:cs="Arial"/>
          <w:sz w:val="22"/>
        </w:rPr>
        <w:t>As noted, many of these characteristics related to judgements about the victim, specifically their credibility (including the presence of m</w:t>
      </w:r>
      <w:r w:rsidR="0086787D">
        <w:rPr>
          <w:rFonts w:ascii="Arial" w:hAnsi="Arial" w:cs="Arial"/>
          <w:sz w:val="22"/>
        </w:rPr>
        <w:t>ental health issues, a previous</w:t>
      </w:r>
      <w:r w:rsidR="00FD5EA3" w:rsidRPr="006454B5">
        <w:rPr>
          <w:rFonts w:ascii="Arial" w:hAnsi="Arial" w:cs="Arial"/>
          <w:sz w:val="22"/>
        </w:rPr>
        <w:t xml:space="preserve"> allegation</w:t>
      </w:r>
      <w:r w:rsidR="0086787D">
        <w:rPr>
          <w:rFonts w:ascii="Arial" w:hAnsi="Arial" w:cs="Arial"/>
          <w:sz w:val="22"/>
        </w:rPr>
        <w:t xml:space="preserve"> that had been coded as a ‘false allegation’</w:t>
      </w:r>
      <w:r w:rsidR="00FD5EA3" w:rsidRPr="006454B5">
        <w:rPr>
          <w:rFonts w:ascii="Arial" w:hAnsi="Arial" w:cs="Arial"/>
          <w:sz w:val="22"/>
        </w:rPr>
        <w:t xml:space="preserve">, and a lack of physical resistance; </w:t>
      </w:r>
      <w:proofErr w:type="spellStart"/>
      <w:r w:rsidR="00FD5EA3" w:rsidRPr="006454B5">
        <w:rPr>
          <w:rFonts w:ascii="Arial" w:hAnsi="Arial" w:cs="Arial"/>
          <w:sz w:val="22"/>
        </w:rPr>
        <w:t>Hohl</w:t>
      </w:r>
      <w:proofErr w:type="spellEnd"/>
      <w:r w:rsidR="00FD5EA3" w:rsidRPr="006454B5">
        <w:rPr>
          <w:rFonts w:ascii="Arial" w:hAnsi="Arial" w:cs="Arial"/>
          <w:sz w:val="22"/>
        </w:rPr>
        <w:t xml:space="preserve"> &amp; </w:t>
      </w:r>
      <w:proofErr w:type="spellStart"/>
      <w:r w:rsidR="00FD5EA3" w:rsidRPr="006454B5">
        <w:rPr>
          <w:rFonts w:ascii="Arial" w:hAnsi="Arial" w:cs="Arial"/>
          <w:sz w:val="22"/>
        </w:rPr>
        <w:t>Stanko</w:t>
      </w:r>
      <w:proofErr w:type="spellEnd"/>
      <w:r w:rsidR="00FD5EA3" w:rsidRPr="006454B5">
        <w:rPr>
          <w:rFonts w:ascii="Arial" w:hAnsi="Arial" w:cs="Arial"/>
          <w:sz w:val="22"/>
        </w:rPr>
        <w:t xml:space="preserve">, 2015). </w:t>
      </w:r>
      <w:r w:rsidR="00E21653" w:rsidRPr="006454B5">
        <w:rPr>
          <w:rFonts w:ascii="Arial" w:hAnsi="Arial" w:cs="Arial"/>
          <w:sz w:val="22"/>
        </w:rPr>
        <w:t xml:space="preserve">However, several practice and policy changes </w:t>
      </w:r>
      <w:r w:rsidR="00FE540D" w:rsidRPr="006454B5">
        <w:rPr>
          <w:rFonts w:ascii="Arial" w:hAnsi="Arial" w:cs="Arial"/>
          <w:sz w:val="22"/>
        </w:rPr>
        <w:t xml:space="preserve">implemented </w:t>
      </w:r>
      <w:r w:rsidR="00E21653" w:rsidRPr="006454B5">
        <w:rPr>
          <w:rFonts w:ascii="Arial" w:hAnsi="Arial" w:cs="Arial"/>
          <w:sz w:val="22"/>
        </w:rPr>
        <w:t xml:space="preserve">since </w:t>
      </w:r>
      <w:proofErr w:type="spellStart"/>
      <w:r w:rsidR="008E7D2D" w:rsidRPr="006454B5">
        <w:rPr>
          <w:rFonts w:ascii="Arial" w:hAnsi="Arial" w:cs="Arial"/>
          <w:sz w:val="22"/>
        </w:rPr>
        <w:t>Hohl</w:t>
      </w:r>
      <w:proofErr w:type="spellEnd"/>
      <w:r w:rsidR="008E7D2D" w:rsidRPr="006454B5">
        <w:rPr>
          <w:rFonts w:ascii="Arial" w:hAnsi="Arial" w:cs="Arial"/>
          <w:sz w:val="22"/>
        </w:rPr>
        <w:t xml:space="preserve"> and </w:t>
      </w:r>
      <w:proofErr w:type="spellStart"/>
      <w:r w:rsidR="008E7D2D" w:rsidRPr="006454B5">
        <w:rPr>
          <w:rFonts w:ascii="Arial" w:hAnsi="Arial" w:cs="Arial"/>
          <w:sz w:val="22"/>
        </w:rPr>
        <w:t>Stanko’s</w:t>
      </w:r>
      <w:proofErr w:type="spellEnd"/>
      <w:r w:rsidR="008E7D2D" w:rsidRPr="006454B5">
        <w:rPr>
          <w:rFonts w:ascii="Arial" w:hAnsi="Arial" w:cs="Arial"/>
          <w:sz w:val="22"/>
        </w:rPr>
        <w:t xml:space="preserve"> </w:t>
      </w:r>
      <w:r w:rsidR="00E21653" w:rsidRPr="006454B5">
        <w:rPr>
          <w:rFonts w:ascii="Arial" w:hAnsi="Arial" w:cs="Arial"/>
          <w:sz w:val="22"/>
        </w:rPr>
        <w:t>study necessitate a more up-to-date review.</w:t>
      </w:r>
      <w:r w:rsidR="007642B7" w:rsidRPr="006454B5">
        <w:rPr>
          <w:rFonts w:ascii="Arial" w:hAnsi="Arial" w:cs="Arial"/>
          <w:sz w:val="22"/>
        </w:rPr>
        <w:t xml:space="preserve"> </w:t>
      </w:r>
      <w:r w:rsidR="00FD5EA3" w:rsidRPr="006454B5">
        <w:rPr>
          <w:rFonts w:ascii="Arial" w:hAnsi="Arial" w:cs="Arial"/>
          <w:sz w:val="22"/>
        </w:rPr>
        <w:t>For example, most importantly, critical changes to the process for classifying case outcomes (specifically in the case of ‘no crime’ charges)</w:t>
      </w:r>
      <w:r w:rsidR="00BE0AF1" w:rsidRPr="006454B5">
        <w:rPr>
          <w:rFonts w:ascii="Arial" w:hAnsi="Arial" w:cs="Arial"/>
          <w:sz w:val="22"/>
        </w:rPr>
        <w:t>, arguably prompt a more contemporaneous examination of case attrition. M</w:t>
      </w:r>
      <w:r w:rsidR="00FD5EA3" w:rsidRPr="006454B5">
        <w:rPr>
          <w:rFonts w:ascii="Arial" w:hAnsi="Arial" w:cs="Arial"/>
          <w:sz w:val="22"/>
        </w:rPr>
        <w:t xml:space="preserve">oreover, wider policy revisions in response to independent reviews (e.g., </w:t>
      </w:r>
      <w:proofErr w:type="spellStart"/>
      <w:r w:rsidR="00FD5EA3" w:rsidRPr="006454B5">
        <w:rPr>
          <w:rFonts w:ascii="Arial" w:hAnsi="Arial" w:cs="Arial"/>
          <w:sz w:val="22"/>
        </w:rPr>
        <w:t>Angiolini</w:t>
      </w:r>
      <w:proofErr w:type="spellEnd"/>
      <w:r w:rsidR="00FD5EA3" w:rsidRPr="006454B5">
        <w:rPr>
          <w:rFonts w:ascii="Arial" w:hAnsi="Arial" w:cs="Arial"/>
          <w:sz w:val="22"/>
        </w:rPr>
        <w:t xml:space="preserve">, 2015) </w:t>
      </w:r>
      <w:r w:rsidR="00BE0AF1" w:rsidRPr="006454B5">
        <w:rPr>
          <w:rFonts w:ascii="Arial" w:hAnsi="Arial" w:cs="Arial"/>
          <w:sz w:val="22"/>
        </w:rPr>
        <w:t>and the developing societal narrative surrounding the #</w:t>
      </w:r>
      <w:proofErr w:type="spellStart"/>
      <w:r w:rsidR="00BE0AF1" w:rsidRPr="006454B5">
        <w:rPr>
          <w:rFonts w:ascii="Arial" w:hAnsi="Arial" w:cs="Arial"/>
          <w:sz w:val="22"/>
        </w:rPr>
        <w:t>MeToo</w:t>
      </w:r>
      <w:proofErr w:type="spellEnd"/>
      <w:r w:rsidR="00BE0AF1" w:rsidRPr="006454B5">
        <w:rPr>
          <w:rFonts w:ascii="Arial" w:hAnsi="Arial" w:cs="Arial"/>
          <w:sz w:val="22"/>
        </w:rPr>
        <w:t xml:space="preserve"> movement and associated high-profile sexual assault cases, provide further cause for updated analysis.</w:t>
      </w:r>
    </w:p>
    <w:p w14:paraId="0719F415" w14:textId="1BE85358" w:rsidR="00763985" w:rsidRPr="006454B5" w:rsidRDefault="000528E0" w:rsidP="000C7544">
      <w:pPr>
        <w:spacing w:before="120" w:after="120"/>
        <w:ind w:firstLine="720"/>
        <w:contextualSpacing/>
        <w:rPr>
          <w:rFonts w:ascii="Arial" w:hAnsi="Arial" w:cs="Arial"/>
          <w:sz w:val="22"/>
        </w:rPr>
      </w:pPr>
      <w:r w:rsidRPr="006454B5">
        <w:rPr>
          <w:rFonts w:ascii="Arial" w:hAnsi="Arial" w:cs="Arial"/>
          <w:sz w:val="22"/>
        </w:rPr>
        <w:t>The current study provides a</w:t>
      </w:r>
      <w:r w:rsidR="00F44BAA" w:rsidRPr="006454B5">
        <w:rPr>
          <w:rFonts w:ascii="Arial" w:hAnsi="Arial" w:cs="Arial"/>
          <w:sz w:val="22"/>
        </w:rPr>
        <w:t xml:space="preserve"> contemporary</w:t>
      </w:r>
      <w:r w:rsidRPr="006454B5">
        <w:rPr>
          <w:rFonts w:ascii="Arial" w:hAnsi="Arial" w:cs="Arial"/>
          <w:sz w:val="22"/>
        </w:rPr>
        <w:t xml:space="preserve"> examination of male-on-female rape case</w:t>
      </w:r>
      <w:r w:rsidR="005A7167" w:rsidRPr="006454B5">
        <w:rPr>
          <w:rFonts w:ascii="Arial" w:hAnsi="Arial" w:cs="Arial"/>
          <w:sz w:val="22"/>
        </w:rPr>
        <w:t>s</w:t>
      </w:r>
      <w:r w:rsidRPr="006454B5">
        <w:rPr>
          <w:rFonts w:ascii="Arial" w:hAnsi="Arial" w:cs="Arial"/>
          <w:sz w:val="22"/>
        </w:rPr>
        <w:t xml:space="preserve"> reported </w:t>
      </w:r>
      <w:r w:rsidR="005A7167" w:rsidRPr="006454B5">
        <w:rPr>
          <w:rFonts w:ascii="Arial" w:hAnsi="Arial" w:cs="Arial"/>
          <w:sz w:val="22"/>
        </w:rPr>
        <w:t xml:space="preserve">to the Metropolitan Police Service (MPS) </w:t>
      </w:r>
      <w:r w:rsidRPr="006454B5">
        <w:rPr>
          <w:rFonts w:ascii="Arial" w:hAnsi="Arial" w:cs="Arial"/>
          <w:sz w:val="22"/>
        </w:rPr>
        <w:t xml:space="preserve">in London (UK) in April 2016. </w:t>
      </w:r>
      <w:r w:rsidR="005A7167" w:rsidRPr="006454B5">
        <w:rPr>
          <w:rFonts w:ascii="Arial" w:hAnsi="Arial" w:cs="Arial"/>
          <w:sz w:val="22"/>
        </w:rPr>
        <w:t xml:space="preserve">We applied a comprehensive coding framework </w:t>
      </w:r>
      <w:r w:rsidR="00141284" w:rsidRPr="006454B5">
        <w:rPr>
          <w:rFonts w:ascii="Arial" w:hAnsi="Arial" w:cs="Arial"/>
          <w:sz w:val="22"/>
        </w:rPr>
        <w:t xml:space="preserve">to assess the victim, suspect, offence, and procedural characteristics of cases, with a particular focus on </w:t>
      </w:r>
      <w:r w:rsidR="00F44BAA" w:rsidRPr="006454B5">
        <w:rPr>
          <w:rFonts w:ascii="Arial" w:hAnsi="Arial" w:cs="Arial"/>
          <w:sz w:val="22"/>
        </w:rPr>
        <w:t xml:space="preserve">understanding </w:t>
      </w:r>
      <w:r w:rsidR="0041725B" w:rsidRPr="006454B5">
        <w:rPr>
          <w:rFonts w:ascii="Arial" w:hAnsi="Arial" w:cs="Arial"/>
          <w:sz w:val="22"/>
        </w:rPr>
        <w:t>which</w:t>
      </w:r>
      <w:r w:rsidR="00F44BAA" w:rsidRPr="006454B5">
        <w:rPr>
          <w:rFonts w:ascii="Arial" w:hAnsi="Arial" w:cs="Arial"/>
          <w:sz w:val="22"/>
        </w:rPr>
        <w:t xml:space="preserve"> </w:t>
      </w:r>
      <w:r w:rsidR="00696275" w:rsidRPr="006454B5">
        <w:rPr>
          <w:rFonts w:ascii="Arial" w:hAnsi="Arial" w:cs="Arial"/>
          <w:sz w:val="22"/>
        </w:rPr>
        <w:t>specific</w:t>
      </w:r>
      <w:r w:rsidR="00F44BAA" w:rsidRPr="006454B5">
        <w:rPr>
          <w:rFonts w:ascii="Arial" w:hAnsi="Arial" w:cs="Arial"/>
          <w:sz w:val="22"/>
        </w:rPr>
        <w:t xml:space="preserve"> characteristics predict</w:t>
      </w:r>
      <w:r w:rsidR="0041725B" w:rsidRPr="006454B5">
        <w:rPr>
          <w:rFonts w:ascii="Arial" w:hAnsi="Arial" w:cs="Arial"/>
          <w:sz w:val="22"/>
        </w:rPr>
        <w:t>ed</w:t>
      </w:r>
      <w:r w:rsidR="00F44BAA" w:rsidRPr="006454B5">
        <w:rPr>
          <w:rFonts w:ascii="Arial" w:hAnsi="Arial" w:cs="Arial"/>
          <w:sz w:val="22"/>
        </w:rPr>
        <w:t xml:space="preserve"> attrition. </w:t>
      </w:r>
      <w:r w:rsidR="001808CD" w:rsidRPr="006454B5">
        <w:rPr>
          <w:rFonts w:ascii="Arial" w:hAnsi="Arial" w:cs="Arial"/>
          <w:sz w:val="22"/>
        </w:rPr>
        <w:t xml:space="preserve">The findings </w:t>
      </w:r>
      <w:r w:rsidR="00EF0C96" w:rsidRPr="006454B5">
        <w:rPr>
          <w:rFonts w:ascii="Arial" w:hAnsi="Arial" w:cs="Arial"/>
          <w:sz w:val="22"/>
        </w:rPr>
        <w:t xml:space="preserve">from this study </w:t>
      </w:r>
      <w:r w:rsidR="001808CD" w:rsidRPr="006454B5">
        <w:rPr>
          <w:rFonts w:ascii="Arial" w:hAnsi="Arial" w:cs="Arial"/>
          <w:sz w:val="22"/>
        </w:rPr>
        <w:t xml:space="preserve">will provide police forces and policymakers with a more comprehensive understanding of case characteristics and their impact, which may be used to inform evidenced-based policy and practice. </w:t>
      </w:r>
      <w:r w:rsidR="00F44BAA" w:rsidRPr="006454B5">
        <w:rPr>
          <w:rFonts w:ascii="Arial" w:hAnsi="Arial" w:cs="Arial"/>
          <w:sz w:val="22"/>
        </w:rPr>
        <w:t xml:space="preserve">The </w:t>
      </w:r>
      <w:r w:rsidR="00EF0C96" w:rsidRPr="006454B5">
        <w:rPr>
          <w:rFonts w:ascii="Arial" w:hAnsi="Arial" w:cs="Arial"/>
          <w:sz w:val="22"/>
        </w:rPr>
        <w:t>introduction</w:t>
      </w:r>
      <w:r w:rsidR="00F44BAA" w:rsidRPr="006454B5">
        <w:rPr>
          <w:rFonts w:ascii="Arial" w:hAnsi="Arial" w:cs="Arial"/>
          <w:sz w:val="22"/>
        </w:rPr>
        <w:t xml:space="preserve"> proceeds as follows. First, we </w:t>
      </w:r>
      <w:r w:rsidR="00EF0C96" w:rsidRPr="006454B5">
        <w:rPr>
          <w:rFonts w:ascii="Arial" w:hAnsi="Arial" w:cs="Arial"/>
          <w:sz w:val="22"/>
        </w:rPr>
        <w:t>discuss the available literature and evidence</w:t>
      </w:r>
      <w:r w:rsidR="00601CF7" w:rsidRPr="006454B5">
        <w:rPr>
          <w:rFonts w:ascii="Arial" w:hAnsi="Arial" w:cs="Arial"/>
          <w:sz w:val="22"/>
        </w:rPr>
        <w:t>-base</w:t>
      </w:r>
      <w:r w:rsidR="00EF0C96" w:rsidRPr="006454B5">
        <w:rPr>
          <w:rFonts w:ascii="Arial" w:hAnsi="Arial" w:cs="Arial"/>
          <w:sz w:val="22"/>
        </w:rPr>
        <w:t xml:space="preserve"> into rape case attrition and the impact of </w:t>
      </w:r>
      <w:r w:rsidR="00601CF7" w:rsidRPr="006454B5">
        <w:rPr>
          <w:rFonts w:ascii="Arial" w:hAnsi="Arial" w:cs="Arial"/>
          <w:sz w:val="22"/>
        </w:rPr>
        <w:t xml:space="preserve">specific </w:t>
      </w:r>
      <w:r w:rsidR="00EF0C96" w:rsidRPr="006454B5">
        <w:rPr>
          <w:rFonts w:ascii="Arial" w:hAnsi="Arial" w:cs="Arial"/>
          <w:sz w:val="22"/>
        </w:rPr>
        <w:t>case characteristics on case outcomes. We then discuss several recent developments that necessitate an updated review, before outlining the specific aims of the current study</w:t>
      </w:r>
      <w:r w:rsidR="00927610" w:rsidRPr="006454B5">
        <w:rPr>
          <w:rFonts w:ascii="Arial" w:hAnsi="Arial" w:cs="Arial"/>
          <w:sz w:val="22"/>
        </w:rPr>
        <w:t xml:space="preserve">. </w:t>
      </w:r>
    </w:p>
    <w:p w14:paraId="1CF2301A" w14:textId="77777777" w:rsidR="00BE0AF1" w:rsidRPr="006454B5" w:rsidRDefault="00BE0AF1" w:rsidP="000C7544">
      <w:pPr>
        <w:spacing w:before="120" w:after="120"/>
        <w:contextualSpacing/>
        <w:rPr>
          <w:rFonts w:ascii="Arial" w:hAnsi="Arial" w:cs="Arial"/>
          <w:b/>
          <w:sz w:val="22"/>
        </w:rPr>
      </w:pPr>
      <w:r w:rsidRPr="006454B5">
        <w:rPr>
          <w:rFonts w:ascii="Arial" w:hAnsi="Arial" w:cs="Arial"/>
          <w:b/>
          <w:sz w:val="22"/>
        </w:rPr>
        <w:br w:type="page"/>
      </w:r>
    </w:p>
    <w:p w14:paraId="554F3711" w14:textId="6C6FED5E" w:rsidR="00572403" w:rsidRPr="006454B5" w:rsidRDefault="00572403" w:rsidP="000C7544">
      <w:pPr>
        <w:spacing w:before="120" w:after="120"/>
        <w:contextualSpacing/>
        <w:rPr>
          <w:rFonts w:ascii="Arial" w:hAnsi="Arial" w:cs="Arial"/>
          <w:b/>
          <w:sz w:val="22"/>
        </w:rPr>
      </w:pPr>
      <w:r w:rsidRPr="006454B5">
        <w:rPr>
          <w:rFonts w:ascii="Arial" w:hAnsi="Arial" w:cs="Arial"/>
          <w:b/>
          <w:sz w:val="22"/>
        </w:rPr>
        <w:lastRenderedPageBreak/>
        <w:t>Attrition in Rape Cases</w:t>
      </w:r>
    </w:p>
    <w:p w14:paraId="42BCDBE6" w14:textId="605850A9" w:rsidR="008E7D2D" w:rsidRPr="006454B5" w:rsidRDefault="009F4F9E" w:rsidP="008800BC">
      <w:pPr>
        <w:spacing w:before="120" w:after="120"/>
        <w:ind w:firstLine="720"/>
        <w:contextualSpacing/>
        <w:rPr>
          <w:rFonts w:ascii="Arial" w:hAnsi="Arial" w:cs="Arial"/>
          <w:sz w:val="22"/>
        </w:rPr>
      </w:pPr>
      <w:r w:rsidRPr="006454B5">
        <w:rPr>
          <w:rFonts w:ascii="Arial" w:hAnsi="Arial" w:cs="Arial"/>
          <w:sz w:val="22"/>
        </w:rPr>
        <w:t xml:space="preserve">Academic case reviews conducted over the past 35 years have provided consistent support for </w:t>
      </w:r>
      <w:r w:rsidR="00FE540D" w:rsidRPr="006454B5">
        <w:rPr>
          <w:rFonts w:ascii="Arial" w:hAnsi="Arial" w:cs="Arial"/>
          <w:sz w:val="22"/>
        </w:rPr>
        <w:t>high levels of attrition</w:t>
      </w:r>
      <w:r w:rsidR="00E13F4B" w:rsidRPr="006454B5">
        <w:rPr>
          <w:rFonts w:ascii="Arial" w:hAnsi="Arial" w:cs="Arial"/>
          <w:sz w:val="22"/>
        </w:rPr>
        <w:t xml:space="preserve"> in</w:t>
      </w:r>
      <w:r w:rsidR="00572403" w:rsidRPr="006454B5">
        <w:rPr>
          <w:rFonts w:ascii="Arial" w:hAnsi="Arial" w:cs="Arial"/>
          <w:sz w:val="22"/>
        </w:rPr>
        <w:t xml:space="preserve"> rape </w:t>
      </w:r>
      <w:r w:rsidR="0004794C" w:rsidRPr="006454B5">
        <w:rPr>
          <w:rFonts w:ascii="Arial" w:hAnsi="Arial" w:cs="Arial"/>
          <w:sz w:val="22"/>
        </w:rPr>
        <w:t>cases</w:t>
      </w:r>
      <w:r w:rsidR="00FE540D" w:rsidRPr="006454B5">
        <w:rPr>
          <w:rFonts w:ascii="Arial" w:hAnsi="Arial" w:cs="Arial"/>
          <w:sz w:val="22"/>
        </w:rPr>
        <w:t>, as well as highlighting</w:t>
      </w:r>
      <w:r w:rsidR="0004794C" w:rsidRPr="006454B5">
        <w:rPr>
          <w:rFonts w:ascii="Arial" w:hAnsi="Arial" w:cs="Arial"/>
          <w:sz w:val="22"/>
        </w:rPr>
        <w:t xml:space="preserve"> the stages of the criminal justice process at which the problem is most salient. </w:t>
      </w:r>
      <w:r w:rsidR="00A0656E" w:rsidRPr="006454B5">
        <w:rPr>
          <w:rFonts w:ascii="Arial" w:hAnsi="Arial" w:cs="Arial"/>
          <w:sz w:val="22"/>
        </w:rPr>
        <w:t>Attrition, or the ‘dropping out’ of cases from the criminal justice system</w:t>
      </w:r>
      <w:r w:rsidR="00636355" w:rsidRPr="006454B5">
        <w:rPr>
          <w:rFonts w:ascii="Arial" w:hAnsi="Arial" w:cs="Arial"/>
          <w:sz w:val="22"/>
        </w:rPr>
        <w:t>,</w:t>
      </w:r>
      <w:r w:rsidR="00A0656E" w:rsidRPr="006454B5">
        <w:rPr>
          <w:rFonts w:ascii="Arial" w:hAnsi="Arial" w:cs="Arial"/>
          <w:sz w:val="22"/>
        </w:rPr>
        <w:t xml:space="preserve"> can occur at any stage of the process, with the most common sources being: initial decisions to not report victimisation to authorities; victim withdrawal after initial engagement; police </w:t>
      </w:r>
      <w:r w:rsidR="0086787D">
        <w:rPr>
          <w:rFonts w:ascii="Arial" w:hAnsi="Arial" w:cs="Arial"/>
          <w:sz w:val="22"/>
        </w:rPr>
        <w:t>decision-making</w:t>
      </w:r>
      <w:r w:rsidR="00A0656E" w:rsidRPr="006454B5">
        <w:rPr>
          <w:rFonts w:ascii="Arial" w:hAnsi="Arial" w:cs="Arial"/>
          <w:sz w:val="22"/>
        </w:rPr>
        <w:t xml:space="preserve"> (i.e., designating that no crime has taken place, or that no further action can be taken); similar decisions taken by prosecutors once a case has been referred; and </w:t>
      </w:r>
      <w:r w:rsidR="00CC204F" w:rsidRPr="006454B5">
        <w:rPr>
          <w:rFonts w:ascii="Arial" w:hAnsi="Arial" w:cs="Arial"/>
          <w:sz w:val="22"/>
        </w:rPr>
        <w:t xml:space="preserve">decisions provided by juries in court (i.e., </w:t>
      </w:r>
      <w:r w:rsidR="00A0656E" w:rsidRPr="006454B5">
        <w:rPr>
          <w:rFonts w:ascii="Arial" w:hAnsi="Arial" w:cs="Arial"/>
          <w:sz w:val="22"/>
        </w:rPr>
        <w:t>acquitta</w:t>
      </w:r>
      <w:r w:rsidR="00CC204F" w:rsidRPr="006454B5">
        <w:rPr>
          <w:rFonts w:ascii="Arial" w:hAnsi="Arial" w:cs="Arial"/>
          <w:sz w:val="22"/>
        </w:rPr>
        <w:t>l)</w:t>
      </w:r>
      <w:r w:rsidR="00A0656E" w:rsidRPr="006454B5">
        <w:rPr>
          <w:rFonts w:ascii="Arial" w:hAnsi="Arial" w:cs="Arial"/>
          <w:sz w:val="22"/>
        </w:rPr>
        <w:t>. T</w:t>
      </w:r>
      <w:r w:rsidR="0004794C" w:rsidRPr="006454B5">
        <w:rPr>
          <w:rFonts w:ascii="Arial" w:hAnsi="Arial" w:cs="Arial"/>
          <w:sz w:val="22"/>
        </w:rPr>
        <w:t>he largest</w:t>
      </w:r>
      <w:r w:rsidR="00A0656E" w:rsidRPr="006454B5">
        <w:rPr>
          <w:rFonts w:ascii="Arial" w:hAnsi="Arial" w:cs="Arial"/>
          <w:sz w:val="22"/>
        </w:rPr>
        <w:t xml:space="preserve"> of these</w:t>
      </w:r>
      <w:r w:rsidR="0004794C" w:rsidRPr="006454B5">
        <w:rPr>
          <w:rFonts w:ascii="Arial" w:hAnsi="Arial" w:cs="Arial"/>
          <w:sz w:val="22"/>
        </w:rPr>
        <w:t xml:space="preserve"> source</w:t>
      </w:r>
      <w:r w:rsidR="00A0656E" w:rsidRPr="006454B5">
        <w:rPr>
          <w:rFonts w:ascii="Arial" w:hAnsi="Arial" w:cs="Arial"/>
          <w:sz w:val="22"/>
        </w:rPr>
        <w:t>s</w:t>
      </w:r>
      <w:r w:rsidR="0004794C" w:rsidRPr="006454B5">
        <w:rPr>
          <w:rFonts w:ascii="Arial" w:hAnsi="Arial" w:cs="Arial"/>
          <w:sz w:val="22"/>
        </w:rPr>
        <w:t xml:space="preserve"> is</w:t>
      </w:r>
      <w:r w:rsidR="00A0656E" w:rsidRPr="006454B5">
        <w:rPr>
          <w:rFonts w:ascii="Arial" w:hAnsi="Arial" w:cs="Arial"/>
          <w:sz w:val="22"/>
        </w:rPr>
        <w:t xml:space="preserve"> arguably</w:t>
      </w:r>
      <w:r w:rsidR="0004794C" w:rsidRPr="006454B5">
        <w:rPr>
          <w:rFonts w:ascii="Arial" w:hAnsi="Arial" w:cs="Arial"/>
          <w:sz w:val="22"/>
        </w:rPr>
        <w:t xml:space="preserve"> low levels of reporting to authorities</w:t>
      </w:r>
      <w:r w:rsidR="00636355" w:rsidRPr="006454B5">
        <w:rPr>
          <w:rFonts w:ascii="Arial" w:hAnsi="Arial" w:cs="Arial"/>
          <w:sz w:val="22"/>
        </w:rPr>
        <w:t xml:space="preserve"> in the first instance</w:t>
      </w:r>
      <w:r w:rsidR="0004794C" w:rsidRPr="006454B5">
        <w:rPr>
          <w:rFonts w:ascii="Arial" w:hAnsi="Arial" w:cs="Arial"/>
          <w:sz w:val="22"/>
        </w:rPr>
        <w:t xml:space="preserve">, as estimates suggest approximately 80% of cases are unreported (Daly &amp; </w:t>
      </w:r>
      <w:proofErr w:type="spellStart"/>
      <w:r w:rsidR="0004794C" w:rsidRPr="006454B5">
        <w:rPr>
          <w:rFonts w:ascii="Arial" w:hAnsi="Arial" w:cs="Arial"/>
          <w:sz w:val="22"/>
        </w:rPr>
        <w:t>Bouhours</w:t>
      </w:r>
      <w:proofErr w:type="spellEnd"/>
      <w:r w:rsidR="0004794C" w:rsidRPr="006454B5">
        <w:rPr>
          <w:rFonts w:ascii="Arial" w:hAnsi="Arial" w:cs="Arial"/>
          <w:sz w:val="22"/>
        </w:rPr>
        <w:t>, 2010; Kelly et al., 2005</w:t>
      </w:r>
      <w:r w:rsidR="005154D0" w:rsidRPr="006454B5">
        <w:rPr>
          <w:rFonts w:ascii="Arial" w:hAnsi="Arial" w:cs="Arial"/>
          <w:sz w:val="22"/>
        </w:rPr>
        <w:t xml:space="preserve">; </w:t>
      </w:r>
      <w:proofErr w:type="spellStart"/>
      <w:r w:rsidR="005154D0" w:rsidRPr="006454B5">
        <w:rPr>
          <w:rFonts w:ascii="Arial" w:hAnsi="Arial" w:cs="Arial"/>
          <w:sz w:val="22"/>
        </w:rPr>
        <w:t>Wolitzky</w:t>
      </w:r>
      <w:proofErr w:type="spellEnd"/>
      <w:r w:rsidR="005154D0" w:rsidRPr="006454B5">
        <w:rPr>
          <w:rFonts w:ascii="Arial" w:hAnsi="Arial" w:cs="Arial"/>
          <w:sz w:val="22"/>
        </w:rPr>
        <w:t>-Taylor et al., 2011</w:t>
      </w:r>
      <w:r w:rsidR="0004794C" w:rsidRPr="006454B5">
        <w:rPr>
          <w:rFonts w:ascii="Arial" w:hAnsi="Arial" w:cs="Arial"/>
          <w:sz w:val="22"/>
        </w:rPr>
        <w:t xml:space="preserve">). </w:t>
      </w:r>
      <w:r w:rsidR="008E7D2D" w:rsidRPr="006454B5">
        <w:rPr>
          <w:rFonts w:ascii="Arial" w:hAnsi="Arial" w:cs="Arial"/>
          <w:sz w:val="22"/>
        </w:rPr>
        <w:t>Following reporting</w:t>
      </w:r>
      <w:r w:rsidR="0004794C" w:rsidRPr="006454B5">
        <w:rPr>
          <w:rFonts w:ascii="Arial" w:hAnsi="Arial" w:cs="Arial"/>
          <w:sz w:val="22"/>
        </w:rPr>
        <w:t>, s</w:t>
      </w:r>
      <w:r w:rsidRPr="006454B5">
        <w:rPr>
          <w:rFonts w:ascii="Arial" w:hAnsi="Arial" w:cs="Arial"/>
          <w:sz w:val="22"/>
        </w:rPr>
        <w:t xml:space="preserve">tudies </w:t>
      </w:r>
      <w:r w:rsidR="00CF7D65" w:rsidRPr="006454B5">
        <w:rPr>
          <w:rFonts w:ascii="Arial" w:hAnsi="Arial" w:cs="Arial"/>
          <w:sz w:val="22"/>
        </w:rPr>
        <w:t>have shown</w:t>
      </w:r>
      <w:r w:rsidRPr="006454B5">
        <w:rPr>
          <w:rFonts w:ascii="Arial" w:hAnsi="Arial" w:cs="Arial"/>
          <w:sz w:val="22"/>
        </w:rPr>
        <w:t xml:space="preserve"> the majority of attrition occurs within the </w:t>
      </w:r>
      <w:r w:rsidR="008E7D2D" w:rsidRPr="006454B5">
        <w:rPr>
          <w:rFonts w:ascii="Arial" w:hAnsi="Arial" w:cs="Arial"/>
          <w:sz w:val="22"/>
        </w:rPr>
        <w:t xml:space="preserve">police </w:t>
      </w:r>
      <w:r w:rsidRPr="006454B5">
        <w:rPr>
          <w:rFonts w:ascii="Arial" w:hAnsi="Arial" w:cs="Arial"/>
          <w:sz w:val="22"/>
        </w:rPr>
        <w:t>investigative phase, with only a small percentage of cases being referred to prosecutors (between 5-19%; Chambers &amp; Miller, 1986; Grace</w:t>
      </w:r>
      <w:r w:rsidR="008800BC" w:rsidRPr="006454B5">
        <w:rPr>
          <w:rFonts w:ascii="Arial" w:hAnsi="Arial" w:cs="Arial"/>
          <w:sz w:val="22"/>
        </w:rPr>
        <w:t xml:space="preserve"> et al.</w:t>
      </w:r>
      <w:r w:rsidRPr="006454B5">
        <w:rPr>
          <w:rFonts w:ascii="Arial" w:hAnsi="Arial" w:cs="Arial"/>
          <w:sz w:val="22"/>
        </w:rPr>
        <w:t xml:space="preserve">, 1992; Harris &amp; Grace, 1999; Hester &amp; Lilley, 2017; </w:t>
      </w:r>
      <w:proofErr w:type="spellStart"/>
      <w:r w:rsidRPr="006454B5">
        <w:rPr>
          <w:rFonts w:ascii="Arial" w:hAnsi="Arial" w:cs="Arial"/>
          <w:sz w:val="22"/>
        </w:rPr>
        <w:t>Hohl</w:t>
      </w:r>
      <w:proofErr w:type="spellEnd"/>
      <w:r w:rsidRPr="006454B5">
        <w:rPr>
          <w:rFonts w:ascii="Arial" w:hAnsi="Arial" w:cs="Arial"/>
          <w:sz w:val="22"/>
        </w:rPr>
        <w:t xml:space="preserve"> &amp; </w:t>
      </w:r>
      <w:proofErr w:type="spellStart"/>
      <w:r w:rsidRPr="006454B5">
        <w:rPr>
          <w:rFonts w:ascii="Arial" w:hAnsi="Arial" w:cs="Arial"/>
          <w:sz w:val="22"/>
        </w:rPr>
        <w:t>Stanko</w:t>
      </w:r>
      <w:proofErr w:type="spellEnd"/>
      <w:r w:rsidRPr="006454B5">
        <w:rPr>
          <w:rFonts w:ascii="Arial" w:hAnsi="Arial" w:cs="Arial"/>
          <w:sz w:val="22"/>
        </w:rPr>
        <w:t>, 2015; Lea</w:t>
      </w:r>
      <w:r w:rsidR="000137CB" w:rsidRPr="006454B5">
        <w:rPr>
          <w:rFonts w:ascii="Arial" w:hAnsi="Arial" w:cs="Arial"/>
          <w:sz w:val="22"/>
        </w:rPr>
        <w:t xml:space="preserve"> et al.</w:t>
      </w:r>
      <w:r w:rsidRPr="006454B5">
        <w:rPr>
          <w:rFonts w:ascii="Arial" w:hAnsi="Arial" w:cs="Arial"/>
          <w:sz w:val="22"/>
        </w:rPr>
        <w:t xml:space="preserve">, 2003; Wright, 1984). </w:t>
      </w:r>
      <w:r w:rsidR="00B579C1" w:rsidRPr="006454B5">
        <w:rPr>
          <w:rFonts w:ascii="Arial" w:hAnsi="Arial" w:cs="Arial"/>
          <w:sz w:val="22"/>
        </w:rPr>
        <w:t>Victim withdrawal has been identified as one of the largest sources of attrition</w:t>
      </w:r>
      <w:r w:rsidR="0086787D">
        <w:rPr>
          <w:rFonts w:ascii="Arial" w:hAnsi="Arial" w:cs="Arial"/>
          <w:sz w:val="22"/>
        </w:rPr>
        <w:t xml:space="preserve">, </w:t>
      </w:r>
      <w:r w:rsidR="00B579C1" w:rsidRPr="006454B5">
        <w:rPr>
          <w:rFonts w:ascii="Arial" w:hAnsi="Arial" w:cs="Arial"/>
          <w:sz w:val="22"/>
        </w:rPr>
        <w:t>accounting for around half of case outcomes in some studies</w:t>
      </w:r>
      <w:r w:rsidR="0086787D">
        <w:rPr>
          <w:rFonts w:ascii="Arial" w:hAnsi="Arial" w:cs="Arial"/>
          <w:sz w:val="22"/>
        </w:rPr>
        <w:t xml:space="preserve">, </w:t>
      </w:r>
      <w:r w:rsidR="009E6F9D" w:rsidRPr="006454B5">
        <w:rPr>
          <w:rFonts w:ascii="Arial" w:hAnsi="Arial" w:cs="Arial"/>
          <w:sz w:val="22"/>
        </w:rPr>
        <w:t>followed by police decisions not to proceed with a case</w:t>
      </w:r>
      <w:r w:rsidR="00B579C1" w:rsidRPr="006454B5">
        <w:rPr>
          <w:rFonts w:ascii="Arial" w:hAnsi="Arial" w:cs="Arial"/>
          <w:sz w:val="22"/>
        </w:rPr>
        <w:t xml:space="preserve"> (</w:t>
      </w:r>
      <w:proofErr w:type="spellStart"/>
      <w:r w:rsidR="00B579C1" w:rsidRPr="006454B5">
        <w:rPr>
          <w:rFonts w:ascii="Arial" w:hAnsi="Arial" w:cs="Arial"/>
          <w:sz w:val="22"/>
        </w:rPr>
        <w:t>Hohl</w:t>
      </w:r>
      <w:proofErr w:type="spellEnd"/>
      <w:r w:rsidR="00B579C1" w:rsidRPr="006454B5">
        <w:rPr>
          <w:rFonts w:ascii="Arial" w:hAnsi="Arial" w:cs="Arial"/>
          <w:sz w:val="22"/>
        </w:rPr>
        <w:t xml:space="preserve"> &amp; </w:t>
      </w:r>
      <w:proofErr w:type="spellStart"/>
      <w:r w:rsidR="00B579C1" w:rsidRPr="006454B5">
        <w:rPr>
          <w:rFonts w:ascii="Arial" w:hAnsi="Arial" w:cs="Arial"/>
          <w:sz w:val="22"/>
        </w:rPr>
        <w:t>Stanko</w:t>
      </w:r>
      <w:proofErr w:type="spellEnd"/>
      <w:r w:rsidR="00B579C1" w:rsidRPr="006454B5">
        <w:rPr>
          <w:rFonts w:ascii="Arial" w:hAnsi="Arial" w:cs="Arial"/>
          <w:sz w:val="22"/>
        </w:rPr>
        <w:t>, 2015).</w:t>
      </w:r>
    </w:p>
    <w:p w14:paraId="24C0F9AB" w14:textId="670ABCBF" w:rsidR="00F812FE" w:rsidRPr="006454B5" w:rsidRDefault="00F812FE" w:rsidP="008800BC">
      <w:pPr>
        <w:spacing w:before="120" w:after="120"/>
        <w:ind w:firstLine="720"/>
        <w:contextualSpacing/>
        <w:rPr>
          <w:rFonts w:ascii="Arial" w:hAnsi="Arial" w:cs="Arial"/>
          <w:sz w:val="22"/>
        </w:rPr>
      </w:pPr>
      <w:r w:rsidRPr="006454B5">
        <w:rPr>
          <w:rFonts w:ascii="Arial" w:hAnsi="Arial" w:cs="Arial"/>
          <w:sz w:val="22"/>
        </w:rPr>
        <w:t>Overall, it has been argued that r</w:t>
      </w:r>
      <w:r w:rsidR="0008474A" w:rsidRPr="006454B5">
        <w:rPr>
          <w:rFonts w:ascii="Arial" w:hAnsi="Arial" w:cs="Arial"/>
          <w:sz w:val="22"/>
        </w:rPr>
        <w:t>ape case o</w:t>
      </w:r>
      <w:r w:rsidR="009F4F9E" w:rsidRPr="006454B5">
        <w:rPr>
          <w:rFonts w:ascii="Arial" w:hAnsi="Arial" w:cs="Arial"/>
          <w:sz w:val="22"/>
        </w:rPr>
        <w:t xml:space="preserve">utcomes </w:t>
      </w:r>
      <w:r w:rsidR="0061583F" w:rsidRPr="006454B5">
        <w:rPr>
          <w:rFonts w:ascii="Arial" w:hAnsi="Arial" w:cs="Arial"/>
          <w:sz w:val="22"/>
        </w:rPr>
        <w:t xml:space="preserve">have </w:t>
      </w:r>
      <w:r w:rsidR="009F4F9E" w:rsidRPr="006454B5">
        <w:rPr>
          <w:rFonts w:ascii="Arial" w:hAnsi="Arial" w:cs="Arial"/>
          <w:sz w:val="22"/>
        </w:rPr>
        <w:t>generally becom</w:t>
      </w:r>
      <w:r w:rsidR="00E13F4B" w:rsidRPr="006454B5">
        <w:rPr>
          <w:rFonts w:ascii="Arial" w:hAnsi="Arial" w:cs="Arial"/>
          <w:sz w:val="22"/>
        </w:rPr>
        <w:t>e</w:t>
      </w:r>
      <w:r w:rsidR="009F4F9E" w:rsidRPr="006454B5">
        <w:rPr>
          <w:rFonts w:ascii="Arial" w:hAnsi="Arial" w:cs="Arial"/>
          <w:sz w:val="22"/>
        </w:rPr>
        <w:t xml:space="preserve"> less ‘successful’ over time, even when specific policy reforms have been implemented</w:t>
      </w:r>
      <w:r w:rsidR="00927610" w:rsidRPr="006454B5">
        <w:rPr>
          <w:rFonts w:ascii="Arial" w:hAnsi="Arial" w:cs="Arial"/>
          <w:sz w:val="22"/>
        </w:rPr>
        <w:t xml:space="preserve"> </w:t>
      </w:r>
      <w:r w:rsidR="009F4F9E" w:rsidRPr="006454B5">
        <w:rPr>
          <w:rFonts w:ascii="Arial" w:hAnsi="Arial" w:cs="Arial"/>
          <w:sz w:val="22"/>
        </w:rPr>
        <w:t xml:space="preserve">(Harris &amp; Grace, 1999). </w:t>
      </w:r>
      <w:r w:rsidR="00E13F67" w:rsidRPr="006454B5">
        <w:rPr>
          <w:rFonts w:ascii="Arial" w:hAnsi="Arial" w:cs="Arial"/>
          <w:sz w:val="22"/>
        </w:rPr>
        <w:t>For example, notable changes have been observed in the distribution of case outcomes during the investigative stage, with ‘no crime’ outcomes (instances in which an incident has been recorded by police as a crime, but it is later judged by the police that no crime has taken place) decreasing and ‘no further action (NFA)’ outcomes (Instances in which an incident has been recorded by police but there is insufficient evidence to bring anyone to justice at this time) increasing across the late 90s and 2000s (</w:t>
      </w:r>
      <w:proofErr w:type="spellStart"/>
      <w:r w:rsidR="00E13F67" w:rsidRPr="006454B5">
        <w:rPr>
          <w:rFonts w:ascii="Arial" w:hAnsi="Arial" w:cs="Arial"/>
          <w:sz w:val="22"/>
        </w:rPr>
        <w:t>Hohl</w:t>
      </w:r>
      <w:proofErr w:type="spellEnd"/>
      <w:r w:rsidR="00E13F67" w:rsidRPr="006454B5">
        <w:rPr>
          <w:rFonts w:ascii="Arial" w:hAnsi="Arial" w:cs="Arial"/>
          <w:sz w:val="22"/>
        </w:rPr>
        <w:t xml:space="preserve"> &amp; </w:t>
      </w:r>
      <w:proofErr w:type="spellStart"/>
      <w:r w:rsidR="00E13F67" w:rsidRPr="006454B5">
        <w:rPr>
          <w:rFonts w:ascii="Arial" w:hAnsi="Arial" w:cs="Arial"/>
          <w:sz w:val="22"/>
        </w:rPr>
        <w:t>Stanko</w:t>
      </w:r>
      <w:proofErr w:type="spellEnd"/>
      <w:r w:rsidR="00E13F67" w:rsidRPr="006454B5">
        <w:rPr>
          <w:rFonts w:ascii="Arial" w:hAnsi="Arial" w:cs="Arial"/>
          <w:sz w:val="22"/>
        </w:rPr>
        <w:t xml:space="preserve">, 2015; Lea et al., 2003). If and when cases are progressed past the investigative stage, further sources of attrition include a) a prosecutorial decision not to proceed, b) a case </w:t>
      </w:r>
      <w:r w:rsidR="00E13F67" w:rsidRPr="006454B5">
        <w:rPr>
          <w:rFonts w:ascii="Arial" w:hAnsi="Arial" w:cs="Arial"/>
          <w:sz w:val="22"/>
        </w:rPr>
        <w:lastRenderedPageBreak/>
        <w:t>dismissal, and c) a case acquittal (Lovett &amp; Kelly, 2009</w:t>
      </w:r>
      <w:r w:rsidR="005154D0" w:rsidRPr="006454B5">
        <w:rPr>
          <w:rFonts w:ascii="Arial" w:hAnsi="Arial" w:cs="Arial"/>
          <w:sz w:val="22"/>
        </w:rPr>
        <w:t xml:space="preserve">; </w:t>
      </w:r>
      <w:proofErr w:type="spellStart"/>
      <w:r w:rsidR="005154D0" w:rsidRPr="006454B5">
        <w:rPr>
          <w:rFonts w:ascii="Arial" w:hAnsi="Arial" w:cs="Arial"/>
          <w:sz w:val="22"/>
        </w:rPr>
        <w:t>Lundrigan</w:t>
      </w:r>
      <w:proofErr w:type="spellEnd"/>
      <w:r w:rsidR="008800BC" w:rsidRPr="006454B5">
        <w:rPr>
          <w:rFonts w:ascii="Arial" w:hAnsi="Arial" w:cs="Arial"/>
          <w:sz w:val="22"/>
        </w:rPr>
        <w:t xml:space="preserve"> et al.</w:t>
      </w:r>
      <w:r w:rsidR="005154D0" w:rsidRPr="006454B5">
        <w:rPr>
          <w:rFonts w:ascii="Arial" w:hAnsi="Arial" w:cs="Arial"/>
          <w:sz w:val="22"/>
        </w:rPr>
        <w:t>, 2019</w:t>
      </w:r>
      <w:r w:rsidR="0086787D">
        <w:rPr>
          <w:rFonts w:ascii="Arial" w:hAnsi="Arial" w:cs="Arial"/>
          <w:sz w:val="22"/>
        </w:rPr>
        <w:t>), although,</w:t>
      </w:r>
      <w:r w:rsidR="00E13F67" w:rsidRPr="006454B5">
        <w:rPr>
          <w:rFonts w:ascii="Arial" w:hAnsi="Arial" w:cs="Arial"/>
          <w:sz w:val="22"/>
        </w:rPr>
        <w:t xml:space="preserve"> so few cases are progressed, these routes account for a small percentage of overall attrition. </w:t>
      </w:r>
    </w:p>
    <w:p w14:paraId="4D6E2F88" w14:textId="378851D3" w:rsidR="00E13F67" w:rsidRPr="006454B5" w:rsidRDefault="00F812FE" w:rsidP="000C7544">
      <w:pPr>
        <w:spacing w:before="120" w:after="120"/>
        <w:ind w:firstLine="720"/>
        <w:contextualSpacing/>
        <w:rPr>
          <w:rFonts w:ascii="Arial" w:hAnsi="Arial" w:cs="Arial"/>
          <w:sz w:val="22"/>
        </w:rPr>
      </w:pPr>
      <w:r w:rsidRPr="006454B5">
        <w:rPr>
          <w:rFonts w:ascii="Arial" w:hAnsi="Arial" w:cs="Arial"/>
          <w:sz w:val="22"/>
        </w:rPr>
        <w:t>International</w:t>
      </w:r>
      <w:r w:rsidR="00C31EE9" w:rsidRPr="006454B5">
        <w:rPr>
          <w:rFonts w:ascii="Arial" w:hAnsi="Arial" w:cs="Arial"/>
          <w:sz w:val="22"/>
        </w:rPr>
        <w:t xml:space="preserve">, </w:t>
      </w:r>
      <w:r w:rsidRPr="006454B5">
        <w:rPr>
          <w:rFonts w:ascii="Arial" w:hAnsi="Arial" w:cs="Arial"/>
          <w:sz w:val="22"/>
        </w:rPr>
        <w:t>comparative r</w:t>
      </w:r>
      <w:r w:rsidR="00E13F67" w:rsidRPr="006454B5">
        <w:rPr>
          <w:rFonts w:ascii="Arial" w:hAnsi="Arial" w:cs="Arial"/>
          <w:sz w:val="22"/>
        </w:rPr>
        <w:t xml:space="preserve">esearch </w:t>
      </w:r>
      <w:r w:rsidRPr="006454B5">
        <w:rPr>
          <w:rFonts w:ascii="Arial" w:hAnsi="Arial" w:cs="Arial"/>
          <w:sz w:val="22"/>
        </w:rPr>
        <w:t xml:space="preserve">on </w:t>
      </w:r>
      <w:proofErr w:type="spellStart"/>
      <w:r w:rsidR="003539DD" w:rsidRPr="006454B5">
        <w:rPr>
          <w:rFonts w:ascii="Arial" w:hAnsi="Arial" w:cs="Arial"/>
          <w:sz w:val="22"/>
        </w:rPr>
        <w:t>case</w:t>
      </w:r>
      <w:proofErr w:type="spellEnd"/>
      <w:r w:rsidR="003539DD" w:rsidRPr="006454B5">
        <w:rPr>
          <w:rFonts w:ascii="Arial" w:hAnsi="Arial" w:cs="Arial"/>
          <w:sz w:val="22"/>
        </w:rPr>
        <w:t>-flow within</w:t>
      </w:r>
      <w:r w:rsidR="00C31EE9" w:rsidRPr="006454B5">
        <w:rPr>
          <w:rFonts w:ascii="Arial" w:hAnsi="Arial" w:cs="Arial"/>
          <w:sz w:val="22"/>
        </w:rPr>
        <w:t xml:space="preserve"> criminal justice system</w:t>
      </w:r>
      <w:r w:rsidR="003539DD" w:rsidRPr="006454B5">
        <w:rPr>
          <w:rFonts w:ascii="Arial" w:hAnsi="Arial" w:cs="Arial"/>
          <w:sz w:val="22"/>
        </w:rPr>
        <w:t>s</w:t>
      </w:r>
      <w:r w:rsidR="00C31EE9" w:rsidRPr="006454B5">
        <w:rPr>
          <w:rFonts w:ascii="Arial" w:hAnsi="Arial" w:cs="Arial"/>
          <w:sz w:val="22"/>
        </w:rPr>
        <w:t xml:space="preserve"> </w:t>
      </w:r>
      <w:r w:rsidRPr="006454B5">
        <w:rPr>
          <w:rFonts w:ascii="Arial" w:hAnsi="Arial" w:cs="Arial"/>
          <w:sz w:val="22"/>
        </w:rPr>
        <w:t xml:space="preserve">provides further support for high levels of attrition in England and Wales, and highlights the relative extremity of this issue in comparison to several other, common-law, English speaking countries </w:t>
      </w:r>
      <w:r w:rsidR="00C31EE9" w:rsidRPr="006454B5">
        <w:rPr>
          <w:rFonts w:ascii="Arial" w:hAnsi="Arial" w:cs="Arial"/>
          <w:sz w:val="22"/>
        </w:rPr>
        <w:t xml:space="preserve">over time </w:t>
      </w:r>
      <w:r w:rsidRPr="006454B5">
        <w:rPr>
          <w:rFonts w:ascii="Arial" w:hAnsi="Arial" w:cs="Arial"/>
          <w:sz w:val="22"/>
        </w:rPr>
        <w:t xml:space="preserve">(albeit with differing legislative definitions of rape – the United States, Canada, Australia and England and Wales). For example, the United States demonstrates a fairly static level of </w:t>
      </w:r>
      <w:proofErr w:type="spellStart"/>
      <w:r w:rsidRPr="006454B5">
        <w:rPr>
          <w:rFonts w:ascii="Arial" w:hAnsi="Arial" w:cs="Arial"/>
          <w:sz w:val="22"/>
        </w:rPr>
        <w:t>case</w:t>
      </w:r>
      <w:proofErr w:type="spellEnd"/>
      <w:r w:rsidRPr="006454B5">
        <w:rPr>
          <w:rFonts w:ascii="Arial" w:hAnsi="Arial" w:cs="Arial"/>
          <w:sz w:val="22"/>
        </w:rPr>
        <w:t xml:space="preserve"> referral to court</w:t>
      </w:r>
      <w:r w:rsidR="00C31EE9" w:rsidRPr="006454B5">
        <w:rPr>
          <w:rFonts w:ascii="Arial" w:hAnsi="Arial" w:cs="Arial"/>
          <w:sz w:val="22"/>
        </w:rPr>
        <w:t xml:space="preserve"> </w:t>
      </w:r>
      <w:proofErr w:type="gramStart"/>
      <w:r w:rsidR="00C31EE9" w:rsidRPr="006454B5">
        <w:rPr>
          <w:rFonts w:ascii="Arial" w:hAnsi="Arial" w:cs="Arial"/>
          <w:sz w:val="22"/>
        </w:rPr>
        <w:t>between early (1970-1989)</w:t>
      </w:r>
      <w:proofErr w:type="gramEnd"/>
      <w:r w:rsidR="00C31EE9" w:rsidRPr="006454B5">
        <w:rPr>
          <w:rFonts w:ascii="Arial" w:hAnsi="Arial" w:cs="Arial"/>
          <w:sz w:val="22"/>
        </w:rPr>
        <w:t xml:space="preserve"> and late time periods (1990-2005),</w:t>
      </w:r>
      <w:r w:rsidRPr="006454B5">
        <w:rPr>
          <w:rFonts w:ascii="Arial" w:hAnsi="Arial" w:cs="Arial"/>
          <w:sz w:val="22"/>
        </w:rPr>
        <w:t xml:space="preserve"> along with an </w:t>
      </w:r>
      <w:r w:rsidRPr="006454B5">
        <w:rPr>
          <w:rFonts w:ascii="Arial" w:hAnsi="Arial" w:cs="Arial"/>
          <w:i/>
          <w:iCs/>
          <w:sz w:val="22"/>
        </w:rPr>
        <w:t xml:space="preserve">increase </w:t>
      </w:r>
      <w:r w:rsidRPr="006454B5">
        <w:rPr>
          <w:rFonts w:ascii="Arial" w:hAnsi="Arial" w:cs="Arial"/>
          <w:sz w:val="22"/>
        </w:rPr>
        <w:t xml:space="preserve">in conviction (across all sexual offences) once cases go to trial. Referrals in Australia follow a similar pattern, but instead show a decrease in conviction. Canada demonstrates a decrease in both referrals and convictions across the time period studied, with England and Wales demonstrating </w:t>
      </w:r>
      <w:r w:rsidR="00C31EE9" w:rsidRPr="006454B5">
        <w:rPr>
          <w:rFonts w:ascii="Arial" w:hAnsi="Arial" w:cs="Arial"/>
          <w:sz w:val="22"/>
        </w:rPr>
        <w:t xml:space="preserve">a </w:t>
      </w:r>
      <w:r w:rsidRPr="006454B5">
        <w:rPr>
          <w:rFonts w:ascii="Arial" w:hAnsi="Arial" w:cs="Arial"/>
          <w:sz w:val="22"/>
        </w:rPr>
        <w:t xml:space="preserve">more dramatic </w:t>
      </w:r>
      <w:r w:rsidR="00955E76" w:rsidRPr="006454B5">
        <w:rPr>
          <w:rFonts w:ascii="Arial" w:hAnsi="Arial" w:cs="Arial"/>
          <w:sz w:val="22"/>
        </w:rPr>
        <w:t>decrease</w:t>
      </w:r>
      <w:r w:rsidRPr="006454B5">
        <w:rPr>
          <w:rFonts w:ascii="Arial" w:hAnsi="Arial" w:cs="Arial"/>
          <w:sz w:val="22"/>
        </w:rPr>
        <w:t xml:space="preserve"> for referrals (a reduction of </w:t>
      </w:r>
      <w:r w:rsidR="00C31EE9" w:rsidRPr="006454B5">
        <w:rPr>
          <w:rFonts w:ascii="Arial" w:hAnsi="Arial" w:cs="Arial"/>
          <w:sz w:val="22"/>
        </w:rPr>
        <w:t>34 to 17</w:t>
      </w:r>
      <w:r w:rsidRPr="006454B5">
        <w:rPr>
          <w:rFonts w:ascii="Arial" w:hAnsi="Arial" w:cs="Arial"/>
          <w:sz w:val="22"/>
        </w:rPr>
        <w:t>% compared to 35 to 26%) and</w:t>
      </w:r>
      <w:r w:rsidR="00C31EE9" w:rsidRPr="006454B5">
        <w:rPr>
          <w:rFonts w:ascii="Arial" w:hAnsi="Arial" w:cs="Arial"/>
          <w:sz w:val="22"/>
        </w:rPr>
        <w:t xml:space="preserve"> a less dramatic </w:t>
      </w:r>
      <w:r w:rsidR="00955E76" w:rsidRPr="006454B5">
        <w:rPr>
          <w:rFonts w:ascii="Arial" w:hAnsi="Arial" w:cs="Arial"/>
          <w:sz w:val="22"/>
        </w:rPr>
        <w:t>decrease</w:t>
      </w:r>
      <w:r w:rsidR="00C31EE9" w:rsidRPr="006454B5">
        <w:rPr>
          <w:rFonts w:ascii="Arial" w:hAnsi="Arial" w:cs="Arial"/>
          <w:sz w:val="22"/>
        </w:rPr>
        <w:t xml:space="preserve"> for</w:t>
      </w:r>
      <w:r w:rsidRPr="006454B5">
        <w:rPr>
          <w:rFonts w:ascii="Arial" w:hAnsi="Arial" w:cs="Arial"/>
          <w:sz w:val="22"/>
        </w:rPr>
        <w:t xml:space="preserve"> convictions (68 to 57% compared to 72 to 53%</w:t>
      </w:r>
      <w:r w:rsidR="00C31EE9" w:rsidRPr="006454B5">
        <w:rPr>
          <w:rFonts w:ascii="Arial" w:hAnsi="Arial" w:cs="Arial"/>
          <w:sz w:val="22"/>
        </w:rPr>
        <w:t xml:space="preserve">; Daly &amp; </w:t>
      </w:r>
      <w:proofErr w:type="spellStart"/>
      <w:r w:rsidR="00C31EE9" w:rsidRPr="006454B5">
        <w:rPr>
          <w:rFonts w:ascii="Arial" w:hAnsi="Arial" w:cs="Arial"/>
          <w:sz w:val="22"/>
        </w:rPr>
        <w:t>Bohours</w:t>
      </w:r>
      <w:proofErr w:type="spellEnd"/>
      <w:r w:rsidR="00C31EE9" w:rsidRPr="006454B5">
        <w:rPr>
          <w:rFonts w:ascii="Arial" w:hAnsi="Arial" w:cs="Arial"/>
          <w:sz w:val="22"/>
        </w:rPr>
        <w:t>, 2010</w:t>
      </w:r>
      <w:r w:rsidRPr="006454B5">
        <w:rPr>
          <w:rFonts w:ascii="Arial" w:hAnsi="Arial" w:cs="Arial"/>
          <w:sz w:val="22"/>
        </w:rPr>
        <w:t xml:space="preserve">). </w:t>
      </w:r>
      <w:r w:rsidR="00C31EE9" w:rsidRPr="006454B5">
        <w:rPr>
          <w:rFonts w:ascii="Arial" w:hAnsi="Arial" w:cs="Arial"/>
          <w:sz w:val="22"/>
        </w:rPr>
        <w:t>Such findings serve to demonstrate that attrition in rape cases in England and Wales is representative of international patterns, has become more severe over time, and represents the most extreme decrease</w:t>
      </w:r>
      <w:r w:rsidR="00955E76" w:rsidRPr="006454B5">
        <w:rPr>
          <w:rFonts w:ascii="Arial" w:hAnsi="Arial" w:cs="Arial"/>
          <w:sz w:val="22"/>
        </w:rPr>
        <w:t xml:space="preserve"> and objective percentage of cases referred to court.</w:t>
      </w:r>
    </w:p>
    <w:p w14:paraId="050B2ACC" w14:textId="26C36244" w:rsidR="00C024EF" w:rsidRPr="006454B5" w:rsidRDefault="00C024EF" w:rsidP="000C7544">
      <w:pPr>
        <w:spacing w:before="120" w:after="120"/>
        <w:contextualSpacing/>
        <w:rPr>
          <w:rFonts w:ascii="Arial" w:hAnsi="Arial" w:cs="Arial"/>
          <w:sz w:val="22"/>
        </w:rPr>
      </w:pPr>
      <w:r w:rsidRPr="006454B5">
        <w:rPr>
          <w:rFonts w:ascii="Arial" w:hAnsi="Arial" w:cs="Arial"/>
          <w:b/>
          <w:bCs/>
          <w:sz w:val="22"/>
        </w:rPr>
        <w:t>Police Decision-Makin</w:t>
      </w:r>
      <w:r w:rsidR="0064076B" w:rsidRPr="006454B5">
        <w:rPr>
          <w:rFonts w:ascii="Arial" w:hAnsi="Arial" w:cs="Arial"/>
          <w:b/>
          <w:bCs/>
          <w:sz w:val="22"/>
        </w:rPr>
        <w:t>g</w:t>
      </w:r>
    </w:p>
    <w:p w14:paraId="20250FD1" w14:textId="3ED12EF6" w:rsidR="00BC3FDB" w:rsidRPr="006454B5" w:rsidRDefault="00C024EF" w:rsidP="008800BC">
      <w:pPr>
        <w:spacing w:before="120" w:after="120"/>
        <w:ind w:firstLine="720"/>
        <w:contextualSpacing/>
        <w:rPr>
          <w:rFonts w:ascii="Arial" w:hAnsi="Arial" w:cs="Arial"/>
          <w:sz w:val="22"/>
        </w:rPr>
      </w:pPr>
      <w:r w:rsidRPr="006454B5">
        <w:rPr>
          <w:rFonts w:ascii="Arial" w:hAnsi="Arial" w:cs="Arial"/>
          <w:sz w:val="22"/>
        </w:rPr>
        <w:t>The causes and context of rape case attrition,</w:t>
      </w:r>
      <w:r w:rsidR="009B4683" w:rsidRPr="006454B5">
        <w:rPr>
          <w:rFonts w:ascii="Arial" w:hAnsi="Arial" w:cs="Arial"/>
          <w:sz w:val="22"/>
        </w:rPr>
        <w:t xml:space="preserve"> particularly</w:t>
      </w:r>
      <w:r w:rsidRPr="006454B5">
        <w:rPr>
          <w:rFonts w:ascii="Arial" w:hAnsi="Arial" w:cs="Arial"/>
          <w:sz w:val="22"/>
        </w:rPr>
        <w:t xml:space="preserve"> the role of police officers and the process of investigation, have garnered significant scrutiny. </w:t>
      </w:r>
      <w:r w:rsidR="003539DD" w:rsidRPr="006454B5">
        <w:rPr>
          <w:rFonts w:ascii="Arial" w:hAnsi="Arial" w:cs="Arial"/>
          <w:sz w:val="22"/>
        </w:rPr>
        <w:t>C</w:t>
      </w:r>
      <w:r w:rsidRPr="006454B5">
        <w:rPr>
          <w:rFonts w:ascii="Arial" w:hAnsi="Arial" w:cs="Arial"/>
          <w:sz w:val="22"/>
        </w:rPr>
        <w:t>oncerns have been noted surrounding the pivotal role officers play in the investigative process (</w:t>
      </w:r>
      <w:proofErr w:type="spellStart"/>
      <w:r w:rsidRPr="006454B5">
        <w:rPr>
          <w:rFonts w:ascii="Arial" w:hAnsi="Arial" w:cs="Arial"/>
          <w:sz w:val="22"/>
        </w:rPr>
        <w:t>Kerstetter</w:t>
      </w:r>
      <w:proofErr w:type="spellEnd"/>
      <w:r w:rsidRPr="006454B5">
        <w:rPr>
          <w:rFonts w:ascii="Arial" w:hAnsi="Arial" w:cs="Arial"/>
          <w:sz w:val="22"/>
        </w:rPr>
        <w:t>, 1990); their capacity to impact the progression of cases through the CJS (</w:t>
      </w:r>
      <w:proofErr w:type="spellStart"/>
      <w:r w:rsidRPr="006454B5">
        <w:rPr>
          <w:rFonts w:ascii="Arial" w:hAnsi="Arial" w:cs="Arial"/>
          <w:sz w:val="22"/>
        </w:rPr>
        <w:t>Spohn</w:t>
      </w:r>
      <w:proofErr w:type="spellEnd"/>
      <w:r w:rsidRPr="006454B5">
        <w:rPr>
          <w:rFonts w:ascii="Arial" w:hAnsi="Arial" w:cs="Arial"/>
          <w:sz w:val="22"/>
        </w:rPr>
        <w:t xml:space="preserve"> &amp; </w:t>
      </w:r>
      <w:proofErr w:type="spellStart"/>
      <w:r w:rsidRPr="006454B5">
        <w:rPr>
          <w:rFonts w:ascii="Arial" w:hAnsi="Arial" w:cs="Arial"/>
          <w:sz w:val="22"/>
        </w:rPr>
        <w:t>Tellis</w:t>
      </w:r>
      <w:proofErr w:type="spellEnd"/>
      <w:r w:rsidRPr="006454B5">
        <w:rPr>
          <w:rFonts w:ascii="Arial" w:hAnsi="Arial" w:cs="Arial"/>
          <w:sz w:val="22"/>
        </w:rPr>
        <w:t>, 2012); and the significant scope for discretion that has historically been afforded to police officers in relation to case decision-making (Page, 200</w:t>
      </w:r>
      <w:r w:rsidR="0086787D">
        <w:rPr>
          <w:rFonts w:ascii="Arial" w:hAnsi="Arial" w:cs="Arial"/>
          <w:sz w:val="22"/>
        </w:rPr>
        <w:t xml:space="preserve">8; </w:t>
      </w:r>
      <w:proofErr w:type="spellStart"/>
      <w:r w:rsidR="0086787D">
        <w:rPr>
          <w:rFonts w:ascii="Arial" w:hAnsi="Arial" w:cs="Arial"/>
          <w:sz w:val="22"/>
        </w:rPr>
        <w:t>Venema</w:t>
      </w:r>
      <w:proofErr w:type="spellEnd"/>
      <w:r w:rsidR="0086787D">
        <w:rPr>
          <w:rFonts w:ascii="Arial" w:hAnsi="Arial" w:cs="Arial"/>
          <w:sz w:val="22"/>
        </w:rPr>
        <w:t>, 2016, 2019). Notwithstanding</w:t>
      </w:r>
      <w:r w:rsidRPr="006454B5">
        <w:rPr>
          <w:rFonts w:ascii="Arial" w:hAnsi="Arial" w:cs="Arial"/>
          <w:sz w:val="22"/>
        </w:rPr>
        <w:t>, as the primary point of contact and gatekeepers to criminal justice (</w:t>
      </w:r>
      <w:proofErr w:type="spellStart"/>
      <w:r w:rsidRPr="006454B5">
        <w:rPr>
          <w:rFonts w:ascii="Arial" w:hAnsi="Arial" w:cs="Arial"/>
          <w:sz w:val="22"/>
        </w:rPr>
        <w:t>Kerstetter</w:t>
      </w:r>
      <w:proofErr w:type="spellEnd"/>
      <w:r w:rsidRPr="006454B5">
        <w:rPr>
          <w:rFonts w:ascii="Arial" w:hAnsi="Arial" w:cs="Arial"/>
          <w:sz w:val="22"/>
        </w:rPr>
        <w:t>, 1990), police officers are regarded as crucial determinants of victims’ experiences of the CJS overall (Du Mont</w:t>
      </w:r>
      <w:r w:rsidR="008800BC" w:rsidRPr="006454B5">
        <w:rPr>
          <w:rFonts w:ascii="Arial" w:hAnsi="Arial" w:cs="Arial"/>
          <w:sz w:val="22"/>
        </w:rPr>
        <w:t xml:space="preserve"> et al.</w:t>
      </w:r>
      <w:r w:rsidR="006A35F9" w:rsidRPr="006454B5">
        <w:rPr>
          <w:rFonts w:ascii="Arial" w:hAnsi="Arial" w:cs="Arial"/>
          <w:sz w:val="22"/>
        </w:rPr>
        <w:t xml:space="preserve">, </w:t>
      </w:r>
      <w:r w:rsidRPr="006454B5">
        <w:rPr>
          <w:rFonts w:ascii="Arial" w:hAnsi="Arial" w:cs="Arial"/>
          <w:sz w:val="22"/>
        </w:rPr>
        <w:t xml:space="preserve">2003; </w:t>
      </w:r>
      <w:proofErr w:type="spellStart"/>
      <w:r w:rsidRPr="006454B5">
        <w:rPr>
          <w:rFonts w:ascii="Arial" w:hAnsi="Arial" w:cs="Arial"/>
          <w:sz w:val="22"/>
        </w:rPr>
        <w:t>Lonsway</w:t>
      </w:r>
      <w:proofErr w:type="spellEnd"/>
      <w:r w:rsidRPr="006454B5">
        <w:rPr>
          <w:rFonts w:ascii="Arial" w:hAnsi="Arial" w:cs="Arial"/>
          <w:sz w:val="22"/>
        </w:rPr>
        <w:t xml:space="preserve"> et al., 2001). Shaw</w:t>
      </w:r>
      <w:r w:rsidR="00A915F7" w:rsidRPr="006454B5">
        <w:rPr>
          <w:rFonts w:ascii="Arial" w:hAnsi="Arial" w:cs="Arial"/>
          <w:sz w:val="22"/>
        </w:rPr>
        <w:t xml:space="preserve">, </w:t>
      </w:r>
      <w:r w:rsidR="00A915F7" w:rsidRPr="006454B5">
        <w:rPr>
          <w:rFonts w:ascii="Arial" w:hAnsi="Arial" w:cs="Arial"/>
          <w:sz w:val="22"/>
        </w:rPr>
        <w:lastRenderedPageBreak/>
        <w:t xml:space="preserve">Campbell, Cain, and Feeney </w:t>
      </w:r>
      <w:r w:rsidR="00F12ED5" w:rsidRPr="006454B5">
        <w:rPr>
          <w:rFonts w:ascii="Arial" w:hAnsi="Arial" w:cs="Arial"/>
          <w:sz w:val="22"/>
        </w:rPr>
        <w:t xml:space="preserve">(2017) </w:t>
      </w:r>
      <w:r w:rsidRPr="006454B5">
        <w:rPr>
          <w:rFonts w:ascii="Arial" w:hAnsi="Arial" w:cs="Arial"/>
          <w:sz w:val="22"/>
        </w:rPr>
        <w:t xml:space="preserve">summarise this position by stating that </w:t>
      </w:r>
      <w:r w:rsidR="00672264" w:rsidRPr="006454B5">
        <w:rPr>
          <w:rFonts w:ascii="Arial" w:hAnsi="Arial" w:cs="Arial"/>
          <w:sz w:val="22"/>
        </w:rPr>
        <w:t>officers</w:t>
      </w:r>
      <w:r w:rsidRPr="006454B5">
        <w:rPr>
          <w:rFonts w:ascii="Arial" w:hAnsi="Arial" w:cs="Arial"/>
          <w:sz w:val="22"/>
        </w:rPr>
        <w:t xml:space="preserve"> hold the key responsibility of bridging investigation and prosecution</w:t>
      </w:r>
      <w:r w:rsidR="00F12ED5" w:rsidRPr="006454B5">
        <w:rPr>
          <w:rFonts w:ascii="Arial" w:hAnsi="Arial" w:cs="Arial"/>
          <w:sz w:val="22"/>
        </w:rPr>
        <w:t>.</w:t>
      </w:r>
    </w:p>
    <w:p w14:paraId="2D8C93B4" w14:textId="4980E894" w:rsidR="00C024EF" w:rsidRPr="0086787D" w:rsidRDefault="00895ADA" w:rsidP="0086787D">
      <w:pPr>
        <w:pStyle w:val="NormalWeb"/>
        <w:spacing w:before="120" w:beforeAutospacing="0" w:after="120" w:afterAutospacing="0" w:line="480" w:lineRule="auto"/>
        <w:ind w:firstLine="720"/>
        <w:contextualSpacing/>
        <w:rPr>
          <w:rFonts w:ascii="Arial" w:eastAsiaTheme="minorHAnsi" w:hAnsi="Arial" w:cs="Arial"/>
          <w:sz w:val="22"/>
          <w:szCs w:val="22"/>
          <w:lang w:eastAsia="en-US"/>
        </w:rPr>
      </w:pPr>
      <w:r w:rsidRPr="006454B5">
        <w:rPr>
          <w:rFonts w:ascii="Arial" w:eastAsiaTheme="minorHAnsi" w:hAnsi="Arial" w:cs="Arial"/>
          <w:sz w:val="22"/>
          <w:szCs w:val="22"/>
          <w:lang w:eastAsia="en-US"/>
        </w:rPr>
        <w:t>R</w:t>
      </w:r>
      <w:r w:rsidR="00C024EF" w:rsidRPr="006454B5">
        <w:rPr>
          <w:rFonts w:ascii="Arial" w:eastAsiaTheme="minorHAnsi" w:hAnsi="Arial" w:cs="Arial"/>
          <w:sz w:val="22"/>
          <w:szCs w:val="22"/>
          <w:lang w:eastAsia="en-US"/>
        </w:rPr>
        <w:t>ecent evidence has shown that discretionary decisions made by officers are often influenced by individual attitudes (Murphy &amp; Hine, 2019), with specific support noted for the role of rape myths</w:t>
      </w:r>
      <w:r w:rsidR="00FE540D" w:rsidRPr="006454B5">
        <w:rPr>
          <w:rFonts w:ascii="Arial" w:eastAsiaTheme="minorHAnsi" w:hAnsi="Arial" w:cs="Arial"/>
          <w:sz w:val="22"/>
          <w:szCs w:val="22"/>
          <w:lang w:eastAsia="en-US"/>
        </w:rPr>
        <w:t xml:space="preserve">. </w:t>
      </w:r>
      <w:r w:rsidR="00BE0AF1" w:rsidRPr="006454B5">
        <w:rPr>
          <w:rFonts w:ascii="Arial" w:eastAsiaTheme="minorHAnsi" w:hAnsi="Arial" w:cs="Arial"/>
          <w:sz w:val="22"/>
          <w:szCs w:val="22"/>
          <w:lang w:eastAsia="en-US"/>
        </w:rPr>
        <w:t>Rape myths are defined as</w:t>
      </w:r>
      <w:r w:rsidR="00455B99" w:rsidRPr="006454B5">
        <w:rPr>
          <w:rFonts w:ascii="Arial" w:eastAsiaTheme="minorHAnsi" w:hAnsi="Arial" w:cs="Arial" w:hint="eastAsia"/>
          <w:sz w:val="22"/>
          <w:szCs w:val="22"/>
          <w:lang w:eastAsia="en-US"/>
        </w:rPr>
        <w:t xml:space="preserve"> </w:t>
      </w:r>
      <w:r w:rsidR="00455B99" w:rsidRPr="006454B5">
        <w:rPr>
          <w:rFonts w:ascii="Arial" w:eastAsiaTheme="minorHAnsi" w:hAnsi="Arial" w:cs="Arial"/>
          <w:sz w:val="22"/>
          <w:szCs w:val="22"/>
          <w:lang w:eastAsia="en-US"/>
        </w:rPr>
        <w:t>‘</w:t>
      </w:r>
      <w:r w:rsidR="00BE0AF1" w:rsidRPr="006454B5">
        <w:rPr>
          <w:rFonts w:ascii="Arial" w:eastAsiaTheme="minorHAnsi" w:hAnsi="Arial" w:cs="Arial"/>
          <w:sz w:val="22"/>
          <w:szCs w:val="22"/>
          <w:lang w:eastAsia="en-US"/>
        </w:rPr>
        <w:t>descriptive or prescriptive</w:t>
      </w:r>
      <w:r w:rsidR="0086787D">
        <w:rPr>
          <w:rFonts w:ascii="Arial" w:eastAsiaTheme="minorHAnsi" w:hAnsi="Arial" w:cs="Arial"/>
          <w:sz w:val="22"/>
          <w:szCs w:val="22"/>
          <w:lang w:eastAsia="en-US"/>
        </w:rPr>
        <w:t xml:space="preserve"> beliefs about rape (i.e., </w:t>
      </w:r>
      <w:r w:rsidR="00BE0AF1" w:rsidRPr="006454B5">
        <w:rPr>
          <w:rFonts w:ascii="Arial" w:eastAsiaTheme="minorHAnsi" w:hAnsi="Arial" w:cs="Arial"/>
          <w:sz w:val="22"/>
          <w:szCs w:val="22"/>
          <w:lang w:eastAsia="en-US"/>
        </w:rPr>
        <w:t xml:space="preserve"> its causes, context, consequences, perpetrators, victims, and their interaction) that serve to deny, downplay or justify sexual violen</w:t>
      </w:r>
      <w:r w:rsidR="0086787D">
        <w:rPr>
          <w:rFonts w:ascii="Arial" w:eastAsiaTheme="minorHAnsi" w:hAnsi="Arial" w:cs="Arial"/>
          <w:sz w:val="22"/>
          <w:szCs w:val="22"/>
          <w:lang w:eastAsia="en-US"/>
        </w:rPr>
        <w:t>ce (</w:t>
      </w:r>
      <w:proofErr w:type="spellStart"/>
      <w:r w:rsidR="00BE0AF1" w:rsidRPr="006454B5">
        <w:rPr>
          <w:rFonts w:ascii="Arial" w:eastAsiaTheme="minorHAnsi" w:hAnsi="Arial" w:cs="Arial"/>
          <w:sz w:val="22"/>
          <w:szCs w:val="22"/>
          <w:lang w:eastAsia="en-US"/>
        </w:rPr>
        <w:t>Bohner</w:t>
      </w:r>
      <w:proofErr w:type="spellEnd"/>
      <w:r w:rsidR="00BE0AF1" w:rsidRPr="006454B5">
        <w:rPr>
          <w:rFonts w:ascii="Arial" w:eastAsiaTheme="minorHAnsi" w:hAnsi="Arial" w:cs="Arial"/>
          <w:sz w:val="22"/>
          <w:szCs w:val="22"/>
          <w:lang w:eastAsia="en-US"/>
        </w:rPr>
        <w:t xml:space="preserve">, 1998, p.14). </w:t>
      </w:r>
      <w:r w:rsidR="00C024EF" w:rsidRPr="006454B5">
        <w:rPr>
          <w:rFonts w:ascii="Arial" w:hAnsi="Arial" w:cs="Arial"/>
          <w:sz w:val="22"/>
        </w:rPr>
        <w:t>Such myths have been shown to impact officers’ judgments of victims and perpetrators (Hine &amp; Murphy, 2017</w:t>
      </w:r>
      <w:r w:rsidR="009E4421" w:rsidRPr="006454B5">
        <w:rPr>
          <w:rFonts w:ascii="Arial" w:hAnsi="Arial" w:cs="Arial"/>
          <w:sz w:val="22"/>
        </w:rPr>
        <w:t xml:space="preserve">, </w:t>
      </w:r>
      <w:r w:rsidR="00C024EF" w:rsidRPr="006454B5">
        <w:rPr>
          <w:rFonts w:ascii="Arial" w:hAnsi="Arial" w:cs="Arial"/>
          <w:sz w:val="22"/>
        </w:rPr>
        <w:t>2019),</w:t>
      </w:r>
      <w:r w:rsidR="001372F1" w:rsidRPr="006454B5">
        <w:rPr>
          <w:rFonts w:ascii="Arial" w:hAnsi="Arial" w:cs="Arial"/>
          <w:sz w:val="22"/>
        </w:rPr>
        <w:t xml:space="preserve"> and</w:t>
      </w:r>
      <w:r w:rsidR="00C024EF" w:rsidRPr="006454B5">
        <w:rPr>
          <w:rFonts w:ascii="Arial" w:hAnsi="Arial" w:cs="Arial"/>
          <w:sz w:val="22"/>
        </w:rPr>
        <w:t xml:space="preserve"> </w:t>
      </w:r>
      <w:r w:rsidR="001372F1" w:rsidRPr="006454B5">
        <w:rPr>
          <w:rFonts w:ascii="Arial" w:hAnsi="Arial" w:cs="Arial"/>
          <w:sz w:val="22"/>
        </w:rPr>
        <w:t>to prompt mistrust of victims (</w:t>
      </w:r>
      <w:proofErr w:type="spellStart"/>
      <w:r w:rsidR="001372F1" w:rsidRPr="006454B5">
        <w:rPr>
          <w:rFonts w:ascii="Arial" w:hAnsi="Arial" w:cs="Arial"/>
          <w:sz w:val="22"/>
        </w:rPr>
        <w:t>Greuel</w:t>
      </w:r>
      <w:proofErr w:type="spellEnd"/>
      <w:r w:rsidR="001372F1" w:rsidRPr="006454B5">
        <w:rPr>
          <w:rFonts w:ascii="Arial" w:hAnsi="Arial" w:cs="Arial"/>
          <w:sz w:val="22"/>
        </w:rPr>
        <w:t>, 2011; Hackett</w:t>
      </w:r>
      <w:r w:rsidR="008800BC" w:rsidRPr="006454B5">
        <w:rPr>
          <w:rFonts w:ascii="Arial" w:hAnsi="Arial" w:cs="Arial"/>
          <w:sz w:val="22"/>
        </w:rPr>
        <w:t xml:space="preserve"> et al.</w:t>
      </w:r>
      <w:r w:rsidR="009E4421" w:rsidRPr="006454B5">
        <w:rPr>
          <w:rFonts w:ascii="Arial" w:hAnsi="Arial" w:cs="Arial"/>
          <w:sz w:val="22"/>
        </w:rPr>
        <w:t xml:space="preserve">, </w:t>
      </w:r>
      <w:r w:rsidR="001372F1" w:rsidRPr="006454B5">
        <w:rPr>
          <w:rFonts w:ascii="Arial" w:hAnsi="Arial" w:cs="Arial"/>
          <w:sz w:val="22"/>
        </w:rPr>
        <w:t xml:space="preserve">2008). Victims themselves routinely cite questioning associated with such myths, and the negative attitudes of officers as </w:t>
      </w:r>
      <w:r w:rsidR="00C024EF" w:rsidRPr="006454B5">
        <w:rPr>
          <w:rFonts w:ascii="Arial" w:hAnsi="Arial" w:cs="Arial"/>
          <w:sz w:val="22"/>
        </w:rPr>
        <w:t>contribut</w:t>
      </w:r>
      <w:r w:rsidR="001372F1" w:rsidRPr="006454B5">
        <w:rPr>
          <w:rFonts w:ascii="Arial" w:hAnsi="Arial" w:cs="Arial"/>
          <w:sz w:val="22"/>
        </w:rPr>
        <w:t>ing</w:t>
      </w:r>
      <w:r w:rsidR="00C024EF" w:rsidRPr="006454B5">
        <w:rPr>
          <w:rFonts w:ascii="Arial" w:hAnsi="Arial" w:cs="Arial"/>
          <w:sz w:val="22"/>
        </w:rPr>
        <w:t xml:space="preserve"> to </w:t>
      </w:r>
      <w:r w:rsidR="001372F1" w:rsidRPr="006454B5">
        <w:rPr>
          <w:rFonts w:ascii="Arial" w:hAnsi="Arial" w:cs="Arial"/>
          <w:sz w:val="22"/>
        </w:rPr>
        <w:t xml:space="preserve">their </w:t>
      </w:r>
      <w:r w:rsidR="00C024EF" w:rsidRPr="006454B5">
        <w:rPr>
          <w:rFonts w:ascii="Arial" w:hAnsi="Arial" w:cs="Arial"/>
          <w:sz w:val="22"/>
        </w:rPr>
        <w:t xml:space="preserve">negative experiences </w:t>
      </w:r>
      <w:r w:rsidR="001372F1" w:rsidRPr="006454B5">
        <w:rPr>
          <w:rFonts w:ascii="Arial" w:hAnsi="Arial" w:cs="Arial"/>
          <w:sz w:val="22"/>
        </w:rPr>
        <w:t>of the justice process, and the phenomenon of ‘secondary victimisation’</w:t>
      </w:r>
      <w:r w:rsidR="00C024EF" w:rsidRPr="006454B5">
        <w:rPr>
          <w:rFonts w:ascii="Arial" w:hAnsi="Arial" w:cs="Arial"/>
          <w:sz w:val="22"/>
        </w:rPr>
        <w:t xml:space="preserve"> (Campbell, 2006; Chen &amp; Ullman, 2010; Rich &amp; </w:t>
      </w:r>
      <w:proofErr w:type="spellStart"/>
      <w:r w:rsidR="00C024EF" w:rsidRPr="006454B5">
        <w:rPr>
          <w:rFonts w:ascii="Arial" w:hAnsi="Arial" w:cs="Arial"/>
          <w:sz w:val="22"/>
        </w:rPr>
        <w:t>Seffrin</w:t>
      </w:r>
      <w:proofErr w:type="spellEnd"/>
      <w:r w:rsidR="00C024EF" w:rsidRPr="006454B5">
        <w:rPr>
          <w:rFonts w:ascii="Arial" w:hAnsi="Arial" w:cs="Arial"/>
          <w:sz w:val="22"/>
        </w:rPr>
        <w:t xml:space="preserve">, 2012; </w:t>
      </w:r>
      <w:proofErr w:type="spellStart"/>
      <w:r w:rsidR="00C024EF" w:rsidRPr="006454B5">
        <w:rPr>
          <w:rFonts w:ascii="Arial" w:hAnsi="Arial" w:cs="Arial"/>
          <w:sz w:val="22"/>
        </w:rPr>
        <w:t>Venema</w:t>
      </w:r>
      <w:proofErr w:type="spellEnd"/>
      <w:r w:rsidR="00C024EF" w:rsidRPr="006454B5">
        <w:rPr>
          <w:rFonts w:ascii="Arial" w:hAnsi="Arial" w:cs="Arial"/>
          <w:sz w:val="22"/>
        </w:rPr>
        <w:t>, 2019)</w:t>
      </w:r>
      <w:r w:rsidR="001372F1" w:rsidRPr="006454B5">
        <w:rPr>
          <w:rFonts w:ascii="Arial" w:hAnsi="Arial" w:cs="Arial"/>
          <w:sz w:val="22"/>
        </w:rPr>
        <w:t xml:space="preserve">. </w:t>
      </w:r>
      <w:r w:rsidR="00C024EF" w:rsidRPr="006454B5">
        <w:rPr>
          <w:rFonts w:ascii="Arial" w:hAnsi="Arial" w:cs="Arial"/>
          <w:sz w:val="22"/>
        </w:rPr>
        <w:t>Officers’ attitudes and behaviours have also been shown to impact case progression and attrition, with cases including rape myth-related information achieving less successful criminal justice outcomes (</w:t>
      </w:r>
      <w:proofErr w:type="spellStart"/>
      <w:r w:rsidR="00C024EF" w:rsidRPr="006454B5">
        <w:rPr>
          <w:rFonts w:ascii="Arial" w:hAnsi="Arial" w:cs="Arial"/>
          <w:sz w:val="22"/>
        </w:rPr>
        <w:t>Hohl</w:t>
      </w:r>
      <w:proofErr w:type="spellEnd"/>
      <w:r w:rsidR="00C024EF" w:rsidRPr="006454B5">
        <w:rPr>
          <w:rFonts w:ascii="Arial" w:hAnsi="Arial" w:cs="Arial"/>
          <w:sz w:val="22"/>
        </w:rPr>
        <w:t xml:space="preserve"> &amp; </w:t>
      </w:r>
      <w:proofErr w:type="spellStart"/>
      <w:r w:rsidR="00C024EF" w:rsidRPr="006454B5">
        <w:rPr>
          <w:rFonts w:ascii="Arial" w:hAnsi="Arial" w:cs="Arial"/>
          <w:sz w:val="22"/>
        </w:rPr>
        <w:t>Stanko</w:t>
      </w:r>
      <w:proofErr w:type="spellEnd"/>
      <w:r w:rsidR="00C024EF" w:rsidRPr="006454B5">
        <w:rPr>
          <w:rFonts w:ascii="Arial" w:hAnsi="Arial" w:cs="Arial"/>
          <w:sz w:val="22"/>
        </w:rPr>
        <w:t xml:space="preserve">, 2015; Parratt &amp; Pina, 2017; </w:t>
      </w:r>
      <w:proofErr w:type="spellStart"/>
      <w:r w:rsidR="00C024EF" w:rsidRPr="006454B5">
        <w:rPr>
          <w:rFonts w:ascii="Arial" w:hAnsi="Arial" w:cs="Arial"/>
          <w:sz w:val="22"/>
        </w:rPr>
        <w:t>Sleath</w:t>
      </w:r>
      <w:proofErr w:type="spellEnd"/>
      <w:r w:rsidR="00C024EF" w:rsidRPr="006454B5">
        <w:rPr>
          <w:rFonts w:ascii="Arial" w:hAnsi="Arial" w:cs="Arial"/>
          <w:sz w:val="22"/>
        </w:rPr>
        <w:t xml:space="preserve"> &amp; Bull, 2017). As such, the response of police services to rape cases continues to be a significant area of concern.</w:t>
      </w:r>
    </w:p>
    <w:p w14:paraId="186C9F80" w14:textId="0CFD3739" w:rsidR="00693E2F" w:rsidRPr="006454B5" w:rsidRDefault="00973982" w:rsidP="000C7544">
      <w:pPr>
        <w:spacing w:before="120" w:after="120"/>
        <w:contextualSpacing/>
        <w:rPr>
          <w:rFonts w:ascii="Arial" w:hAnsi="Arial" w:cs="Arial"/>
          <w:b/>
          <w:bCs/>
          <w:sz w:val="22"/>
        </w:rPr>
      </w:pPr>
      <w:r w:rsidRPr="006454B5">
        <w:rPr>
          <w:rFonts w:ascii="Arial" w:hAnsi="Arial" w:cs="Arial"/>
          <w:b/>
          <w:bCs/>
          <w:sz w:val="22"/>
        </w:rPr>
        <w:t xml:space="preserve">The Relationship between </w:t>
      </w:r>
      <w:r w:rsidR="00693E2F" w:rsidRPr="006454B5">
        <w:rPr>
          <w:rFonts w:ascii="Arial" w:hAnsi="Arial" w:cs="Arial"/>
          <w:b/>
          <w:bCs/>
          <w:sz w:val="22"/>
        </w:rPr>
        <w:t xml:space="preserve">Case Characteristics </w:t>
      </w:r>
      <w:r w:rsidR="0064076B" w:rsidRPr="006454B5">
        <w:rPr>
          <w:rFonts w:ascii="Arial" w:hAnsi="Arial" w:cs="Arial"/>
          <w:b/>
          <w:bCs/>
          <w:sz w:val="22"/>
        </w:rPr>
        <w:t>and Case Outcomes</w:t>
      </w:r>
    </w:p>
    <w:p w14:paraId="1B86E0C0" w14:textId="00EB2317" w:rsidR="003D4F22" w:rsidRPr="006454B5" w:rsidRDefault="00973982" w:rsidP="000C7544">
      <w:pPr>
        <w:spacing w:before="120" w:after="120"/>
        <w:ind w:firstLine="720"/>
        <w:contextualSpacing/>
        <w:rPr>
          <w:rFonts w:ascii="Arial" w:hAnsi="Arial" w:cs="Arial"/>
          <w:sz w:val="22"/>
        </w:rPr>
      </w:pPr>
      <w:r w:rsidRPr="006454B5">
        <w:rPr>
          <w:rFonts w:ascii="Arial" w:hAnsi="Arial" w:cs="Arial"/>
          <w:sz w:val="22"/>
        </w:rPr>
        <w:t>S</w:t>
      </w:r>
      <w:r w:rsidR="009F4F9E" w:rsidRPr="006454B5">
        <w:rPr>
          <w:rFonts w:ascii="Arial" w:hAnsi="Arial" w:cs="Arial"/>
          <w:sz w:val="22"/>
        </w:rPr>
        <w:t xml:space="preserve">everal studies have provided information on the profile and context of </w:t>
      </w:r>
      <w:r w:rsidR="00A83BD5" w:rsidRPr="006454B5">
        <w:rPr>
          <w:rFonts w:ascii="Arial" w:hAnsi="Arial" w:cs="Arial"/>
          <w:sz w:val="22"/>
        </w:rPr>
        <w:t xml:space="preserve">rape </w:t>
      </w:r>
      <w:r w:rsidR="009F4F9E" w:rsidRPr="006454B5">
        <w:rPr>
          <w:rFonts w:ascii="Arial" w:hAnsi="Arial" w:cs="Arial"/>
          <w:sz w:val="22"/>
        </w:rPr>
        <w:t xml:space="preserve">cases, </w:t>
      </w:r>
      <w:r w:rsidR="00707AD6" w:rsidRPr="006454B5">
        <w:rPr>
          <w:rFonts w:ascii="Arial" w:hAnsi="Arial" w:cs="Arial"/>
          <w:sz w:val="22"/>
        </w:rPr>
        <w:t>to</w:t>
      </w:r>
      <w:r w:rsidR="009F4F9E" w:rsidRPr="006454B5">
        <w:rPr>
          <w:rFonts w:ascii="Arial" w:hAnsi="Arial" w:cs="Arial"/>
          <w:sz w:val="22"/>
        </w:rPr>
        <w:t xml:space="preserve"> improve</w:t>
      </w:r>
      <w:r w:rsidR="00707AD6" w:rsidRPr="006454B5">
        <w:rPr>
          <w:rFonts w:ascii="Arial" w:hAnsi="Arial" w:cs="Arial"/>
          <w:sz w:val="22"/>
        </w:rPr>
        <w:t xml:space="preserve"> </w:t>
      </w:r>
      <w:r w:rsidR="009F4F9E" w:rsidRPr="006454B5">
        <w:rPr>
          <w:rFonts w:ascii="Arial" w:hAnsi="Arial" w:cs="Arial"/>
          <w:sz w:val="22"/>
        </w:rPr>
        <w:t>understanding</w:t>
      </w:r>
      <w:r w:rsidR="005F7225" w:rsidRPr="006454B5">
        <w:rPr>
          <w:rFonts w:ascii="Arial" w:hAnsi="Arial" w:cs="Arial"/>
          <w:sz w:val="22"/>
        </w:rPr>
        <w:t>s</w:t>
      </w:r>
      <w:r w:rsidR="009F4F9E" w:rsidRPr="006454B5">
        <w:rPr>
          <w:rFonts w:ascii="Arial" w:hAnsi="Arial" w:cs="Arial"/>
          <w:sz w:val="22"/>
        </w:rPr>
        <w:t xml:space="preserve"> </w:t>
      </w:r>
      <w:r w:rsidR="00593B7A" w:rsidRPr="006454B5">
        <w:rPr>
          <w:rFonts w:ascii="Arial" w:hAnsi="Arial" w:cs="Arial"/>
          <w:sz w:val="22"/>
        </w:rPr>
        <w:t xml:space="preserve">of </w:t>
      </w:r>
      <w:r w:rsidR="00707AD6" w:rsidRPr="006454B5">
        <w:rPr>
          <w:rFonts w:ascii="Arial" w:hAnsi="Arial" w:cs="Arial"/>
          <w:sz w:val="22"/>
        </w:rPr>
        <w:t>the specific</w:t>
      </w:r>
      <w:r w:rsidR="00593B7A" w:rsidRPr="006454B5">
        <w:rPr>
          <w:rFonts w:ascii="Arial" w:hAnsi="Arial" w:cs="Arial"/>
          <w:sz w:val="22"/>
        </w:rPr>
        <w:t xml:space="preserve"> case characteristics </w:t>
      </w:r>
      <w:r w:rsidR="00707AD6" w:rsidRPr="006454B5">
        <w:rPr>
          <w:rFonts w:ascii="Arial" w:hAnsi="Arial" w:cs="Arial"/>
          <w:sz w:val="22"/>
        </w:rPr>
        <w:t xml:space="preserve">that </w:t>
      </w:r>
      <w:r w:rsidR="00593B7A" w:rsidRPr="006454B5">
        <w:rPr>
          <w:rFonts w:ascii="Arial" w:hAnsi="Arial" w:cs="Arial"/>
          <w:sz w:val="22"/>
        </w:rPr>
        <w:t>predict attrition</w:t>
      </w:r>
      <w:r w:rsidRPr="006454B5">
        <w:rPr>
          <w:rFonts w:ascii="Arial" w:hAnsi="Arial" w:cs="Arial"/>
          <w:sz w:val="22"/>
        </w:rPr>
        <w:t xml:space="preserve"> (including those related to rape myths</w:t>
      </w:r>
      <w:r w:rsidR="002E5FFC" w:rsidRPr="006454B5">
        <w:rPr>
          <w:rFonts w:ascii="Arial" w:hAnsi="Arial" w:cs="Arial"/>
          <w:sz w:val="22"/>
        </w:rPr>
        <w:t xml:space="preserve">, and police </w:t>
      </w:r>
      <w:r w:rsidR="0086787D">
        <w:rPr>
          <w:rFonts w:ascii="Arial" w:hAnsi="Arial" w:cs="Arial"/>
          <w:sz w:val="22"/>
        </w:rPr>
        <w:t>decision-making</w:t>
      </w:r>
      <w:r w:rsidRPr="006454B5">
        <w:rPr>
          <w:rFonts w:ascii="Arial" w:hAnsi="Arial" w:cs="Arial"/>
          <w:sz w:val="22"/>
        </w:rPr>
        <w:t>)</w:t>
      </w:r>
      <w:r w:rsidR="009F4F9E" w:rsidRPr="006454B5">
        <w:rPr>
          <w:rFonts w:ascii="Arial" w:hAnsi="Arial" w:cs="Arial"/>
          <w:sz w:val="22"/>
        </w:rPr>
        <w:t>.</w:t>
      </w:r>
      <w:r w:rsidR="00723A27" w:rsidRPr="006454B5">
        <w:rPr>
          <w:rFonts w:ascii="Arial" w:hAnsi="Arial" w:cs="Arial"/>
          <w:sz w:val="22"/>
        </w:rPr>
        <w:t xml:space="preserve"> As such, p</w:t>
      </w:r>
      <w:r w:rsidR="009F4F9E" w:rsidRPr="006454B5">
        <w:rPr>
          <w:rFonts w:ascii="Arial" w:hAnsi="Arial" w:cs="Arial"/>
          <w:sz w:val="22"/>
        </w:rPr>
        <w:t xml:space="preserve">reliminary links between particular characteristics and outcomes, </w:t>
      </w:r>
      <w:r w:rsidR="00672264" w:rsidRPr="006454B5">
        <w:rPr>
          <w:rFonts w:ascii="Arial" w:hAnsi="Arial" w:cs="Arial"/>
          <w:sz w:val="22"/>
        </w:rPr>
        <w:t>some of which are representative of</w:t>
      </w:r>
      <w:r w:rsidR="009F4F9E" w:rsidRPr="006454B5">
        <w:rPr>
          <w:rFonts w:ascii="Arial" w:hAnsi="Arial" w:cs="Arial"/>
          <w:sz w:val="22"/>
        </w:rPr>
        <w:t xml:space="preserve"> so called ‘extra-legal’ </w:t>
      </w:r>
      <w:r w:rsidR="00672264" w:rsidRPr="006454B5">
        <w:rPr>
          <w:rFonts w:ascii="Arial" w:hAnsi="Arial" w:cs="Arial"/>
          <w:sz w:val="22"/>
        </w:rPr>
        <w:t xml:space="preserve">elements </w:t>
      </w:r>
      <w:r w:rsidR="009F4F9E" w:rsidRPr="006454B5">
        <w:rPr>
          <w:rFonts w:ascii="Arial" w:hAnsi="Arial" w:cs="Arial"/>
          <w:sz w:val="22"/>
        </w:rPr>
        <w:t>(e.g., information reflective of rape myths)</w:t>
      </w:r>
      <w:r w:rsidR="00723A27" w:rsidRPr="006454B5">
        <w:rPr>
          <w:rFonts w:ascii="Arial" w:hAnsi="Arial" w:cs="Arial"/>
          <w:sz w:val="22"/>
        </w:rPr>
        <w:t>,</w:t>
      </w:r>
      <w:r w:rsidR="0019275A" w:rsidRPr="006454B5">
        <w:rPr>
          <w:rFonts w:ascii="Arial" w:hAnsi="Arial" w:cs="Arial"/>
          <w:sz w:val="22"/>
        </w:rPr>
        <w:t xml:space="preserve"> have been established</w:t>
      </w:r>
      <w:r w:rsidR="009F4F9E" w:rsidRPr="006454B5">
        <w:rPr>
          <w:rFonts w:ascii="Arial" w:hAnsi="Arial" w:cs="Arial"/>
          <w:sz w:val="22"/>
        </w:rPr>
        <w:t xml:space="preserve">. For example, Lea and colleagues (2003) demonstrated an increased probability of </w:t>
      </w:r>
      <w:r w:rsidR="00DF4B02" w:rsidRPr="006454B5">
        <w:rPr>
          <w:rFonts w:ascii="Arial" w:hAnsi="Arial" w:cs="Arial"/>
          <w:sz w:val="22"/>
        </w:rPr>
        <w:t xml:space="preserve">police </w:t>
      </w:r>
      <w:r w:rsidR="009F4F9E" w:rsidRPr="006454B5">
        <w:rPr>
          <w:rFonts w:ascii="Arial" w:hAnsi="Arial" w:cs="Arial"/>
          <w:sz w:val="22"/>
        </w:rPr>
        <w:t>NFA outcomes when the victim and perpetrator were known to each other</w:t>
      </w:r>
      <w:r w:rsidR="00672264" w:rsidRPr="006454B5">
        <w:rPr>
          <w:rFonts w:ascii="Arial" w:hAnsi="Arial" w:cs="Arial"/>
          <w:sz w:val="22"/>
        </w:rPr>
        <w:t xml:space="preserve">. </w:t>
      </w:r>
      <w:r w:rsidR="00723A27" w:rsidRPr="006454B5">
        <w:rPr>
          <w:rFonts w:ascii="Arial" w:hAnsi="Arial" w:cs="Arial"/>
          <w:sz w:val="22"/>
        </w:rPr>
        <w:t xml:space="preserve">This finding is </w:t>
      </w:r>
      <w:r w:rsidR="00F12ED5" w:rsidRPr="006454B5">
        <w:rPr>
          <w:rFonts w:ascii="Arial" w:hAnsi="Arial" w:cs="Arial"/>
          <w:sz w:val="22"/>
        </w:rPr>
        <w:t>reflective of</w:t>
      </w:r>
      <w:r w:rsidR="00723A27" w:rsidRPr="006454B5">
        <w:rPr>
          <w:rFonts w:ascii="Arial" w:hAnsi="Arial" w:cs="Arial"/>
          <w:sz w:val="22"/>
        </w:rPr>
        <w:t xml:space="preserve"> the well-established myths purporting that ‘real’ rape cases only involve strangers (</w:t>
      </w:r>
      <w:proofErr w:type="spellStart"/>
      <w:r w:rsidR="00723A27" w:rsidRPr="006454B5">
        <w:rPr>
          <w:rFonts w:ascii="Arial" w:hAnsi="Arial" w:cs="Arial"/>
          <w:sz w:val="22"/>
        </w:rPr>
        <w:t>Estrich</w:t>
      </w:r>
      <w:proofErr w:type="spellEnd"/>
      <w:r w:rsidR="00723A27" w:rsidRPr="006454B5">
        <w:rPr>
          <w:rFonts w:ascii="Arial" w:hAnsi="Arial" w:cs="Arial"/>
          <w:sz w:val="22"/>
        </w:rPr>
        <w:t xml:space="preserve">, 1987), and </w:t>
      </w:r>
      <w:r w:rsidR="003D4F22" w:rsidRPr="006454B5">
        <w:rPr>
          <w:rFonts w:ascii="Arial" w:hAnsi="Arial" w:cs="Arial"/>
          <w:sz w:val="22"/>
        </w:rPr>
        <w:t>beliefs relating to</w:t>
      </w:r>
      <w:r w:rsidR="00723A27" w:rsidRPr="006454B5">
        <w:rPr>
          <w:rFonts w:ascii="Arial" w:hAnsi="Arial" w:cs="Arial"/>
          <w:sz w:val="22"/>
        </w:rPr>
        <w:t xml:space="preserve"> inferred consent and miscommunication </w:t>
      </w:r>
      <w:r w:rsidR="00723A27" w:rsidRPr="006454B5">
        <w:rPr>
          <w:rFonts w:ascii="Arial" w:hAnsi="Arial" w:cs="Arial"/>
          <w:sz w:val="22"/>
        </w:rPr>
        <w:lastRenderedPageBreak/>
        <w:t xml:space="preserve">between victims and perpetrators </w:t>
      </w:r>
      <w:r w:rsidR="003D4F22" w:rsidRPr="006454B5">
        <w:rPr>
          <w:rFonts w:ascii="Arial" w:hAnsi="Arial" w:cs="Arial"/>
          <w:sz w:val="22"/>
        </w:rPr>
        <w:t xml:space="preserve">who are </w:t>
      </w:r>
      <w:r w:rsidR="00723A27" w:rsidRPr="006454B5">
        <w:rPr>
          <w:rFonts w:ascii="Arial" w:hAnsi="Arial" w:cs="Arial"/>
          <w:sz w:val="22"/>
        </w:rPr>
        <w:t xml:space="preserve">known to each other </w:t>
      </w:r>
      <w:r w:rsidR="003D4F22" w:rsidRPr="006454B5">
        <w:rPr>
          <w:rFonts w:ascii="Arial" w:hAnsi="Arial" w:cs="Arial"/>
          <w:sz w:val="22"/>
        </w:rPr>
        <w:t xml:space="preserve">(Grubb &amp; Harrower, 2008), that may influence officers </w:t>
      </w:r>
      <w:r w:rsidR="0086787D">
        <w:rPr>
          <w:rFonts w:ascii="Arial" w:hAnsi="Arial" w:cs="Arial"/>
          <w:sz w:val="22"/>
        </w:rPr>
        <w:t>decision-making</w:t>
      </w:r>
      <w:r w:rsidR="003D4F22" w:rsidRPr="006454B5">
        <w:rPr>
          <w:rFonts w:ascii="Arial" w:hAnsi="Arial" w:cs="Arial"/>
          <w:sz w:val="22"/>
        </w:rPr>
        <w:t xml:space="preserve"> (above and beyond the legal challenges in such cases, e.g., presence of confounding DNA evidence). </w:t>
      </w:r>
      <w:r w:rsidR="00672264" w:rsidRPr="006454B5">
        <w:rPr>
          <w:rFonts w:ascii="Arial" w:hAnsi="Arial" w:cs="Arial"/>
          <w:sz w:val="22"/>
        </w:rPr>
        <w:t>Moreover,</w:t>
      </w:r>
      <w:r w:rsidR="009F4F9E" w:rsidRPr="006454B5">
        <w:rPr>
          <w:rFonts w:ascii="Arial" w:hAnsi="Arial" w:cs="Arial"/>
          <w:sz w:val="22"/>
        </w:rPr>
        <w:t xml:space="preserve"> </w:t>
      </w:r>
      <w:r w:rsidR="00672264" w:rsidRPr="006454B5">
        <w:rPr>
          <w:rFonts w:ascii="Arial" w:hAnsi="Arial" w:cs="Arial"/>
          <w:sz w:val="22"/>
        </w:rPr>
        <w:t>d</w:t>
      </w:r>
      <w:r w:rsidR="009F4F9E" w:rsidRPr="006454B5">
        <w:rPr>
          <w:rFonts w:ascii="Arial" w:hAnsi="Arial" w:cs="Arial"/>
          <w:sz w:val="22"/>
        </w:rPr>
        <w:t xml:space="preserve">ecisions of a ‘lack of evidence’ were made by police more frequently in instances of a victim having met with the suspect in a private place, while </w:t>
      </w:r>
      <w:r w:rsidR="007002F3" w:rsidRPr="006454B5">
        <w:rPr>
          <w:rFonts w:ascii="Arial" w:hAnsi="Arial" w:cs="Arial"/>
          <w:sz w:val="22"/>
        </w:rPr>
        <w:t xml:space="preserve">false allegation outcomes tended to be more frequent in cases </w:t>
      </w:r>
      <w:r w:rsidR="009F4F9E" w:rsidRPr="006454B5">
        <w:rPr>
          <w:rFonts w:ascii="Arial" w:hAnsi="Arial" w:cs="Arial"/>
          <w:sz w:val="22"/>
        </w:rPr>
        <w:t>where a victim was wilfully in the suspect’s home (</w:t>
      </w:r>
      <w:r w:rsidR="00357E7E" w:rsidRPr="006454B5">
        <w:rPr>
          <w:rFonts w:ascii="Arial" w:hAnsi="Arial" w:cs="Arial"/>
          <w:sz w:val="22"/>
        </w:rPr>
        <w:t>Lea et al.</w:t>
      </w:r>
      <w:r w:rsidR="009F4F9E" w:rsidRPr="006454B5">
        <w:rPr>
          <w:rFonts w:ascii="Arial" w:hAnsi="Arial" w:cs="Arial"/>
          <w:sz w:val="22"/>
        </w:rPr>
        <w:t xml:space="preserve">, 2003). </w:t>
      </w:r>
      <w:r w:rsidR="00122F11" w:rsidRPr="006454B5">
        <w:rPr>
          <w:rFonts w:ascii="Arial" w:hAnsi="Arial" w:cs="Arial"/>
          <w:sz w:val="22"/>
        </w:rPr>
        <w:t xml:space="preserve">Again, </w:t>
      </w:r>
      <w:r w:rsidR="005F7225" w:rsidRPr="006454B5">
        <w:rPr>
          <w:rFonts w:ascii="Arial" w:hAnsi="Arial" w:cs="Arial"/>
          <w:sz w:val="22"/>
        </w:rPr>
        <w:t xml:space="preserve">the identification of </w:t>
      </w:r>
      <w:r w:rsidR="00122F11" w:rsidRPr="006454B5">
        <w:rPr>
          <w:rFonts w:ascii="Arial" w:hAnsi="Arial" w:cs="Arial"/>
          <w:sz w:val="22"/>
        </w:rPr>
        <w:t xml:space="preserve">such characteristics </w:t>
      </w:r>
      <w:r w:rsidR="005F7225" w:rsidRPr="006454B5">
        <w:rPr>
          <w:rFonts w:ascii="Arial" w:hAnsi="Arial" w:cs="Arial"/>
          <w:sz w:val="22"/>
        </w:rPr>
        <w:t xml:space="preserve">is important due to arguments that they may influence police </w:t>
      </w:r>
      <w:r w:rsidR="0086787D">
        <w:rPr>
          <w:rFonts w:ascii="Arial" w:hAnsi="Arial" w:cs="Arial"/>
          <w:sz w:val="22"/>
        </w:rPr>
        <w:t>decision-making</w:t>
      </w:r>
      <w:r w:rsidR="005F7225" w:rsidRPr="006454B5">
        <w:rPr>
          <w:rFonts w:ascii="Arial" w:hAnsi="Arial" w:cs="Arial"/>
          <w:sz w:val="22"/>
        </w:rPr>
        <w:t xml:space="preserve"> in relation to both </w:t>
      </w:r>
      <w:r w:rsidR="00122F11" w:rsidRPr="006454B5">
        <w:rPr>
          <w:rFonts w:ascii="Arial" w:hAnsi="Arial" w:cs="Arial"/>
          <w:sz w:val="22"/>
        </w:rPr>
        <w:t xml:space="preserve">legal </w:t>
      </w:r>
      <w:r w:rsidR="005F7225" w:rsidRPr="006454B5">
        <w:rPr>
          <w:rFonts w:ascii="Arial" w:hAnsi="Arial" w:cs="Arial"/>
          <w:sz w:val="22"/>
        </w:rPr>
        <w:t>(i.e., no witnesses to the incident) and extra-legal reasons (e.g., responsibility placed on the victim for ‘placing themselves’ in a situation of risk).</w:t>
      </w:r>
    </w:p>
    <w:p w14:paraId="42BAA7EA" w14:textId="66F83572" w:rsidR="009F4F9E" w:rsidRPr="006454B5" w:rsidRDefault="009F4F9E" w:rsidP="008800BC">
      <w:pPr>
        <w:spacing w:before="120" w:after="120"/>
        <w:ind w:firstLine="720"/>
        <w:contextualSpacing/>
        <w:rPr>
          <w:rFonts w:ascii="Arial" w:hAnsi="Arial" w:cs="Arial"/>
          <w:sz w:val="22"/>
        </w:rPr>
      </w:pPr>
      <w:r w:rsidRPr="006454B5">
        <w:rPr>
          <w:rFonts w:ascii="Arial" w:hAnsi="Arial" w:cs="Arial"/>
          <w:sz w:val="22"/>
        </w:rPr>
        <w:t xml:space="preserve">Daly and </w:t>
      </w:r>
      <w:proofErr w:type="spellStart"/>
      <w:r w:rsidRPr="006454B5">
        <w:rPr>
          <w:rFonts w:ascii="Arial" w:hAnsi="Arial" w:cs="Arial"/>
          <w:sz w:val="22"/>
        </w:rPr>
        <w:t>Bouhours</w:t>
      </w:r>
      <w:proofErr w:type="spellEnd"/>
      <w:r w:rsidRPr="006454B5">
        <w:rPr>
          <w:rFonts w:ascii="Arial" w:hAnsi="Arial" w:cs="Arial"/>
          <w:sz w:val="22"/>
        </w:rPr>
        <w:t xml:space="preserve"> </w:t>
      </w:r>
      <w:r w:rsidR="00DF4B02" w:rsidRPr="006454B5">
        <w:rPr>
          <w:rFonts w:ascii="Arial" w:hAnsi="Arial" w:cs="Arial"/>
          <w:sz w:val="22"/>
        </w:rPr>
        <w:t xml:space="preserve">(2010) </w:t>
      </w:r>
      <w:r w:rsidRPr="006454B5">
        <w:rPr>
          <w:rFonts w:ascii="Arial" w:hAnsi="Arial" w:cs="Arial"/>
          <w:sz w:val="22"/>
        </w:rPr>
        <w:t xml:space="preserve">noted similar relationships in their cross-country, cross-sectional review, </w:t>
      </w:r>
      <w:r w:rsidR="005F7225" w:rsidRPr="006454B5">
        <w:rPr>
          <w:rFonts w:ascii="Arial" w:hAnsi="Arial" w:cs="Arial"/>
          <w:sz w:val="22"/>
        </w:rPr>
        <w:t>identifying several characteristics representative of well</w:t>
      </w:r>
      <w:r w:rsidR="00B85635" w:rsidRPr="006454B5">
        <w:rPr>
          <w:rFonts w:ascii="Arial" w:hAnsi="Arial" w:cs="Arial"/>
          <w:sz w:val="22"/>
        </w:rPr>
        <w:t>-</w:t>
      </w:r>
      <w:r w:rsidR="005F7225" w:rsidRPr="006454B5">
        <w:rPr>
          <w:rFonts w:ascii="Arial" w:hAnsi="Arial" w:cs="Arial"/>
          <w:sz w:val="22"/>
        </w:rPr>
        <w:t>evidenced rape myths</w:t>
      </w:r>
      <w:r w:rsidR="00BE6D66" w:rsidRPr="006454B5">
        <w:rPr>
          <w:rFonts w:ascii="Arial" w:hAnsi="Arial" w:cs="Arial"/>
          <w:sz w:val="22"/>
        </w:rPr>
        <w:t xml:space="preserve"> which</w:t>
      </w:r>
      <w:r w:rsidRPr="006454B5">
        <w:rPr>
          <w:rFonts w:ascii="Arial" w:hAnsi="Arial" w:cs="Arial"/>
          <w:sz w:val="22"/>
        </w:rPr>
        <w:t xml:space="preserve"> </w:t>
      </w:r>
      <w:r w:rsidR="00BE6D66" w:rsidRPr="006454B5">
        <w:rPr>
          <w:rFonts w:ascii="Arial" w:hAnsi="Arial" w:cs="Arial"/>
          <w:sz w:val="22"/>
        </w:rPr>
        <w:t xml:space="preserve">increased the likelihood of cases progressing. These included </w:t>
      </w:r>
      <w:r w:rsidR="00C212E2" w:rsidRPr="006454B5">
        <w:rPr>
          <w:rFonts w:ascii="Arial" w:hAnsi="Arial" w:cs="Arial"/>
          <w:sz w:val="22"/>
        </w:rPr>
        <w:t xml:space="preserve">the </w:t>
      </w:r>
      <w:r w:rsidRPr="006454B5">
        <w:rPr>
          <w:rFonts w:ascii="Arial" w:hAnsi="Arial" w:cs="Arial"/>
          <w:sz w:val="22"/>
        </w:rPr>
        <w:t>character and credibility</w:t>
      </w:r>
      <w:r w:rsidR="00527F9D" w:rsidRPr="006454B5">
        <w:rPr>
          <w:rFonts w:ascii="Arial" w:hAnsi="Arial" w:cs="Arial"/>
          <w:sz w:val="22"/>
        </w:rPr>
        <w:t xml:space="preserve"> of the victim</w:t>
      </w:r>
      <w:r w:rsidR="00BE6D66" w:rsidRPr="006454B5">
        <w:rPr>
          <w:rFonts w:ascii="Arial" w:hAnsi="Arial" w:cs="Arial"/>
          <w:sz w:val="22"/>
        </w:rPr>
        <w:t xml:space="preserve"> (Cohn</w:t>
      </w:r>
      <w:r w:rsidR="008800BC" w:rsidRPr="006454B5">
        <w:rPr>
          <w:rFonts w:ascii="Arial" w:hAnsi="Arial" w:cs="Arial"/>
          <w:sz w:val="22"/>
        </w:rPr>
        <w:t xml:space="preserve"> et al.</w:t>
      </w:r>
      <w:r w:rsidR="00BE6D66" w:rsidRPr="006454B5">
        <w:rPr>
          <w:rFonts w:ascii="Arial" w:hAnsi="Arial" w:cs="Arial"/>
          <w:sz w:val="22"/>
        </w:rPr>
        <w:t>, 2009)</w:t>
      </w:r>
      <w:r w:rsidRPr="006454B5">
        <w:rPr>
          <w:rFonts w:ascii="Arial" w:hAnsi="Arial" w:cs="Arial"/>
          <w:sz w:val="22"/>
        </w:rPr>
        <w:t>, promptness of reporting</w:t>
      </w:r>
      <w:r w:rsidR="00B85635" w:rsidRPr="006454B5">
        <w:rPr>
          <w:rFonts w:ascii="Arial" w:hAnsi="Arial" w:cs="Arial"/>
          <w:sz w:val="22"/>
        </w:rPr>
        <w:t xml:space="preserve"> (Ellison &amp; Munro, 2009; Norfolk, 2011)</w:t>
      </w:r>
      <w:r w:rsidRPr="006454B5">
        <w:rPr>
          <w:rFonts w:ascii="Arial" w:hAnsi="Arial" w:cs="Arial"/>
          <w:sz w:val="22"/>
        </w:rPr>
        <w:t>, a suspect who is a stranger</w:t>
      </w:r>
      <w:r w:rsidR="00B85635" w:rsidRPr="006454B5">
        <w:rPr>
          <w:rFonts w:ascii="Arial" w:hAnsi="Arial" w:cs="Arial"/>
          <w:sz w:val="22"/>
        </w:rPr>
        <w:t xml:space="preserve"> (Grubb &amp; Harrower, 2008)</w:t>
      </w:r>
      <w:r w:rsidRPr="006454B5">
        <w:rPr>
          <w:rFonts w:ascii="Arial" w:hAnsi="Arial" w:cs="Arial"/>
          <w:sz w:val="22"/>
        </w:rPr>
        <w:t xml:space="preserve">, </w:t>
      </w:r>
      <w:r w:rsidR="00524C88" w:rsidRPr="006454B5">
        <w:rPr>
          <w:rFonts w:ascii="Arial" w:hAnsi="Arial" w:cs="Arial"/>
          <w:sz w:val="22"/>
        </w:rPr>
        <w:t xml:space="preserve">levels of </w:t>
      </w:r>
      <w:r w:rsidRPr="006454B5">
        <w:rPr>
          <w:rFonts w:ascii="Arial" w:hAnsi="Arial" w:cs="Arial"/>
          <w:sz w:val="22"/>
        </w:rPr>
        <w:t>victim injury and resistance</w:t>
      </w:r>
      <w:r w:rsidR="00BE6D66" w:rsidRPr="006454B5">
        <w:rPr>
          <w:rFonts w:ascii="Arial" w:hAnsi="Arial" w:cs="Arial"/>
          <w:sz w:val="22"/>
        </w:rPr>
        <w:t xml:space="preserve"> (see </w:t>
      </w:r>
      <w:proofErr w:type="spellStart"/>
      <w:r w:rsidR="00BE6D66" w:rsidRPr="006454B5">
        <w:rPr>
          <w:rFonts w:ascii="Arial" w:hAnsi="Arial" w:cs="Arial"/>
          <w:sz w:val="22"/>
        </w:rPr>
        <w:t>Kassing</w:t>
      </w:r>
      <w:proofErr w:type="spellEnd"/>
      <w:r w:rsidR="00BE6D66" w:rsidRPr="006454B5">
        <w:rPr>
          <w:rFonts w:ascii="Arial" w:hAnsi="Arial" w:cs="Arial"/>
          <w:sz w:val="22"/>
        </w:rPr>
        <w:t xml:space="preserve"> &amp; Prieto, 2003)</w:t>
      </w:r>
      <w:r w:rsidRPr="006454B5">
        <w:rPr>
          <w:rFonts w:ascii="Arial" w:hAnsi="Arial" w:cs="Arial"/>
          <w:sz w:val="22"/>
        </w:rPr>
        <w:t xml:space="preserve">, and </w:t>
      </w:r>
      <w:r w:rsidR="00524C88" w:rsidRPr="006454B5">
        <w:rPr>
          <w:rFonts w:ascii="Arial" w:hAnsi="Arial" w:cs="Arial"/>
          <w:sz w:val="22"/>
        </w:rPr>
        <w:t xml:space="preserve">the </w:t>
      </w:r>
      <w:r w:rsidRPr="006454B5">
        <w:rPr>
          <w:rFonts w:ascii="Arial" w:hAnsi="Arial" w:cs="Arial"/>
          <w:sz w:val="22"/>
        </w:rPr>
        <w:t xml:space="preserve">presence of force or weapon </w:t>
      </w:r>
      <w:r w:rsidR="00B85635" w:rsidRPr="006454B5">
        <w:rPr>
          <w:rFonts w:ascii="Arial" w:hAnsi="Arial" w:cs="Arial"/>
          <w:sz w:val="22"/>
        </w:rPr>
        <w:t>(</w:t>
      </w:r>
      <w:proofErr w:type="spellStart"/>
      <w:r w:rsidR="00B85635" w:rsidRPr="006454B5">
        <w:rPr>
          <w:rFonts w:ascii="Arial" w:hAnsi="Arial" w:cs="Arial"/>
          <w:sz w:val="22"/>
        </w:rPr>
        <w:t>Estrich</w:t>
      </w:r>
      <w:proofErr w:type="spellEnd"/>
      <w:r w:rsidR="00B85635" w:rsidRPr="006454B5">
        <w:rPr>
          <w:rFonts w:ascii="Arial" w:hAnsi="Arial" w:cs="Arial"/>
          <w:sz w:val="22"/>
        </w:rPr>
        <w:t>, 1987; Payne</w:t>
      </w:r>
      <w:r w:rsidR="008800BC" w:rsidRPr="006454B5">
        <w:rPr>
          <w:rFonts w:ascii="Arial" w:hAnsi="Arial" w:cs="Arial"/>
          <w:sz w:val="22"/>
        </w:rPr>
        <w:t xml:space="preserve"> et al.</w:t>
      </w:r>
      <w:r w:rsidR="00B85635" w:rsidRPr="006454B5">
        <w:rPr>
          <w:rFonts w:ascii="Arial" w:hAnsi="Arial" w:cs="Arial"/>
          <w:sz w:val="22"/>
        </w:rPr>
        <w:t xml:space="preserve">, 1999). </w:t>
      </w:r>
      <w:r w:rsidRPr="006454B5">
        <w:rPr>
          <w:rFonts w:ascii="Arial" w:hAnsi="Arial" w:cs="Arial"/>
          <w:sz w:val="22"/>
        </w:rPr>
        <w:t xml:space="preserve">They also noted that the strength of the effects for witness credibility and stranger relations decreased across the time period examined, while the strength of third-party witnesses, physical injuries, and weapon presence remained. </w:t>
      </w:r>
      <w:r w:rsidR="00B85635" w:rsidRPr="006454B5">
        <w:rPr>
          <w:rFonts w:ascii="Arial" w:hAnsi="Arial" w:cs="Arial"/>
          <w:sz w:val="22"/>
        </w:rPr>
        <w:t>As such, whilst it should be noted that all of the factors above present ‘legal’ as well as ‘extra-legal</w:t>
      </w:r>
      <w:r w:rsidR="008F1A4A" w:rsidRPr="006454B5">
        <w:rPr>
          <w:rFonts w:ascii="Arial" w:hAnsi="Arial" w:cs="Arial"/>
          <w:sz w:val="22"/>
        </w:rPr>
        <w:t>’</w:t>
      </w:r>
      <w:r w:rsidR="00B85635" w:rsidRPr="006454B5">
        <w:rPr>
          <w:rFonts w:ascii="Arial" w:hAnsi="Arial" w:cs="Arial"/>
          <w:sz w:val="22"/>
        </w:rPr>
        <w:t xml:space="preserve"> challenges, t</w:t>
      </w:r>
      <w:r w:rsidR="00BD4BEF" w:rsidRPr="006454B5">
        <w:rPr>
          <w:rFonts w:ascii="Arial" w:hAnsi="Arial" w:cs="Arial"/>
          <w:sz w:val="22"/>
        </w:rPr>
        <w:t xml:space="preserve">hese findings suggest </w:t>
      </w:r>
      <w:r w:rsidRPr="006454B5">
        <w:rPr>
          <w:rFonts w:ascii="Arial" w:hAnsi="Arial" w:cs="Arial"/>
          <w:sz w:val="22"/>
        </w:rPr>
        <w:t xml:space="preserve">the impact of some </w:t>
      </w:r>
      <w:r w:rsidR="00B85635" w:rsidRPr="006454B5">
        <w:rPr>
          <w:rFonts w:ascii="Arial" w:hAnsi="Arial" w:cs="Arial"/>
          <w:sz w:val="22"/>
        </w:rPr>
        <w:t xml:space="preserve">rape myth-aligned characteristics </w:t>
      </w:r>
      <w:r w:rsidR="00256087" w:rsidRPr="006454B5">
        <w:rPr>
          <w:rFonts w:ascii="Arial" w:hAnsi="Arial" w:cs="Arial"/>
          <w:sz w:val="22"/>
        </w:rPr>
        <w:t>(e.g., stranger relationship) on criminal justice outcomes h</w:t>
      </w:r>
      <w:r w:rsidRPr="006454B5">
        <w:rPr>
          <w:rFonts w:ascii="Arial" w:hAnsi="Arial" w:cs="Arial"/>
          <w:sz w:val="22"/>
        </w:rPr>
        <w:t>a</w:t>
      </w:r>
      <w:r w:rsidR="00256087" w:rsidRPr="006454B5">
        <w:rPr>
          <w:rFonts w:ascii="Arial" w:hAnsi="Arial" w:cs="Arial"/>
          <w:sz w:val="22"/>
        </w:rPr>
        <w:t>s</w:t>
      </w:r>
      <w:r w:rsidRPr="006454B5">
        <w:rPr>
          <w:rFonts w:ascii="Arial" w:hAnsi="Arial" w:cs="Arial"/>
          <w:sz w:val="22"/>
        </w:rPr>
        <w:t xml:space="preserve"> diminished over time</w:t>
      </w:r>
      <w:r w:rsidR="00256087" w:rsidRPr="006454B5">
        <w:rPr>
          <w:rFonts w:ascii="Arial" w:hAnsi="Arial" w:cs="Arial"/>
          <w:sz w:val="22"/>
        </w:rPr>
        <w:t>, w</w:t>
      </w:r>
      <w:r w:rsidRPr="006454B5">
        <w:rPr>
          <w:rFonts w:ascii="Arial" w:hAnsi="Arial" w:cs="Arial"/>
          <w:sz w:val="22"/>
        </w:rPr>
        <w:t>hile</w:t>
      </w:r>
      <w:r w:rsidR="007A3623" w:rsidRPr="006454B5">
        <w:rPr>
          <w:rFonts w:ascii="Arial" w:hAnsi="Arial" w:cs="Arial"/>
          <w:sz w:val="22"/>
        </w:rPr>
        <w:t xml:space="preserve"> the impact of</w:t>
      </w:r>
      <w:r w:rsidRPr="006454B5">
        <w:rPr>
          <w:rFonts w:ascii="Arial" w:hAnsi="Arial" w:cs="Arial"/>
          <w:sz w:val="22"/>
        </w:rPr>
        <w:t xml:space="preserve"> other</w:t>
      </w:r>
      <w:r w:rsidR="00B85635" w:rsidRPr="006454B5">
        <w:rPr>
          <w:rFonts w:ascii="Arial" w:hAnsi="Arial" w:cs="Arial"/>
          <w:sz w:val="22"/>
        </w:rPr>
        <w:t>s</w:t>
      </w:r>
      <w:r w:rsidR="00842DB5" w:rsidRPr="006454B5">
        <w:rPr>
          <w:rFonts w:ascii="Arial" w:hAnsi="Arial" w:cs="Arial"/>
          <w:sz w:val="22"/>
        </w:rPr>
        <w:t xml:space="preserve"> (e.g., </w:t>
      </w:r>
      <w:r w:rsidRPr="006454B5">
        <w:rPr>
          <w:rFonts w:ascii="Arial" w:hAnsi="Arial" w:cs="Arial"/>
          <w:sz w:val="22"/>
        </w:rPr>
        <w:t>presence of physical injuries</w:t>
      </w:r>
      <w:r w:rsidR="00842DB5" w:rsidRPr="006454B5">
        <w:rPr>
          <w:rFonts w:ascii="Arial" w:hAnsi="Arial" w:cs="Arial"/>
          <w:sz w:val="22"/>
        </w:rPr>
        <w:t xml:space="preserve">) </w:t>
      </w:r>
      <w:r w:rsidRPr="006454B5">
        <w:rPr>
          <w:rFonts w:ascii="Arial" w:hAnsi="Arial" w:cs="Arial"/>
          <w:sz w:val="22"/>
        </w:rPr>
        <w:t>ha</w:t>
      </w:r>
      <w:r w:rsidR="00842DB5" w:rsidRPr="006454B5">
        <w:rPr>
          <w:rFonts w:ascii="Arial" w:hAnsi="Arial" w:cs="Arial"/>
          <w:sz w:val="22"/>
        </w:rPr>
        <w:t>s</w:t>
      </w:r>
      <w:r w:rsidRPr="006454B5">
        <w:rPr>
          <w:rFonts w:ascii="Arial" w:hAnsi="Arial" w:cs="Arial"/>
          <w:sz w:val="22"/>
        </w:rPr>
        <w:t xml:space="preserve"> </w:t>
      </w:r>
      <w:r w:rsidR="00842DB5" w:rsidRPr="006454B5">
        <w:rPr>
          <w:rFonts w:ascii="Arial" w:hAnsi="Arial" w:cs="Arial"/>
          <w:sz w:val="22"/>
        </w:rPr>
        <w:t>not</w:t>
      </w:r>
      <w:r w:rsidRPr="006454B5">
        <w:rPr>
          <w:rFonts w:ascii="Arial" w:hAnsi="Arial" w:cs="Arial"/>
          <w:sz w:val="22"/>
        </w:rPr>
        <w:t xml:space="preserve"> (Daly &amp; </w:t>
      </w:r>
      <w:proofErr w:type="spellStart"/>
      <w:r w:rsidRPr="006454B5">
        <w:rPr>
          <w:rFonts w:ascii="Arial" w:hAnsi="Arial" w:cs="Arial"/>
          <w:sz w:val="22"/>
        </w:rPr>
        <w:t>Bouhours</w:t>
      </w:r>
      <w:proofErr w:type="spellEnd"/>
      <w:r w:rsidRPr="006454B5">
        <w:rPr>
          <w:rFonts w:ascii="Arial" w:hAnsi="Arial" w:cs="Arial"/>
          <w:sz w:val="22"/>
        </w:rPr>
        <w:t>, 2010).</w:t>
      </w:r>
      <w:r w:rsidR="00B85635" w:rsidRPr="006454B5">
        <w:rPr>
          <w:rFonts w:ascii="Arial" w:hAnsi="Arial" w:cs="Arial"/>
          <w:sz w:val="22"/>
        </w:rPr>
        <w:t xml:space="preserve"> </w:t>
      </w:r>
    </w:p>
    <w:p w14:paraId="511A63BD" w14:textId="2E93F346" w:rsidR="00204F66" w:rsidRPr="006454B5" w:rsidRDefault="00601CF7" w:rsidP="003539DD">
      <w:pPr>
        <w:spacing w:before="120" w:after="120"/>
        <w:ind w:firstLine="720"/>
        <w:contextualSpacing/>
        <w:rPr>
          <w:rFonts w:ascii="Arial" w:hAnsi="Arial" w:cs="Arial"/>
          <w:sz w:val="22"/>
        </w:rPr>
      </w:pPr>
      <w:r w:rsidRPr="006454B5">
        <w:rPr>
          <w:rFonts w:ascii="Arial" w:hAnsi="Arial" w:cs="Arial"/>
          <w:sz w:val="22"/>
        </w:rPr>
        <w:t>The most recent review of cases reported in 2012 (</w:t>
      </w:r>
      <w:proofErr w:type="spellStart"/>
      <w:r w:rsidRPr="006454B5">
        <w:rPr>
          <w:rFonts w:ascii="Arial" w:hAnsi="Arial" w:cs="Arial"/>
          <w:sz w:val="22"/>
        </w:rPr>
        <w:t>Hohl</w:t>
      </w:r>
      <w:proofErr w:type="spellEnd"/>
      <w:r w:rsidRPr="006454B5">
        <w:rPr>
          <w:rFonts w:ascii="Arial" w:hAnsi="Arial" w:cs="Arial"/>
          <w:sz w:val="22"/>
        </w:rPr>
        <w:t xml:space="preserve"> </w:t>
      </w:r>
      <w:r w:rsidR="009E4421" w:rsidRPr="006454B5">
        <w:rPr>
          <w:rFonts w:ascii="Arial" w:hAnsi="Arial" w:cs="Arial"/>
          <w:sz w:val="22"/>
        </w:rPr>
        <w:t>&amp;</w:t>
      </w:r>
      <w:r w:rsidRPr="006454B5">
        <w:rPr>
          <w:rFonts w:ascii="Arial" w:hAnsi="Arial" w:cs="Arial"/>
          <w:sz w:val="22"/>
        </w:rPr>
        <w:t xml:space="preserve"> </w:t>
      </w:r>
      <w:proofErr w:type="spellStart"/>
      <w:r w:rsidRPr="006454B5">
        <w:rPr>
          <w:rFonts w:ascii="Arial" w:hAnsi="Arial" w:cs="Arial"/>
          <w:sz w:val="22"/>
        </w:rPr>
        <w:t>Stanko</w:t>
      </w:r>
      <w:proofErr w:type="spellEnd"/>
      <w:r w:rsidRPr="006454B5">
        <w:rPr>
          <w:rFonts w:ascii="Arial" w:hAnsi="Arial" w:cs="Arial"/>
          <w:sz w:val="22"/>
        </w:rPr>
        <w:t>, 2015) used a broader coding framework and provided information on a greater variety of characteristics</w:t>
      </w:r>
      <w:r w:rsidR="003539DD" w:rsidRPr="006454B5">
        <w:rPr>
          <w:rFonts w:ascii="Arial" w:hAnsi="Arial" w:cs="Arial"/>
          <w:sz w:val="22"/>
        </w:rPr>
        <w:t xml:space="preserve"> than previous</w:t>
      </w:r>
      <w:r w:rsidRPr="006454B5">
        <w:rPr>
          <w:rFonts w:ascii="Arial" w:hAnsi="Arial" w:cs="Arial"/>
          <w:sz w:val="22"/>
        </w:rPr>
        <w:t xml:space="preserve">, including contextual and procedural elements of cases. </w:t>
      </w:r>
      <w:r w:rsidR="00204F66" w:rsidRPr="006454B5">
        <w:rPr>
          <w:rFonts w:ascii="Arial" w:hAnsi="Arial" w:cs="Arial"/>
          <w:sz w:val="22"/>
        </w:rPr>
        <w:t xml:space="preserve">For example, the authors were able to show that in 21% of cases the officers noted doubt about the case, and </w:t>
      </w:r>
      <w:r w:rsidR="00204F66" w:rsidRPr="006454B5">
        <w:rPr>
          <w:rFonts w:ascii="Arial" w:hAnsi="Arial" w:cs="Arial"/>
          <w:sz w:val="22"/>
        </w:rPr>
        <w:lastRenderedPageBreak/>
        <w:t>in 15% there were capacity/staffing issues</w:t>
      </w:r>
      <w:r w:rsidR="001372F1" w:rsidRPr="006454B5">
        <w:rPr>
          <w:rFonts w:ascii="Arial" w:hAnsi="Arial" w:cs="Arial"/>
          <w:sz w:val="22"/>
        </w:rPr>
        <w:t xml:space="preserve"> (i.e., </w:t>
      </w:r>
      <w:r w:rsidR="0030484D" w:rsidRPr="006454B5">
        <w:rPr>
          <w:rFonts w:ascii="Arial" w:hAnsi="Arial" w:cs="Arial"/>
          <w:sz w:val="22"/>
        </w:rPr>
        <w:t>officers experiencing high workload):</w:t>
      </w:r>
      <w:r w:rsidR="00B85635" w:rsidRPr="006454B5">
        <w:rPr>
          <w:rFonts w:ascii="Arial" w:hAnsi="Arial" w:cs="Arial"/>
          <w:sz w:val="22"/>
        </w:rPr>
        <w:t xml:space="preserve"> findings which speak directly to concerns outlined in previous research regarding the role of police discretion. </w:t>
      </w:r>
      <w:r w:rsidRPr="006454B5">
        <w:rPr>
          <w:rFonts w:ascii="Arial" w:hAnsi="Arial" w:cs="Arial"/>
          <w:sz w:val="22"/>
        </w:rPr>
        <w:t>The</w:t>
      </w:r>
      <w:r w:rsidR="00204F66" w:rsidRPr="006454B5">
        <w:rPr>
          <w:rFonts w:ascii="Arial" w:hAnsi="Arial" w:cs="Arial"/>
          <w:sz w:val="22"/>
        </w:rPr>
        <w:t xml:space="preserve">ir large-scale review also </w:t>
      </w:r>
      <w:r w:rsidRPr="006454B5">
        <w:rPr>
          <w:rFonts w:ascii="Arial" w:hAnsi="Arial" w:cs="Arial"/>
          <w:sz w:val="22"/>
        </w:rPr>
        <w:t>provide</w:t>
      </w:r>
      <w:r w:rsidR="00204F66" w:rsidRPr="006454B5">
        <w:rPr>
          <w:rFonts w:ascii="Arial" w:hAnsi="Arial" w:cs="Arial"/>
          <w:sz w:val="22"/>
        </w:rPr>
        <w:t>s</w:t>
      </w:r>
      <w:r w:rsidRPr="006454B5">
        <w:rPr>
          <w:rFonts w:ascii="Arial" w:hAnsi="Arial" w:cs="Arial"/>
          <w:sz w:val="22"/>
        </w:rPr>
        <w:t xml:space="preserve"> the </w:t>
      </w:r>
      <w:r w:rsidR="009F4F9E" w:rsidRPr="006454B5">
        <w:rPr>
          <w:rFonts w:ascii="Arial" w:hAnsi="Arial" w:cs="Arial"/>
          <w:sz w:val="22"/>
        </w:rPr>
        <w:t>most recent evidence within the UK of links between case characteristics and outcomes</w:t>
      </w:r>
      <w:r w:rsidR="00B15283" w:rsidRPr="006454B5">
        <w:rPr>
          <w:rFonts w:ascii="Arial" w:hAnsi="Arial" w:cs="Arial"/>
          <w:sz w:val="22"/>
        </w:rPr>
        <w:t>, many of which mirror findings from previous research</w:t>
      </w:r>
      <w:r w:rsidR="009F4F9E" w:rsidRPr="006454B5">
        <w:rPr>
          <w:rFonts w:ascii="Arial" w:hAnsi="Arial" w:cs="Arial"/>
          <w:sz w:val="22"/>
        </w:rPr>
        <w:t xml:space="preserve">. For example, when </w:t>
      </w:r>
      <w:r w:rsidR="007A3623" w:rsidRPr="006454B5">
        <w:rPr>
          <w:rFonts w:ascii="Arial" w:hAnsi="Arial" w:cs="Arial"/>
          <w:sz w:val="22"/>
        </w:rPr>
        <w:t>predicting</w:t>
      </w:r>
      <w:r w:rsidR="009F4F9E" w:rsidRPr="006454B5">
        <w:rPr>
          <w:rFonts w:ascii="Arial" w:hAnsi="Arial" w:cs="Arial"/>
          <w:sz w:val="22"/>
        </w:rPr>
        <w:t xml:space="preserve"> victim withdrawal</w:t>
      </w:r>
      <w:r w:rsidR="007A3623" w:rsidRPr="006454B5">
        <w:rPr>
          <w:rFonts w:ascii="Arial" w:hAnsi="Arial" w:cs="Arial"/>
          <w:sz w:val="22"/>
        </w:rPr>
        <w:t xml:space="preserve"> (accounting for </w:t>
      </w:r>
      <w:r w:rsidR="00452DF1" w:rsidRPr="006454B5">
        <w:rPr>
          <w:rFonts w:ascii="Arial" w:hAnsi="Arial" w:cs="Arial"/>
          <w:sz w:val="22"/>
        </w:rPr>
        <w:t>48</w:t>
      </w:r>
      <w:r w:rsidR="007A3623" w:rsidRPr="006454B5">
        <w:rPr>
          <w:rFonts w:ascii="Arial" w:hAnsi="Arial" w:cs="Arial"/>
          <w:sz w:val="22"/>
        </w:rPr>
        <w:t>% of</w:t>
      </w:r>
      <w:r w:rsidR="00537533" w:rsidRPr="006454B5">
        <w:rPr>
          <w:rFonts w:ascii="Arial" w:hAnsi="Arial" w:cs="Arial"/>
          <w:sz w:val="22"/>
        </w:rPr>
        <w:t xml:space="preserve"> all</w:t>
      </w:r>
      <w:r w:rsidR="007A3623" w:rsidRPr="006454B5">
        <w:rPr>
          <w:rFonts w:ascii="Arial" w:hAnsi="Arial" w:cs="Arial"/>
          <w:sz w:val="22"/>
        </w:rPr>
        <w:t xml:space="preserve"> attrition)</w:t>
      </w:r>
      <w:r w:rsidR="009F4F9E" w:rsidRPr="006454B5">
        <w:rPr>
          <w:rFonts w:ascii="Arial" w:hAnsi="Arial" w:cs="Arial"/>
          <w:sz w:val="22"/>
        </w:rPr>
        <w:t xml:space="preserve"> they found </w:t>
      </w:r>
      <w:r w:rsidR="00035F8E" w:rsidRPr="006454B5">
        <w:rPr>
          <w:rFonts w:ascii="Arial" w:hAnsi="Arial" w:cs="Arial"/>
          <w:sz w:val="22"/>
        </w:rPr>
        <w:t xml:space="preserve">a number of factors significantly </w:t>
      </w:r>
      <w:r w:rsidR="00035F8E" w:rsidRPr="006454B5">
        <w:rPr>
          <w:rFonts w:ascii="Arial" w:hAnsi="Arial" w:cs="Arial"/>
          <w:i/>
          <w:iCs/>
          <w:sz w:val="22"/>
        </w:rPr>
        <w:t xml:space="preserve">increased </w:t>
      </w:r>
      <w:r w:rsidR="00035F8E" w:rsidRPr="006454B5">
        <w:rPr>
          <w:rFonts w:ascii="Arial" w:hAnsi="Arial" w:cs="Arial"/>
          <w:sz w:val="22"/>
        </w:rPr>
        <w:t xml:space="preserve">the likelihood of this outcome, including the </w:t>
      </w:r>
      <w:r w:rsidR="002E5FFC" w:rsidRPr="006454B5">
        <w:rPr>
          <w:rFonts w:ascii="Arial" w:hAnsi="Arial" w:cs="Arial"/>
          <w:sz w:val="22"/>
        </w:rPr>
        <w:t>communication/co-operation issues between officers and the victim</w:t>
      </w:r>
      <w:r w:rsidR="0030484D" w:rsidRPr="006454B5">
        <w:rPr>
          <w:rFonts w:ascii="Arial" w:hAnsi="Arial" w:cs="Arial"/>
          <w:sz w:val="22"/>
        </w:rPr>
        <w:t xml:space="preserve"> (i.e., the victim failing to answer an officers calls)</w:t>
      </w:r>
      <w:r w:rsidR="009F4F9E" w:rsidRPr="006454B5">
        <w:rPr>
          <w:rFonts w:ascii="Arial" w:hAnsi="Arial" w:cs="Arial"/>
          <w:sz w:val="22"/>
        </w:rPr>
        <w:t xml:space="preserve">, </w:t>
      </w:r>
      <w:r w:rsidR="00A9513A" w:rsidRPr="006454B5">
        <w:rPr>
          <w:rFonts w:ascii="Arial" w:hAnsi="Arial" w:cs="Arial"/>
          <w:sz w:val="22"/>
        </w:rPr>
        <w:t xml:space="preserve">the suspect being of character and/or history that highlights them as an ‘unrespectable person’ (for example, having a police record), </w:t>
      </w:r>
      <w:r w:rsidR="00035F8E" w:rsidRPr="006454B5">
        <w:rPr>
          <w:rFonts w:ascii="Arial" w:hAnsi="Arial" w:cs="Arial"/>
          <w:sz w:val="22"/>
        </w:rPr>
        <w:t xml:space="preserve">and </w:t>
      </w:r>
      <w:r w:rsidR="00A9513A" w:rsidRPr="006454B5">
        <w:rPr>
          <w:rFonts w:ascii="Arial" w:hAnsi="Arial" w:cs="Arial"/>
          <w:sz w:val="22"/>
        </w:rPr>
        <w:t>the victim currently or previously being in an intimate relationship with the suspect (</w:t>
      </w:r>
      <w:proofErr w:type="spellStart"/>
      <w:r w:rsidR="00A9513A" w:rsidRPr="006454B5">
        <w:rPr>
          <w:rFonts w:ascii="Arial" w:hAnsi="Arial" w:cs="Arial"/>
          <w:sz w:val="22"/>
        </w:rPr>
        <w:t>Hohl</w:t>
      </w:r>
      <w:proofErr w:type="spellEnd"/>
      <w:r w:rsidR="00A9513A" w:rsidRPr="006454B5">
        <w:rPr>
          <w:rFonts w:ascii="Arial" w:hAnsi="Arial" w:cs="Arial"/>
          <w:sz w:val="22"/>
        </w:rPr>
        <w:t xml:space="preserve"> &amp; </w:t>
      </w:r>
      <w:proofErr w:type="spellStart"/>
      <w:r w:rsidR="00A9513A" w:rsidRPr="006454B5">
        <w:rPr>
          <w:rFonts w:ascii="Arial" w:hAnsi="Arial" w:cs="Arial"/>
          <w:sz w:val="22"/>
        </w:rPr>
        <w:t>Stanko</w:t>
      </w:r>
      <w:proofErr w:type="spellEnd"/>
      <w:r w:rsidR="00A9513A" w:rsidRPr="006454B5">
        <w:rPr>
          <w:rFonts w:ascii="Arial" w:hAnsi="Arial" w:cs="Arial"/>
          <w:sz w:val="22"/>
        </w:rPr>
        <w:t>, 2015)</w:t>
      </w:r>
      <w:r w:rsidR="00035F8E" w:rsidRPr="006454B5">
        <w:rPr>
          <w:rFonts w:ascii="Arial" w:hAnsi="Arial" w:cs="Arial"/>
          <w:sz w:val="22"/>
        </w:rPr>
        <w:t xml:space="preserve">. Other factors, such as attendance </w:t>
      </w:r>
      <w:r w:rsidR="00537533" w:rsidRPr="006454B5">
        <w:rPr>
          <w:rFonts w:ascii="Arial" w:hAnsi="Arial" w:cs="Arial"/>
          <w:sz w:val="22"/>
        </w:rPr>
        <w:t>at a</w:t>
      </w:r>
      <w:r w:rsidR="009F4F9E" w:rsidRPr="006454B5">
        <w:rPr>
          <w:rFonts w:ascii="Arial" w:hAnsi="Arial" w:cs="Arial"/>
          <w:sz w:val="22"/>
        </w:rPr>
        <w:t xml:space="preserve"> Sexual Assault Referral Centres (SARCs</w:t>
      </w:r>
      <w:r w:rsidR="00BE0AF1" w:rsidRPr="006454B5">
        <w:rPr>
          <w:rFonts w:ascii="Arial" w:hAnsi="Arial" w:cs="Arial"/>
          <w:sz w:val="22"/>
        </w:rPr>
        <w:t xml:space="preserve"> - specialist medical and forensic services providing space for interviews, forensic examination, and sexual health counselling; referred to as Haven centres in the London area</w:t>
      </w:r>
      <w:r w:rsidR="009F4F9E" w:rsidRPr="006454B5">
        <w:rPr>
          <w:rFonts w:ascii="Arial" w:hAnsi="Arial" w:cs="Arial"/>
          <w:sz w:val="22"/>
        </w:rPr>
        <w:t>)</w:t>
      </w:r>
      <w:r w:rsidR="00035F8E" w:rsidRPr="006454B5">
        <w:rPr>
          <w:rFonts w:ascii="Arial" w:hAnsi="Arial" w:cs="Arial"/>
          <w:sz w:val="22"/>
        </w:rPr>
        <w:t xml:space="preserve"> and the </w:t>
      </w:r>
      <w:r w:rsidR="009F4F9E" w:rsidRPr="006454B5">
        <w:rPr>
          <w:rFonts w:ascii="Arial" w:hAnsi="Arial" w:cs="Arial"/>
          <w:sz w:val="22"/>
        </w:rPr>
        <w:t xml:space="preserve">identification of a suspect, </w:t>
      </w:r>
      <w:r w:rsidR="00035F8E" w:rsidRPr="006454B5">
        <w:rPr>
          <w:rFonts w:ascii="Arial" w:hAnsi="Arial" w:cs="Arial"/>
          <w:sz w:val="22"/>
        </w:rPr>
        <w:t xml:space="preserve">significantly </w:t>
      </w:r>
      <w:r w:rsidR="00035F8E" w:rsidRPr="006454B5">
        <w:rPr>
          <w:rFonts w:ascii="Arial" w:hAnsi="Arial" w:cs="Arial"/>
          <w:i/>
          <w:iCs/>
          <w:sz w:val="22"/>
        </w:rPr>
        <w:t xml:space="preserve">decreased </w:t>
      </w:r>
      <w:r w:rsidR="00035F8E" w:rsidRPr="006454B5">
        <w:rPr>
          <w:rFonts w:ascii="Arial" w:hAnsi="Arial" w:cs="Arial"/>
          <w:sz w:val="22"/>
        </w:rPr>
        <w:t>victim withdrawal</w:t>
      </w:r>
      <w:r w:rsidR="00B85635" w:rsidRPr="006454B5">
        <w:rPr>
          <w:rFonts w:ascii="Arial" w:hAnsi="Arial" w:cs="Arial"/>
          <w:sz w:val="22"/>
        </w:rPr>
        <w:t xml:space="preserve">, most likely </w:t>
      </w:r>
      <w:r w:rsidR="003539DD" w:rsidRPr="006454B5">
        <w:rPr>
          <w:rFonts w:ascii="Arial" w:hAnsi="Arial" w:cs="Arial"/>
          <w:sz w:val="22"/>
        </w:rPr>
        <w:t>associated with</w:t>
      </w:r>
      <w:r w:rsidR="00B85635" w:rsidRPr="006454B5">
        <w:rPr>
          <w:rFonts w:ascii="Arial" w:hAnsi="Arial" w:cs="Arial"/>
          <w:sz w:val="22"/>
        </w:rPr>
        <w:t xml:space="preserve"> the increased likelihood of forensic opportunities. </w:t>
      </w:r>
    </w:p>
    <w:p w14:paraId="0DC88451" w14:textId="09D5996A" w:rsidR="009F4F9E" w:rsidRPr="006454B5" w:rsidRDefault="00996A20" w:rsidP="00974414">
      <w:pPr>
        <w:spacing w:before="120" w:after="120"/>
        <w:ind w:firstLine="720"/>
        <w:contextualSpacing/>
        <w:rPr>
          <w:rFonts w:ascii="Arial" w:hAnsi="Arial" w:cs="Arial"/>
          <w:sz w:val="22"/>
        </w:rPr>
      </w:pPr>
      <w:r w:rsidRPr="006454B5">
        <w:rPr>
          <w:rFonts w:ascii="Arial" w:hAnsi="Arial" w:cs="Arial"/>
          <w:sz w:val="22"/>
        </w:rPr>
        <w:t>Several</w:t>
      </w:r>
      <w:r w:rsidR="00725038" w:rsidRPr="006454B5">
        <w:rPr>
          <w:rFonts w:ascii="Arial" w:hAnsi="Arial" w:cs="Arial"/>
          <w:sz w:val="22"/>
        </w:rPr>
        <w:t xml:space="preserve"> case </w:t>
      </w:r>
      <w:r w:rsidR="009F4F9E" w:rsidRPr="006454B5">
        <w:rPr>
          <w:rFonts w:ascii="Arial" w:hAnsi="Arial" w:cs="Arial"/>
          <w:sz w:val="22"/>
        </w:rPr>
        <w:t xml:space="preserve">factors significantly </w:t>
      </w:r>
      <w:r w:rsidR="009F4F9E" w:rsidRPr="006454B5">
        <w:rPr>
          <w:rFonts w:ascii="Arial" w:hAnsi="Arial" w:cs="Arial"/>
          <w:i/>
          <w:iCs/>
          <w:sz w:val="22"/>
        </w:rPr>
        <w:t>increased</w:t>
      </w:r>
      <w:r w:rsidR="009F4F9E" w:rsidRPr="006454B5">
        <w:rPr>
          <w:rFonts w:ascii="Arial" w:hAnsi="Arial" w:cs="Arial"/>
          <w:sz w:val="22"/>
        </w:rPr>
        <w:t xml:space="preserve"> the likelihood of </w:t>
      </w:r>
      <w:r w:rsidR="00BD2CA1" w:rsidRPr="006454B5">
        <w:rPr>
          <w:rFonts w:ascii="Arial" w:hAnsi="Arial" w:cs="Arial"/>
          <w:sz w:val="22"/>
        </w:rPr>
        <w:t xml:space="preserve">a </w:t>
      </w:r>
      <w:r w:rsidR="009F4F9E" w:rsidRPr="006454B5">
        <w:rPr>
          <w:rFonts w:ascii="Arial" w:hAnsi="Arial" w:cs="Arial"/>
          <w:sz w:val="22"/>
        </w:rPr>
        <w:t>‘no-crime’</w:t>
      </w:r>
      <w:r w:rsidR="00BD2CA1" w:rsidRPr="006454B5">
        <w:rPr>
          <w:rFonts w:ascii="Arial" w:hAnsi="Arial" w:cs="Arial"/>
          <w:sz w:val="22"/>
        </w:rPr>
        <w:t xml:space="preserve"> outcome</w:t>
      </w:r>
      <w:r w:rsidR="00725038" w:rsidRPr="006454B5">
        <w:rPr>
          <w:rFonts w:ascii="Arial" w:hAnsi="Arial" w:cs="Arial"/>
          <w:sz w:val="22"/>
        </w:rPr>
        <w:t>,</w:t>
      </w:r>
      <w:r w:rsidR="009F4F9E" w:rsidRPr="006454B5">
        <w:rPr>
          <w:rFonts w:ascii="Arial" w:hAnsi="Arial" w:cs="Arial"/>
          <w:sz w:val="22"/>
        </w:rPr>
        <w:t xml:space="preserve"> includ</w:t>
      </w:r>
      <w:r w:rsidR="00725038" w:rsidRPr="006454B5">
        <w:rPr>
          <w:rFonts w:ascii="Arial" w:hAnsi="Arial" w:cs="Arial"/>
          <w:sz w:val="22"/>
        </w:rPr>
        <w:t>ing</w:t>
      </w:r>
      <w:r w:rsidR="008D549C" w:rsidRPr="006454B5">
        <w:rPr>
          <w:rFonts w:ascii="Arial" w:hAnsi="Arial" w:cs="Arial"/>
          <w:sz w:val="22"/>
        </w:rPr>
        <w:t>:</w:t>
      </w:r>
      <w:r w:rsidR="009F4F9E" w:rsidRPr="006454B5">
        <w:rPr>
          <w:rFonts w:ascii="Arial" w:hAnsi="Arial" w:cs="Arial"/>
          <w:sz w:val="22"/>
        </w:rPr>
        <w:t xml:space="preserve"> a victim previously reporting a rape that was coded as a false allegation</w:t>
      </w:r>
      <w:r w:rsidR="00795014" w:rsidRPr="006454B5">
        <w:rPr>
          <w:rStyle w:val="FootnoteReference"/>
          <w:rFonts w:ascii="Arial" w:hAnsi="Arial" w:cs="Arial"/>
        </w:rPr>
        <w:footnoteReference w:id="1"/>
      </w:r>
      <w:r w:rsidR="008D549C" w:rsidRPr="006454B5">
        <w:rPr>
          <w:rFonts w:ascii="Arial" w:hAnsi="Arial" w:cs="Arial"/>
          <w:sz w:val="22"/>
        </w:rPr>
        <w:t>;</w:t>
      </w:r>
      <w:r w:rsidR="009F4F9E" w:rsidRPr="006454B5">
        <w:rPr>
          <w:rFonts w:ascii="Arial" w:hAnsi="Arial" w:cs="Arial"/>
          <w:sz w:val="22"/>
        </w:rPr>
        <w:t xml:space="preserve"> police noting the evidence casts doubt</w:t>
      </w:r>
      <w:r w:rsidR="00EF7469" w:rsidRPr="006454B5">
        <w:rPr>
          <w:rFonts w:ascii="Arial" w:hAnsi="Arial" w:cs="Arial"/>
          <w:sz w:val="22"/>
        </w:rPr>
        <w:t xml:space="preserve"> on the case;</w:t>
      </w:r>
      <w:r w:rsidR="009F4F9E" w:rsidRPr="006454B5">
        <w:rPr>
          <w:rFonts w:ascii="Arial" w:hAnsi="Arial" w:cs="Arial"/>
          <w:sz w:val="22"/>
        </w:rPr>
        <w:t xml:space="preserve"> </w:t>
      </w:r>
      <w:r w:rsidR="00EF7469" w:rsidRPr="006454B5">
        <w:rPr>
          <w:rFonts w:ascii="Arial" w:hAnsi="Arial" w:cs="Arial"/>
          <w:sz w:val="22"/>
        </w:rPr>
        <w:t xml:space="preserve">a </w:t>
      </w:r>
      <w:r w:rsidR="009F4F9E" w:rsidRPr="006454B5">
        <w:rPr>
          <w:rFonts w:ascii="Arial" w:hAnsi="Arial" w:cs="Arial"/>
          <w:sz w:val="22"/>
        </w:rPr>
        <w:t xml:space="preserve">victim providing testimony which </w:t>
      </w:r>
      <w:r w:rsidR="00836765" w:rsidRPr="006454B5">
        <w:rPr>
          <w:rFonts w:ascii="Arial" w:hAnsi="Arial" w:cs="Arial"/>
          <w:sz w:val="22"/>
        </w:rPr>
        <w:t>was</w:t>
      </w:r>
      <w:r w:rsidR="009F4F9E" w:rsidRPr="006454B5">
        <w:rPr>
          <w:rFonts w:ascii="Arial" w:hAnsi="Arial" w:cs="Arial"/>
          <w:sz w:val="22"/>
        </w:rPr>
        <w:t xml:space="preserve"> perceived as untruthful or inconsistent</w:t>
      </w:r>
      <w:r w:rsidR="00EF7469" w:rsidRPr="006454B5">
        <w:rPr>
          <w:rFonts w:ascii="Arial" w:hAnsi="Arial" w:cs="Arial"/>
          <w:sz w:val="22"/>
        </w:rPr>
        <w:t>; a victim</w:t>
      </w:r>
      <w:r w:rsidRPr="006454B5">
        <w:rPr>
          <w:rFonts w:ascii="Arial" w:hAnsi="Arial" w:cs="Arial"/>
          <w:sz w:val="22"/>
        </w:rPr>
        <w:t xml:space="preserve"> </w:t>
      </w:r>
      <w:r w:rsidR="009F4F9E" w:rsidRPr="006454B5">
        <w:rPr>
          <w:rFonts w:ascii="Arial" w:hAnsi="Arial" w:cs="Arial"/>
          <w:sz w:val="22"/>
        </w:rPr>
        <w:t>demonstrat</w:t>
      </w:r>
      <w:r w:rsidRPr="006454B5">
        <w:rPr>
          <w:rFonts w:ascii="Arial" w:hAnsi="Arial" w:cs="Arial"/>
          <w:sz w:val="22"/>
        </w:rPr>
        <w:t>ing</w:t>
      </w:r>
      <w:r w:rsidR="009F4F9E" w:rsidRPr="006454B5">
        <w:rPr>
          <w:rFonts w:ascii="Arial" w:hAnsi="Arial" w:cs="Arial"/>
          <w:sz w:val="22"/>
        </w:rPr>
        <w:t xml:space="preserve"> a lac</w:t>
      </w:r>
      <w:r w:rsidR="00EF7469" w:rsidRPr="006454B5">
        <w:rPr>
          <w:rFonts w:ascii="Arial" w:hAnsi="Arial" w:cs="Arial"/>
          <w:sz w:val="22"/>
        </w:rPr>
        <w:t>k of</w:t>
      </w:r>
      <w:r w:rsidR="009F4F9E" w:rsidRPr="006454B5">
        <w:rPr>
          <w:rFonts w:ascii="Arial" w:hAnsi="Arial" w:cs="Arial"/>
          <w:sz w:val="22"/>
        </w:rPr>
        <w:t xml:space="preserve"> understanding of consent</w:t>
      </w:r>
      <w:r w:rsidR="00FF55CC" w:rsidRPr="006454B5">
        <w:rPr>
          <w:rFonts w:ascii="Arial" w:hAnsi="Arial" w:cs="Arial"/>
          <w:sz w:val="22"/>
        </w:rPr>
        <w:t>; a</w:t>
      </w:r>
      <w:r w:rsidRPr="006454B5">
        <w:rPr>
          <w:rFonts w:ascii="Arial" w:hAnsi="Arial" w:cs="Arial"/>
          <w:sz w:val="22"/>
        </w:rPr>
        <w:t>n</w:t>
      </w:r>
      <w:r w:rsidR="00FF55CC" w:rsidRPr="006454B5">
        <w:rPr>
          <w:rFonts w:ascii="Arial" w:hAnsi="Arial" w:cs="Arial"/>
          <w:sz w:val="22"/>
        </w:rPr>
        <w:t>d a victim</w:t>
      </w:r>
      <w:r w:rsidRPr="006454B5">
        <w:rPr>
          <w:rFonts w:ascii="Arial" w:hAnsi="Arial" w:cs="Arial"/>
          <w:sz w:val="22"/>
        </w:rPr>
        <w:t xml:space="preserve"> having</w:t>
      </w:r>
      <w:r w:rsidR="009F4F9E" w:rsidRPr="006454B5">
        <w:rPr>
          <w:rFonts w:ascii="Arial" w:hAnsi="Arial" w:cs="Arial"/>
          <w:sz w:val="22"/>
        </w:rPr>
        <w:t xml:space="preserve"> mental health issues and learning difficulties (</w:t>
      </w:r>
      <w:proofErr w:type="spellStart"/>
      <w:r w:rsidR="009F4F9E" w:rsidRPr="006454B5">
        <w:rPr>
          <w:rFonts w:ascii="Arial" w:hAnsi="Arial" w:cs="Arial"/>
          <w:sz w:val="22"/>
        </w:rPr>
        <w:t>Hohl</w:t>
      </w:r>
      <w:proofErr w:type="spellEnd"/>
      <w:r w:rsidR="009F4F9E" w:rsidRPr="006454B5">
        <w:rPr>
          <w:rFonts w:ascii="Arial" w:hAnsi="Arial" w:cs="Arial"/>
          <w:sz w:val="22"/>
        </w:rPr>
        <w:t xml:space="preserve"> &amp; </w:t>
      </w:r>
      <w:proofErr w:type="spellStart"/>
      <w:r w:rsidR="009F4F9E" w:rsidRPr="006454B5">
        <w:rPr>
          <w:rFonts w:ascii="Arial" w:hAnsi="Arial" w:cs="Arial"/>
          <w:sz w:val="22"/>
        </w:rPr>
        <w:t>Stanko</w:t>
      </w:r>
      <w:proofErr w:type="spellEnd"/>
      <w:r w:rsidR="009F4F9E" w:rsidRPr="006454B5">
        <w:rPr>
          <w:rFonts w:ascii="Arial" w:hAnsi="Arial" w:cs="Arial"/>
          <w:sz w:val="22"/>
        </w:rPr>
        <w:t xml:space="preserve">, 2015). Furthermore, NFA decisions were </w:t>
      </w:r>
      <w:r w:rsidR="007642B7" w:rsidRPr="006454B5">
        <w:rPr>
          <w:rFonts w:ascii="Arial" w:hAnsi="Arial" w:cs="Arial"/>
          <w:sz w:val="22"/>
        </w:rPr>
        <w:t>more likely when</w:t>
      </w:r>
      <w:r w:rsidR="009F4F9E" w:rsidRPr="006454B5">
        <w:rPr>
          <w:rFonts w:ascii="Arial" w:hAnsi="Arial" w:cs="Arial"/>
          <w:sz w:val="22"/>
        </w:rPr>
        <w:t xml:space="preserve"> characteristics that undermined </w:t>
      </w:r>
      <w:r w:rsidRPr="006454B5">
        <w:rPr>
          <w:rFonts w:ascii="Arial" w:hAnsi="Arial" w:cs="Arial"/>
          <w:sz w:val="22"/>
        </w:rPr>
        <w:t xml:space="preserve">victim </w:t>
      </w:r>
      <w:r w:rsidR="009F4F9E" w:rsidRPr="006454B5">
        <w:rPr>
          <w:rFonts w:ascii="Arial" w:hAnsi="Arial" w:cs="Arial"/>
          <w:sz w:val="22"/>
        </w:rPr>
        <w:t>credibility</w:t>
      </w:r>
      <w:r w:rsidR="007642B7" w:rsidRPr="006454B5">
        <w:rPr>
          <w:rFonts w:ascii="Arial" w:hAnsi="Arial" w:cs="Arial"/>
          <w:sz w:val="22"/>
        </w:rPr>
        <w:t xml:space="preserve"> were present</w:t>
      </w:r>
      <w:r w:rsidR="00F44756" w:rsidRPr="006454B5">
        <w:rPr>
          <w:rFonts w:ascii="Arial" w:hAnsi="Arial" w:cs="Arial"/>
          <w:sz w:val="22"/>
        </w:rPr>
        <w:t>; f</w:t>
      </w:r>
      <w:r w:rsidR="009F4F9E" w:rsidRPr="006454B5">
        <w:rPr>
          <w:rFonts w:ascii="Arial" w:hAnsi="Arial" w:cs="Arial"/>
          <w:sz w:val="22"/>
        </w:rPr>
        <w:t>or example, independent evidence undermining</w:t>
      </w:r>
      <w:r w:rsidR="00974414">
        <w:rPr>
          <w:rFonts w:ascii="Arial" w:hAnsi="Arial" w:cs="Arial"/>
          <w:sz w:val="22"/>
        </w:rPr>
        <w:t xml:space="preserve"> the victim’s account, perceived inconsistencies in </w:t>
      </w:r>
      <w:r w:rsidR="009F4F9E" w:rsidRPr="006454B5">
        <w:rPr>
          <w:rFonts w:ascii="Arial" w:hAnsi="Arial" w:cs="Arial"/>
          <w:sz w:val="22"/>
        </w:rPr>
        <w:t>the victim’s account</w:t>
      </w:r>
      <w:r w:rsidRPr="006454B5">
        <w:rPr>
          <w:rFonts w:ascii="Arial" w:hAnsi="Arial" w:cs="Arial"/>
          <w:sz w:val="22"/>
        </w:rPr>
        <w:t>,</w:t>
      </w:r>
      <w:r w:rsidR="009F4F9E" w:rsidRPr="006454B5">
        <w:rPr>
          <w:rFonts w:ascii="Arial" w:hAnsi="Arial" w:cs="Arial"/>
          <w:sz w:val="22"/>
        </w:rPr>
        <w:t xml:space="preserve"> </w:t>
      </w:r>
      <w:r w:rsidR="00F44756" w:rsidRPr="006454B5">
        <w:rPr>
          <w:rFonts w:ascii="Arial" w:hAnsi="Arial" w:cs="Arial"/>
          <w:sz w:val="22"/>
        </w:rPr>
        <w:t>lack</w:t>
      </w:r>
      <w:r w:rsidR="009F4F9E" w:rsidRPr="006454B5">
        <w:rPr>
          <w:rFonts w:ascii="Arial" w:hAnsi="Arial" w:cs="Arial"/>
          <w:sz w:val="22"/>
        </w:rPr>
        <w:t xml:space="preserve"> of physical resistance, </w:t>
      </w:r>
      <w:r w:rsidR="00F44756" w:rsidRPr="006454B5">
        <w:rPr>
          <w:rFonts w:ascii="Arial" w:hAnsi="Arial" w:cs="Arial"/>
          <w:sz w:val="22"/>
        </w:rPr>
        <w:t xml:space="preserve">a </w:t>
      </w:r>
      <w:r w:rsidR="009F4F9E" w:rsidRPr="006454B5">
        <w:rPr>
          <w:rFonts w:ascii="Arial" w:hAnsi="Arial" w:cs="Arial"/>
          <w:sz w:val="22"/>
        </w:rPr>
        <w:t>previous</w:t>
      </w:r>
      <w:r w:rsidR="00F44756" w:rsidRPr="006454B5">
        <w:rPr>
          <w:rFonts w:ascii="Arial" w:hAnsi="Arial" w:cs="Arial"/>
          <w:sz w:val="22"/>
        </w:rPr>
        <w:t xml:space="preserve"> false</w:t>
      </w:r>
      <w:r w:rsidR="009F4F9E" w:rsidRPr="006454B5">
        <w:rPr>
          <w:rFonts w:ascii="Arial" w:hAnsi="Arial" w:cs="Arial"/>
          <w:sz w:val="22"/>
        </w:rPr>
        <w:t xml:space="preserve"> allegation </w:t>
      </w:r>
      <w:r w:rsidR="00F44756" w:rsidRPr="006454B5">
        <w:rPr>
          <w:rFonts w:ascii="Arial" w:hAnsi="Arial" w:cs="Arial"/>
          <w:sz w:val="22"/>
        </w:rPr>
        <w:t>made by the victim</w:t>
      </w:r>
      <w:r w:rsidR="009F4F9E" w:rsidRPr="006454B5">
        <w:rPr>
          <w:rFonts w:ascii="Arial" w:hAnsi="Arial" w:cs="Arial"/>
          <w:sz w:val="22"/>
        </w:rPr>
        <w:t xml:space="preserve">, </w:t>
      </w:r>
      <w:r w:rsidR="00F44756" w:rsidRPr="006454B5">
        <w:rPr>
          <w:rFonts w:ascii="Arial" w:hAnsi="Arial" w:cs="Arial"/>
          <w:sz w:val="22"/>
        </w:rPr>
        <w:t xml:space="preserve">a </w:t>
      </w:r>
      <w:r w:rsidR="009F4F9E" w:rsidRPr="006454B5">
        <w:rPr>
          <w:rFonts w:ascii="Arial" w:hAnsi="Arial" w:cs="Arial"/>
          <w:sz w:val="22"/>
        </w:rPr>
        <w:t xml:space="preserve">history of consensual sex between </w:t>
      </w:r>
      <w:r w:rsidR="00F44756" w:rsidRPr="006454B5">
        <w:rPr>
          <w:rFonts w:ascii="Arial" w:hAnsi="Arial" w:cs="Arial"/>
          <w:sz w:val="22"/>
        </w:rPr>
        <w:t xml:space="preserve">the </w:t>
      </w:r>
      <w:r w:rsidR="009F4F9E" w:rsidRPr="006454B5">
        <w:rPr>
          <w:rFonts w:ascii="Arial" w:hAnsi="Arial" w:cs="Arial"/>
          <w:sz w:val="22"/>
        </w:rPr>
        <w:t xml:space="preserve">victim and suspect, </w:t>
      </w:r>
      <w:r w:rsidR="00F44756" w:rsidRPr="006454B5">
        <w:rPr>
          <w:rFonts w:ascii="Arial" w:hAnsi="Arial" w:cs="Arial"/>
          <w:sz w:val="22"/>
        </w:rPr>
        <w:t xml:space="preserve">victim </w:t>
      </w:r>
      <w:r w:rsidR="009F4F9E" w:rsidRPr="006454B5">
        <w:rPr>
          <w:rFonts w:ascii="Arial" w:hAnsi="Arial" w:cs="Arial"/>
          <w:sz w:val="22"/>
        </w:rPr>
        <w:t>mental health issues,</w:t>
      </w:r>
      <w:r w:rsidR="00F44756" w:rsidRPr="006454B5">
        <w:rPr>
          <w:rFonts w:ascii="Arial" w:hAnsi="Arial" w:cs="Arial"/>
          <w:sz w:val="22"/>
        </w:rPr>
        <w:t xml:space="preserve"> and</w:t>
      </w:r>
      <w:r w:rsidR="009F4F9E" w:rsidRPr="006454B5">
        <w:rPr>
          <w:rFonts w:ascii="Arial" w:hAnsi="Arial" w:cs="Arial"/>
          <w:sz w:val="22"/>
        </w:rPr>
        <w:t xml:space="preserve"> voluntary consumption of alcohol by victim</w:t>
      </w:r>
      <w:r w:rsidR="00F44756" w:rsidRPr="006454B5">
        <w:rPr>
          <w:rFonts w:ascii="Arial" w:hAnsi="Arial" w:cs="Arial"/>
          <w:sz w:val="22"/>
        </w:rPr>
        <w:t xml:space="preserve"> </w:t>
      </w:r>
      <w:r w:rsidR="009F4F9E" w:rsidRPr="006454B5">
        <w:rPr>
          <w:rFonts w:ascii="Arial" w:hAnsi="Arial" w:cs="Arial"/>
          <w:sz w:val="22"/>
        </w:rPr>
        <w:t>all served to increase NFA risk</w:t>
      </w:r>
      <w:r w:rsidR="00492808" w:rsidRPr="006454B5">
        <w:rPr>
          <w:rFonts w:ascii="Arial" w:hAnsi="Arial" w:cs="Arial"/>
          <w:sz w:val="22"/>
        </w:rPr>
        <w:t xml:space="preserve"> </w:t>
      </w:r>
      <w:r w:rsidR="009F4F9E" w:rsidRPr="006454B5">
        <w:rPr>
          <w:rFonts w:ascii="Arial" w:hAnsi="Arial" w:cs="Arial"/>
          <w:sz w:val="22"/>
        </w:rPr>
        <w:t>(</w:t>
      </w:r>
      <w:proofErr w:type="spellStart"/>
      <w:r w:rsidR="009F4F9E" w:rsidRPr="006454B5">
        <w:rPr>
          <w:rFonts w:ascii="Arial" w:hAnsi="Arial" w:cs="Arial"/>
          <w:sz w:val="22"/>
        </w:rPr>
        <w:t>Hohl</w:t>
      </w:r>
      <w:proofErr w:type="spellEnd"/>
      <w:r w:rsidR="009F4F9E" w:rsidRPr="006454B5">
        <w:rPr>
          <w:rFonts w:ascii="Arial" w:hAnsi="Arial" w:cs="Arial"/>
          <w:sz w:val="22"/>
        </w:rPr>
        <w:t xml:space="preserve"> &amp; </w:t>
      </w:r>
      <w:proofErr w:type="spellStart"/>
      <w:r w:rsidR="009F4F9E" w:rsidRPr="006454B5">
        <w:rPr>
          <w:rFonts w:ascii="Arial" w:hAnsi="Arial" w:cs="Arial"/>
          <w:sz w:val="22"/>
        </w:rPr>
        <w:t>Stanko</w:t>
      </w:r>
      <w:proofErr w:type="spellEnd"/>
      <w:r w:rsidR="009F4F9E" w:rsidRPr="006454B5">
        <w:rPr>
          <w:rFonts w:ascii="Arial" w:hAnsi="Arial" w:cs="Arial"/>
          <w:sz w:val="22"/>
        </w:rPr>
        <w:t xml:space="preserve">, 2015). </w:t>
      </w:r>
      <w:r w:rsidR="0019275A" w:rsidRPr="006454B5">
        <w:rPr>
          <w:rFonts w:ascii="Arial" w:hAnsi="Arial" w:cs="Arial"/>
          <w:sz w:val="22"/>
        </w:rPr>
        <w:t>S</w:t>
      </w:r>
      <w:r w:rsidR="00672264" w:rsidRPr="006454B5">
        <w:rPr>
          <w:rFonts w:ascii="Arial" w:hAnsi="Arial" w:cs="Arial"/>
          <w:sz w:val="22"/>
        </w:rPr>
        <w:t xml:space="preserve">uch results </w:t>
      </w:r>
      <w:r w:rsidR="0019275A" w:rsidRPr="006454B5">
        <w:rPr>
          <w:rFonts w:ascii="Arial" w:hAnsi="Arial" w:cs="Arial"/>
          <w:sz w:val="22"/>
        </w:rPr>
        <w:t xml:space="preserve">provide further support for </w:t>
      </w:r>
      <w:r w:rsidR="0019275A" w:rsidRPr="006454B5">
        <w:rPr>
          <w:rFonts w:ascii="Arial" w:hAnsi="Arial" w:cs="Arial"/>
          <w:sz w:val="22"/>
        </w:rPr>
        <w:lastRenderedPageBreak/>
        <w:t>the</w:t>
      </w:r>
      <w:r w:rsidR="00672264" w:rsidRPr="006454B5">
        <w:rPr>
          <w:rFonts w:ascii="Arial" w:hAnsi="Arial" w:cs="Arial"/>
          <w:sz w:val="22"/>
        </w:rPr>
        <w:t xml:space="preserve"> potential impact of </w:t>
      </w:r>
      <w:r w:rsidR="00B15283" w:rsidRPr="006454B5">
        <w:rPr>
          <w:rFonts w:ascii="Arial" w:hAnsi="Arial" w:cs="Arial"/>
          <w:sz w:val="22"/>
        </w:rPr>
        <w:t xml:space="preserve">characteristics which present both legal and ‘extra-legal’ challenges </w:t>
      </w:r>
      <w:r w:rsidR="00672264" w:rsidRPr="006454B5">
        <w:rPr>
          <w:rFonts w:ascii="Arial" w:hAnsi="Arial" w:cs="Arial"/>
          <w:sz w:val="22"/>
        </w:rPr>
        <w:t>on case progression.</w:t>
      </w:r>
    </w:p>
    <w:p w14:paraId="2DDB16CC" w14:textId="075683BA" w:rsidR="00F00D17" w:rsidRPr="006454B5" w:rsidRDefault="00CC61E9" w:rsidP="000C7544">
      <w:pPr>
        <w:spacing w:before="120" w:after="120"/>
        <w:contextualSpacing/>
        <w:rPr>
          <w:rFonts w:ascii="Arial" w:hAnsi="Arial" w:cs="Arial"/>
          <w:b/>
          <w:bCs/>
          <w:sz w:val="22"/>
        </w:rPr>
      </w:pPr>
      <w:r w:rsidRPr="006454B5">
        <w:rPr>
          <w:rFonts w:ascii="Arial" w:hAnsi="Arial" w:cs="Arial"/>
          <w:b/>
          <w:bCs/>
          <w:sz w:val="22"/>
        </w:rPr>
        <w:t>Recent Developments in Policy and Practice</w:t>
      </w:r>
    </w:p>
    <w:p w14:paraId="21E4C0D6" w14:textId="61BA1A19" w:rsidR="00547FA2" w:rsidRPr="006454B5" w:rsidRDefault="009F4F9E" w:rsidP="000C7544">
      <w:pPr>
        <w:spacing w:before="120" w:after="120"/>
        <w:ind w:firstLine="720"/>
        <w:contextualSpacing/>
        <w:rPr>
          <w:rFonts w:ascii="Arial" w:hAnsi="Arial" w:cs="Arial"/>
          <w:sz w:val="22"/>
        </w:rPr>
      </w:pPr>
      <w:r w:rsidRPr="006454B5">
        <w:rPr>
          <w:rFonts w:ascii="Arial" w:hAnsi="Arial" w:cs="Arial"/>
          <w:sz w:val="22"/>
        </w:rPr>
        <w:t xml:space="preserve">Taken together, the studies outlined above provide critical insight into the nature, context, and progression of rape cases. However, </w:t>
      </w:r>
      <w:r w:rsidR="00492808" w:rsidRPr="006454B5">
        <w:rPr>
          <w:rFonts w:ascii="Arial" w:hAnsi="Arial" w:cs="Arial"/>
          <w:sz w:val="22"/>
        </w:rPr>
        <w:t>since 2012</w:t>
      </w:r>
      <w:r w:rsidR="00B15283" w:rsidRPr="006454B5">
        <w:rPr>
          <w:rFonts w:ascii="Arial" w:hAnsi="Arial" w:cs="Arial"/>
          <w:sz w:val="22"/>
        </w:rPr>
        <w:t xml:space="preserve"> (the reporting year of data utilised by </w:t>
      </w:r>
      <w:proofErr w:type="spellStart"/>
      <w:r w:rsidR="00B15283" w:rsidRPr="006454B5">
        <w:rPr>
          <w:rFonts w:ascii="Arial" w:hAnsi="Arial" w:cs="Arial"/>
          <w:sz w:val="22"/>
        </w:rPr>
        <w:t>Hohl</w:t>
      </w:r>
      <w:proofErr w:type="spellEnd"/>
      <w:r w:rsidR="00B15283" w:rsidRPr="006454B5">
        <w:rPr>
          <w:rFonts w:ascii="Arial" w:hAnsi="Arial" w:cs="Arial"/>
          <w:sz w:val="22"/>
        </w:rPr>
        <w:t xml:space="preserve"> &amp; </w:t>
      </w:r>
      <w:proofErr w:type="spellStart"/>
      <w:r w:rsidR="00B15283" w:rsidRPr="006454B5">
        <w:rPr>
          <w:rFonts w:ascii="Arial" w:hAnsi="Arial" w:cs="Arial"/>
          <w:sz w:val="22"/>
        </w:rPr>
        <w:t>Stanko</w:t>
      </w:r>
      <w:proofErr w:type="spellEnd"/>
      <w:r w:rsidR="00B15283" w:rsidRPr="006454B5">
        <w:rPr>
          <w:rFonts w:ascii="Arial" w:hAnsi="Arial" w:cs="Arial"/>
          <w:sz w:val="22"/>
        </w:rPr>
        <w:t>)</w:t>
      </w:r>
      <w:r w:rsidR="00492808" w:rsidRPr="006454B5">
        <w:rPr>
          <w:rFonts w:ascii="Arial" w:hAnsi="Arial" w:cs="Arial"/>
          <w:sz w:val="22"/>
        </w:rPr>
        <w:t xml:space="preserve">, there have been several key developments in </w:t>
      </w:r>
      <w:r w:rsidR="00E21653" w:rsidRPr="006454B5">
        <w:rPr>
          <w:rFonts w:ascii="Arial" w:hAnsi="Arial" w:cs="Arial"/>
          <w:sz w:val="22"/>
        </w:rPr>
        <w:t xml:space="preserve">UK </w:t>
      </w:r>
      <w:r w:rsidR="00492808" w:rsidRPr="006454B5">
        <w:rPr>
          <w:rFonts w:ascii="Arial" w:hAnsi="Arial" w:cs="Arial"/>
          <w:sz w:val="22"/>
        </w:rPr>
        <w:t>policing policy and practice, as well as substantial changes in</w:t>
      </w:r>
      <w:r w:rsidR="00547FA2" w:rsidRPr="006454B5">
        <w:rPr>
          <w:rFonts w:ascii="Arial" w:hAnsi="Arial" w:cs="Arial"/>
          <w:sz w:val="22"/>
        </w:rPr>
        <w:t xml:space="preserve"> societal</w:t>
      </w:r>
      <w:r w:rsidR="00492808" w:rsidRPr="006454B5">
        <w:rPr>
          <w:rFonts w:ascii="Arial" w:hAnsi="Arial" w:cs="Arial"/>
          <w:sz w:val="22"/>
        </w:rPr>
        <w:t xml:space="preserve"> awareness and understanding of sexual violence, which mean</w:t>
      </w:r>
      <w:r w:rsidRPr="006454B5">
        <w:rPr>
          <w:rFonts w:ascii="Arial" w:hAnsi="Arial" w:cs="Arial"/>
          <w:sz w:val="22"/>
        </w:rPr>
        <w:t xml:space="preserve"> the data are in need of considerable update. </w:t>
      </w:r>
      <w:r w:rsidR="00692FF7" w:rsidRPr="006454B5">
        <w:rPr>
          <w:rFonts w:ascii="Arial" w:hAnsi="Arial" w:cs="Arial"/>
          <w:spacing w:val="-1"/>
          <w:sz w:val="22"/>
        </w:rPr>
        <w:t>First</w:t>
      </w:r>
      <w:r w:rsidRPr="006454B5">
        <w:rPr>
          <w:rFonts w:ascii="Arial" w:hAnsi="Arial" w:cs="Arial"/>
          <w:sz w:val="22"/>
        </w:rPr>
        <w:t>, in practic</w:t>
      </w:r>
      <w:r w:rsidR="006F6B1A" w:rsidRPr="006454B5">
        <w:rPr>
          <w:rFonts w:ascii="Arial" w:hAnsi="Arial" w:cs="Arial"/>
          <w:sz w:val="22"/>
        </w:rPr>
        <w:t>al</w:t>
      </w:r>
      <w:r w:rsidRPr="006454B5">
        <w:rPr>
          <w:rFonts w:ascii="Arial" w:hAnsi="Arial" w:cs="Arial"/>
          <w:sz w:val="22"/>
        </w:rPr>
        <w:t xml:space="preserve"> terms, substantial revisions to Metropolitan Police Service (MPS) policy regarding the suitability and attribution of ‘no-crime’ outcomes were implemented in </w:t>
      </w:r>
      <w:r w:rsidR="00457979" w:rsidRPr="006454B5">
        <w:rPr>
          <w:rFonts w:ascii="Arial" w:hAnsi="Arial" w:cs="Arial"/>
          <w:spacing w:val="-1"/>
          <w:sz w:val="22"/>
        </w:rPr>
        <w:t>2014</w:t>
      </w:r>
      <w:r w:rsidRPr="006454B5">
        <w:rPr>
          <w:rFonts w:ascii="Arial" w:hAnsi="Arial" w:cs="Arial"/>
          <w:sz w:val="22"/>
        </w:rPr>
        <w:t>, in an attempt to remove elements of officer discretion in the decision-making process</w:t>
      </w:r>
      <w:r w:rsidR="009E46F3" w:rsidRPr="006454B5">
        <w:rPr>
          <w:rFonts w:ascii="Arial" w:hAnsi="Arial" w:cs="Arial"/>
          <w:sz w:val="22"/>
        </w:rPr>
        <w:t xml:space="preserve"> and provide more specific structure to cases in which a crime cannot be confirmed</w:t>
      </w:r>
      <w:r w:rsidRPr="006454B5">
        <w:rPr>
          <w:rFonts w:ascii="Arial" w:hAnsi="Arial" w:cs="Arial"/>
          <w:sz w:val="22"/>
        </w:rPr>
        <w:t xml:space="preserve">. </w:t>
      </w:r>
      <w:r w:rsidR="006F6B1A" w:rsidRPr="006454B5">
        <w:rPr>
          <w:rFonts w:ascii="Arial" w:hAnsi="Arial" w:cs="Arial"/>
          <w:sz w:val="22"/>
        </w:rPr>
        <w:t>New classifications were introduced—</w:t>
      </w:r>
      <w:r w:rsidR="00F00D17" w:rsidRPr="006454B5">
        <w:rPr>
          <w:rFonts w:ascii="Arial" w:hAnsi="Arial" w:cs="Arial"/>
          <w:sz w:val="22"/>
        </w:rPr>
        <w:t>specifically,</w:t>
      </w:r>
      <w:r w:rsidR="006F6B1A" w:rsidRPr="006454B5">
        <w:rPr>
          <w:rFonts w:ascii="Arial" w:hAnsi="Arial" w:cs="Arial"/>
          <w:sz w:val="22"/>
        </w:rPr>
        <w:t xml:space="preserve"> ‘Rape Not Confirmed’</w:t>
      </w:r>
      <w:r w:rsidR="00927610" w:rsidRPr="006454B5">
        <w:rPr>
          <w:rFonts w:ascii="Arial" w:hAnsi="Arial" w:cs="Arial"/>
          <w:sz w:val="22"/>
        </w:rPr>
        <w:t xml:space="preserve">, referring to cases where the victim or third party cannot be identified and therefore the rape cannot be </w:t>
      </w:r>
      <w:r w:rsidR="00F12ED5" w:rsidRPr="006454B5">
        <w:rPr>
          <w:rFonts w:ascii="Arial" w:hAnsi="Arial" w:cs="Arial"/>
          <w:sz w:val="22"/>
        </w:rPr>
        <w:t xml:space="preserve">verified </w:t>
      </w:r>
      <w:r w:rsidR="006F6B1A" w:rsidRPr="006454B5">
        <w:rPr>
          <w:rFonts w:ascii="Arial" w:hAnsi="Arial" w:cs="Arial"/>
          <w:sz w:val="22"/>
        </w:rPr>
        <w:t>and ‘Rape-Contradictory Evidence’</w:t>
      </w:r>
      <w:r w:rsidR="00927610" w:rsidRPr="006454B5">
        <w:rPr>
          <w:rFonts w:ascii="Arial" w:hAnsi="Arial" w:cs="Arial"/>
          <w:sz w:val="22"/>
        </w:rPr>
        <w:t xml:space="preserve"> where credible evidence contradicting the rape claim exists</w:t>
      </w:r>
      <w:r w:rsidR="006F6B1A" w:rsidRPr="006454B5">
        <w:rPr>
          <w:rFonts w:ascii="Arial" w:hAnsi="Arial" w:cs="Arial"/>
          <w:sz w:val="22"/>
        </w:rPr>
        <w:t>—</w:t>
      </w:r>
      <w:r w:rsidR="00F00D17" w:rsidRPr="006454B5">
        <w:rPr>
          <w:rFonts w:ascii="Arial" w:hAnsi="Arial" w:cs="Arial"/>
          <w:sz w:val="22"/>
        </w:rPr>
        <w:t>which were to be used in place of the old ‘no-crime’ outcome</w:t>
      </w:r>
      <w:r w:rsidR="008306EB" w:rsidRPr="006454B5">
        <w:rPr>
          <w:rFonts w:ascii="Arial" w:hAnsi="Arial" w:cs="Arial"/>
          <w:sz w:val="22"/>
        </w:rPr>
        <w:t xml:space="preserve"> (Home Office, 2020)</w:t>
      </w:r>
      <w:r w:rsidR="006F6B1A" w:rsidRPr="006454B5">
        <w:rPr>
          <w:rFonts w:ascii="Arial" w:hAnsi="Arial" w:cs="Arial"/>
          <w:sz w:val="22"/>
        </w:rPr>
        <w:t xml:space="preserve">. </w:t>
      </w:r>
      <w:r w:rsidRPr="006454B5">
        <w:rPr>
          <w:rFonts w:ascii="Arial" w:hAnsi="Arial" w:cs="Arial"/>
          <w:sz w:val="22"/>
        </w:rPr>
        <w:t>However, at present, it is unknown how th</w:t>
      </w:r>
      <w:r w:rsidR="006F6B1A" w:rsidRPr="006454B5">
        <w:rPr>
          <w:rFonts w:ascii="Arial" w:hAnsi="Arial" w:cs="Arial"/>
          <w:sz w:val="22"/>
        </w:rPr>
        <w:t>ese</w:t>
      </w:r>
      <w:r w:rsidRPr="006454B5">
        <w:rPr>
          <w:rFonts w:ascii="Arial" w:hAnsi="Arial" w:cs="Arial"/>
          <w:sz w:val="22"/>
        </w:rPr>
        <w:t xml:space="preserve"> change</w:t>
      </w:r>
      <w:r w:rsidR="006F6B1A" w:rsidRPr="006454B5">
        <w:rPr>
          <w:rFonts w:ascii="Arial" w:hAnsi="Arial" w:cs="Arial"/>
          <w:sz w:val="22"/>
        </w:rPr>
        <w:t xml:space="preserve">s </w:t>
      </w:r>
      <w:r w:rsidRPr="006454B5">
        <w:rPr>
          <w:rFonts w:ascii="Arial" w:hAnsi="Arial" w:cs="Arial"/>
          <w:sz w:val="22"/>
        </w:rPr>
        <w:t>ha</w:t>
      </w:r>
      <w:r w:rsidR="006F6B1A" w:rsidRPr="006454B5">
        <w:rPr>
          <w:rFonts w:ascii="Arial" w:hAnsi="Arial" w:cs="Arial"/>
          <w:sz w:val="22"/>
        </w:rPr>
        <w:t>ve</w:t>
      </w:r>
      <w:r w:rsidRPr="006454B5">
        <w:rPr>
          <w:rFonts w:ascii="Arial" w:hAnsi="Arial" w:cs="Arial"/>
          <w:sz w:val="22"/>
        </w:rPr>
        <w:t xml:space="preserve"> impacted on the probability and frequency of </w:t>
      </w:r>
      <w:r w:rsidR="00547FA2" w:rsidRPr="006454B5">
        <w:rPr>
          <w:rFonts w:ascii="Arial" w:hAnsi="Arial" w:cs="Arial"/>
          <w:sz w:val="22"/>
        </w:rPr>
        <w:t xml:space="preserve">different </w:t>
      </w:r>
      <w:r w:rsidR="00F00D17" w:rsidRPr="006454B5">
        <w:rPr>
          <w:rFonts w:ascii="Arial" w:hAnsi="Arial" w:cs="Arial"/>
          <w:sz w:val="22"/>
        </w:rPr>
        <w:t xml:space="preserve">CJS </w:t>
      </w:r>
      <w:r w:rsidRPr="006454B5">
        <w:rPr>
          <w:rFonts w:ascii="Arial" w:hAnsi="Arial" w:cs="Arial"/>
          <w:sz w:val="22"/>
        </w:rPr>
        <w:t xml:space="preserve">outcomes. Such investigation is </w:t>
      </w:r>
      <w:r w:rsidR="00547FA2" w:rsidRPr="006454B5">
        <w:rPr>
          <w:rFonts w:ascii="Arial" w:hAnsi="Arial" w:cs="Arial"/>
          <w:sz w:val="22"/>
        </w:rPr>
        <w:t xml:space="preserve">particularly </w:t>
      </w:r>
      <w:r w:rsidRPr="006454B5">
        <w:rPr>
          <w:rFonts w:ascii="Arial" w:hAnsi="Arial" w:cs="Arial"/>
          <w:sz w:val="22"/>
        </w:rPr>
        <w:t>important</w:t>
      </w:r>
      <w:r w:rsidR="00547FA2" w:rsidRPr="006454B5">
        <w:rPr>
          <w:rFonts w:ascii="Arial" w:hAnsi="Arial" w:cs="Arial"/>
          <w:sz w:val="22"/>
        </w:rPr>
        <w:t xml:space="preserve"> given </w:t>
      </w:r>
      <w:r w:rsidR="0030484D" w:rsidRPr="006454B5">
        <w:rPr>
          <w:rFonts w:ascii="Arial" w:hAnsi="Arial" w:cs="Arial"/>
          <w:sz w:val="22"/>
        </w:rPr>
        <w:t>that, despite the removal of a potentially overused and discretionary case outcome, referral</w:t>
      </w:r>
      <w:r w:rsidR="00547FA2" w:rsidRPr="006454B5">
        <w:rPr>
          <w:rFonts w:ascii="Arial" w:hAnsi="Arial" w:cs="Arial"/>
          <w:sz w:val="22"/>
        </w:rPr>
        <w:t xml:space="preserve"> rates</w:t>
      </w:r>
      <w:r w:rsidR="0030484D" w:rsidRPr="006454B5">
        <w:rPr>
          <w:rFonts w:ascii="Arial" w:hAnsi="Arial" w:cs="Arial"/>
          <w:sz w:val="22"/>
        </w:rPr>
        <w:t xml:space="preserve"> to the CPS</w:t>
      </w:r>
      <w:r w:rsidRPr="006454B5">
        <w:rPr>
          <w:rFonts w:ascii="Arial" w:hAnsi="Arial" w:cs="Arial"/>
          <w:sz w:val="22"/>
        </w:rPr>
        <w:t xml:space="preserve"> </w:t>
      </w:r>
      <w:r w:rsidR="0030484D" w:rsidRPr="006454B5">
        <w:rPr>
          <w:rFonts w:ascii="Arial" w:hAnsi="Arial" w:cs="Arial"/>
          <w:sz w:val="22"/>
        </w:rPr>
        <w:t xml:space="preserve">have steadily fallen between 2014-15 and 2019-20 </w:t>
      </w:r>
      <w:r w:rsidRPr="006454B5">
        <w:rPr>
          <w:rFonts w:ascii="Arial" w:hAnsi="Arial" w:cs="Arial"/>
          <w:sz w:val="22"/>
        </w:rPr>
        <w:t>(Home Office, 2019)</w:t>
      </w:r>
      <w:r w:rsidR="00547FA2" w:rsidRPr="006454B5">
        <w:rPr>
          <w:rFonts w:ascii="Arial" w:hAnsi="Arial" w:cs="Arial"/>
          <w:sz w:val="22"/>
        </w:rPr>
        <w:t>.</w:t>
      </w:r>
    </w:p>
    <w:p w14:paraId="49DB0AC8" w14:textId="7A3F3616" w:rsidR="00455B99" w:rsidRPr="006454B5" w:rsidRDefault="009F4F9E" w:rsidP="008800BC">
      <w:pPr>
        <w:spacing w:before="120" w:after="120"/>
        <w:ind w:firstLine="720"/>
        <w:contextualSpacing/>
        <w:rPr>
          <w:rFonts w:ascii="Arial" w:hAnsi="Arial" w:cs="Arial"/>
          <w:sz w:val="22"/>
        </w:rPr>
      </w:pPr>
      <w:r w:rsidRPr="006454B5">
        <w:rPr>
          <w:rFonts w:ascii="Arial" w:hAnsi="Arial" w:cs="Arial"/>
          <w:sz w:val="22"/>
        </w:rPr>
        <w:t>Second, the impact of several wider policy revisions made in response to highly publicised operations on high-profile cases</w:t>
      </w:r>
      <w:r w:rsidR="00BE0AF1" w:rsidRPr="006454B5">
        <w:rPr>
          <w:rFonts w:ascii="Arial" w:hAnsi="Arial" w:cs="Arial"/>
          <w:sz w:val="22"/>
        </w:rPr>
        <w:t xml:space="preserve"> is also unknown, for example, Operation </w:t>
      </w:r>
      <w:proofErr w:type="spellStart"/>
      <w:r w:rsidR="00BE0AF1" w:rsidRPr="006454B5">
        <w:rPr>
          <w:rFonts w:ascii="Arial" w:hAnsi="Arial" w:cs="Arial"/>
          <w:sz w:val="22"/>
        </w:rPr>
        <w:t>Yewtree</w:t>
      </w:r>
      <w:proofErr w:type="spellEnd"/>
      <w:r w:rsidR="00BE0AF1" w:rsidRPr="006454B5">
        <w:rPr>
          <w:rFonts w:ascii="Arial" w:hAnsi="Arial" w:cs="Arial"/>
          <w:sz w:val="22"/>
        </w:rPr>
        <w:t xml:space="preserve"> – the Police investigation into sexual abuse allegations, predominately the abuse of children, against the British media personality Jimmy Savile and others. Moreover, </w:t>
      </w:r>
      <w:r w:rsidRPr="006454B5">
        <w:rPr>
          <w:rFonts w:ascii="Arial" w:hAnsi="Arial" w:cs="Arial"/>
          <w:sz w:val="22"/>
        </w:rPr>
        <w:t xml:space="preserve">recommendations made in the Dame </w:t>
      </w:r>
      <w:proofErr w:type="spellStart"/>
      <w:r w:rsidRPr="006454B5">
        <w:rPr>
          <w:rFonts w:ascii="Arial" w:hAnsi="Arial" w:cs="Arial"/>
          <w:sz w:val="22"/>
        </w:rPr>
        <w:t>Eilish</w:t>
      </w:r>
      <w:proofErr w:type="spellEnd"/>
      <w:r w:rsidRPr="006454B5">
        <w:rPr>
          <w:rFonts w:ascii="Arial" w:hAnsi="Arial" w:cs="Arial"/>
          <w:sz w:val="22"/>
        </w:rPr>
        <w:t xml:space="preserve"> </w:t>
      </w:r>
      <w:proofErr w:type="spellStart"/>
      <w:r w:rsidRPr="006454B5">
        <w:rPr>
          <w:rFonts w:ascii="Arial" w:hAnsi="Arial" w:cs="Arial"/>
          <w:sz w:val="22"/>
        </w:rPr>
        <w:t>Angiolini</w:t>
      </w:r>
      <w:proofErr w:type="spellEnd"/>
      <w:r w:rsidRPr="006454B5">
        <w:rPr>
          <w:rFonts w:ascii="Arial" w:hAnsi="Arial" w:cs="Arial"/>
          <w:sz w:val="22"/>
        </w:rPr>
        <w:t xml:space="preserve"> Independent Review into the Investigation and Prosecution of Rape in London (</w:t>
      </w:r>
      <w:proofErr w:type="spellStart"/>
      <w:r w:rsidRPr="006454B5">
        <w:rPr>
          <w:rFonts w:ascii="Arial" w:hAnsi="Arial" w:cs="Arial"/>
          <w:sz w:val="22"/>
        </w:rPr>
        <w:t>Angiolini</w:t>
      </w:r>
      <w:proofErr w:type="spellEnd"/>
      <w:r w:rsidRPr="006454B5">
        <w:rPr>
          <w:rFonts w:ascii="Arial" w:hAnsi="Arial" w:cs="Arial"/>
          <w:sz w:val="22"/>
        </w:rPr>
        <w:t>, 2015)</w:t>
      </w:r>
      <w:r w:rsidR="00BE0AF1" w:rsidRPr="006454B5">
        <w:rPr>
          <w:rFonts w:ascii="Arial" w:hAnsi="Arial" w:cs="Arial"/>
          <w:sz w:val="22"/>
        </w:rPr>
        <w:t xml:space="preserve"> are also yet to be formally assessed</w:t>
      </w:r>
      <w:r w:rsidRPr="006454B5">
        <w:rPr>
          <w:rFonts w:ascii="Arial" w:hAnsi="Arial" w:cs="Arial"/>
          <w:sz w:val="22"/>
        </w:rPr>
        <w:t xml:space="preserve">. </w:t>
      </w:r>
      <w:r w:rsidR="00643937" w:rsidRPr="006454B5">
        <w:rPr>
          <w:rFonts w:ascii="Arial" w:hAnsi="Arial" w:cs="Arial"/>
          <w:sz w:val="22"/>
        </w:rPr>
        <w:t xml:space="preserve">These </w:t>
      </w:r>
      <w:r w:rsidR="00F00D17" w:rsidRPr="006454B5">
        <w:rPr>
          <w:rFonts w:ascii="Arial" w:hAnsi="Arial" w:cs="Arial"/>
          <w:sz w:val="22"/>
        </w:rPr>
        <w:t xml:space="preserve">revisions </w:t>
      </w:r>
      <w:r w:rsidR="00643937" w:rsidRPr="006454B5">
        <w:rPr>
          <w:rFonts w:ascii="Arial" w:hAnsi="Arial" w:cs="Arial"/>
          <w:sz w:val="22"/>
        </w:rPr>
        <w:t>include</w:t>
      </w:r>
      <w:r w:rsidR="00F00D17" w:rsidRPr="006454B5">
        <w:rPr>
          <w:rFonts w:ascii="Arial" w:hAnsi="Arial" w:cs="Arial"/>
          <w:sz w:val="22"/>
        </w:rPr>
        <w:t>d</w:t>
      </w:r>
      <w:r w:rsidR="00643937" w:rsidRPr="006454B5">
        <w:rPr>
          <w:rFonts w:ascii="Arial" w:hAnsi="Arial" w:cs="Arial"/>
          <w:sz w:val="22"/>
        </w:rPr>
        <w:t xml:space="preserve"> the implementation of widespread training reform within MPS for both first-responding and specialist officers, which specifically served to highlight and mitigate the </w:t>
      </w:r>
      <w:r w:rsidR="00643937" w:rsidRPr="006454B5">
        <w:rPr>
          <w:rFonts w:ascii="Arial" w:hAnsi="Arial" w:cs="Arial"/>
          <w:sz w:val="22"/>
        </w:rPr>
        <w:lastRenderedPageBreak/>
        <w:t>impact of rape myths</w:t>
      </w:r>
      <w:r w:rsidR="006B761A" w:rsidRPr="006454B5">
        <w:rPr>
          <w:rFonts w:ascii="Arial" w:hAnsi="Arial" w:cs="Arial"/>
          <w:sz w:val="22"/>
        </w:rPr>
        <w:t xml:space="preserve"> and attitudes</w:t>
      </w:r>
      <w:r w:rsidR="00F64D39" w:rsidRPr="006454B5">
        <w:rPr>
          <w:rFonts w:ascii="Arial" w:hAnsi="Arial" w:cs="Arial"/>
          <w:sz w:val="22"/>
        </w:rPr>
        <w:t>, alongside the development of various committees (e.g., the Multi-Agency Rape Investigation Improvement Group) and actions on resourcing</w:t>
      </w:r>
      <w:r w:rsidR="006B761A" w:rsidRPr="006454B5">
        <w:rPr>
          <w:rFonts w:ascii="Arial" w:hAnsi="Arial" w:cs="Arial"/>
          <w:sz w:val="22"/>
        </w:rPr>
        <w:t xml:space="preserve"> </w:t>
      </w:r>
      <w:r w:rsidR="00643937" w:rsidRPr="006454B5">
        <w:rPr>
          <w:rFonts w:ascii="Arial" w:hAnsi="Arial" w:cs="Arial"/>
          <w:sz w:val="22"/>
        </w:rPr>
        <w:t xml:space="preserve">(for more information see </w:t>
      </w:r>
      <w:proofErr w:type="spellStart"/>
      <w:r w:rsidR="00643937" w:rsidRPr="006454B5">
        <w:rPr>
          <w:rFonts w:ascii="Arial" w:hAnsi="Arial" w:cs="Arial"/>
          <w:sz w:val="22"/>
        </w:rPr>
        <w:t>Angiolini</w:t>
      </w:r>
      <w:proofErr w:type="spellEnd"/>
      <w:r w:rsidR="00643937" w:rsidRPr="006454B5">
        <w:rPr>
          <w:rFonts w:ascii="Arial" w:hAnsi="Arial" w:cs="Arial"/>
          <w:sz w:val="22"/>
        </w:rPr>
        <w:t>, 2015).</w:t>
      </w:r>
      <w:r w:rsidRPr="006454B5">
        <w:rPr>
          <w:rFonts w:ascii="Arial" w:hAnsi="Arial" w:cs="Arial"/>
          <w:sz w:val="22"/>
        </w:rPr>
        <w:t xml:space="preserve"> </w:t>
      </w:r>
      <w:r w:rsidR="003539DD" w:rsidRPr="006454B5">
        <w:rPr>
          <w:rFonts w:ascii="Arial" w:hAnsi="Arial" w:cs="Arial"/>
          <w:sz w:val="22"/>
        </w:rPr>
        <w:t>Additionally</w:t>
      </w:r>
      <w:r w:rsidRPr="006454B5">
        <w:rPr>
          <w:rFonts w:ascii="Arial" w:hAnsi="Arial" w:cs="Arial"/>
          <w:sz w:val="22"/>
        </w:rPr>
        <w:t xml:space="preserve">, </w:t>
      </w:r>
      <w:r w:rsidR="00535420" w:rsidRPr="006454B5">
        <w:rPr>
          <w:rFonts w:ascii="Arial" w:hAnsi="Arial" w:cs="Arial"/>
          <w:spacing w:val="-1"/>
          <w:sz w:val="22"/>
        </w:rPr>
        <w:t xml:space="preserve">since </w:t>
      </w:r>
      <w:r w:rsidR="00F00D17" w:rsidRPr="006454B5">
        <w:rPr>
          <w:rFonts w:ascii="Arial" w:hAnsi="Arial" w:cs="Arial"/>
          <w:spacing w:val="-1"/>
          <w:sz w:val="22"/>
        </w:rPr>
        <w:t xml:space="preserve">the last review in </w:t>
      </w:r>
      <w:r w:rsidR="00535420" w:rsidRPr="006454B5">
        <w:rPr>
          <w:rFonts w:ascii="Arial" w:hAnsi="Arial" w:cs="Arial"/>
          <w:spacing w:val="-1"/>
          <w:sz w:val="22"/>
        </w:rPr>
        <w:t>2012</w:t>
      </w:r>
      <w:r w:rsidR="00F00D17" w:rsidRPr="006454B5">
        <w:rPr>
          <w:rFonts w:ascii="Arial" w:hAnsi="Arial" w:cs="Arial"/>
          <w:spacing w:val="-1"/>
          <w:sz w:val="22"/>
        </w:rPr>
        <w:t xml:space="preserve"> (</w:t>
      </w:r>
      <w:proofErr w:type="spellStart"/>
      <w:r w:rsidR="00F00D17" w:rsidRPr="006454B5">
        <w:rPr>
          <w:rFonts w:ascii="Arial" w:hAnsi="Arial" w:cs="Arial"/>
          <w:spacing w:val="-1"/>
          <w:sz w:val="22"/>
        </w:rPr>
        <w:t>Hohl</w:t>
      </w:r>
      <w:proofErr w:type="spellEnd"/>
      <w:r w:rsidR="00F00D17" w:rsidRPr="006454B5">
        <w:rPr>
          <w:rFonts w:ascii="Arial" w:hAnsi="Arial" w:cs="Arial"/>
          <w:spacing w:val="-1"/>
          <w:sz w:val="22"/>
        </w:rPr>
        <w:t xml:space="preserve"> </w:t>
      </w:r>
      <w:r w:rsidR="009E4421" w:rsidRPr="006454B5">
        <w:rPr>
          <w:rFonts w:ascii="Arial" w:hAnsi="Arial" w:cs="Arial"/>
          <w:spacing w:val="-1"/>
          <w:sz w:val="22"/>
        </w:rPr>
        <w:t>&amp;</w:t>
      </w:r>
      <w:r w:rsidR="00F00D17" w:rsidRPr="006454B5">
        <w:rPr>
          <w:rFonts w:ascii="Arial" w:hAnsi="Arial" w:cs="Arial"/>
          <w:spacing w:val="-1"/>
          <w:sz w:val="22"/>
        </w:rPr>
        <w:t xml:space="preserve"> </w:t>
      </w:r>
      <w:proofErr w:type="spellStart"/>
      <w:r w:rsidR="00F00D17" w:rsidRPr="006454B5">
        <w:rPr>
          <w:rFonts w:ascii="Arial" w:hAnsi="Arial" w:cs="Arial"/>
          <w:spacing w:val="-1"/>
          <w:sz w:val="22"/>
        </w:rPr>
        <w:t>Stanko</w:t>
      </w:r>
      <w:proofErr w:type="spellEnd"/>
      <w:r w:rsidR="00F00D17" w:rsidRPr="006454B5">
        <w:rPr>
          <w:rFonts w:ascii="Arial" w:hAnsi="Arial" w:cs="Arial"/>
          <w:spacing w:val="-1"/>
          <w:sz w:val="22"/>
        </w:rPr>
        <w:t>, 2015)</w:t>
      </w:r>
      <w:r w:rsidR="00535420" w:rsidRPr="006454B5">
        <w:rPr>
          <w:rFonts w:ascii="Arial" w:hAnsi="Arial" w:cs="Arial"/>
          <w:spacing w:val="-1"/>
          <w:sz w:val="22"/>
        </w:rPr>
        <w:t xml:space="preserve">, </w:t>
      </w:r>
      <w:r w:rsidRPr="006454B5">
        <w:rPr>
          <w:rFonts w:ascii="Arial" w:hAnsi="Arial" w:cs="Arial"/>
          <w:sz w:val="22"/>
        </w:rPr>
        <w:t>the #</w:t>
      </w:r>
      <w:proofErr w:type="spellStart"/>
      <w:r w:rsidRPr="006454B5">
        <w:rPr>
          <w:rFonts w:ascii="Arial" w:hAnsi="Arial" w:cs="Arial"/>
          <w:sz w:val="22"/>
        </w:rPr>
        <w:t>Metoo</w:t>
      </w:r>
      <w:proofErr w:type="spellEnd"/>
      <w:r w:rsidRPr="006454B5">
        <w:rPr>
          <w:rFonts w:ascii="Arial" w:hAnsi="Arial" w:cs="Arial"/>
          <w:sz w:val="22"/>
        </w:rPr>
        <w:t xml:space="preserve"> movement, and the numerous high-profile cases of serious sexual assault that have accompanied it (O’Neil</w:t>
      </w:r>
      <w:r w:rsidR="008800BC" w:rsidRPr="006454B5">
        <w:rPr>
          <w:rFonts w:ascii="Arial" w:hAnsi="Arial" w:cs="Arial"/>
          <w:sz w:val="22"/>
        </w:rPr>
        <w:t xml:space="preserve"> et al.</w:t>
      </w:r>
      <w:r w:rsidR="009E4421" w:rsidRPr="006454B5">
        <w:rPr>
          <w:rFonts w:ascii="Arial" w:hAnsi="Arial" w:cs="Arial"/>
          <w:sz w:val="22"/>
        </w:rPr>
        <w:t xml:space="preserve">, </w:t>
      </w:r>
      <w:r w:rsidRPr="006454B5">
        <w:rPr>
          <w:rFonts w:ascii="Arial" w:hAnsi="Arial" w:cs="Arial"/>
          <w:sz w:val="22"/>
        </w:rPr>
        <w:t>2018), have brought about important changes to societal awareness of multiple aspects of sexual violence. Third</w:t>
      </w:r>
      <w:r w:rsidR="00CF41C5" w:rsidRPr="006454B5">
        <w:rPr>
          <w:rFonts w:ascii="Arial" w:hAnsi="Arial" w:cs="Arial"/>
          <w:sz w:val="22"/>
        </w:rPr>
        <w:t>,</w:t>
      </w:r>
      <w:r w:rsidRPr="006454B5">
        <w:rPr>
          <w:rFonts w:ascii="Arial" w:hAnsi="Arial" w:cs="Arial"/>
          <w:sz w:val="22"/>
        </w:rPr>
        <w:t xml:space="preserve"> and finally, recent developments regarding technology, and </w:t>
      </w:r>
      <w:r w:rsidR="00CF41C5" w:rsidRPr="006454B5">
        <w:rPr>
          <w:rFonts w:ascii="Arial" w:hAnsi="Arial" w:cs="Arial"/>
          <w:sz w:val="22"/>
        </w:rPr>
        <w:t xml:space="preserve">specifically </w:t>
      </w:r>
      <w:r w:rsidRPr="006454B5">
        <w:rPr>
          <w:rFonts w:ascii="Arial" w:hAnsi="Arial" w:cs="Arial"/>
          <w:sz w:val="22"/>
        </w:rPr>
        <w:t xml:space="preserve">the capacity of police to request victims’ technology </w:t>
      </w:r>
      <w:r w:rsidR="00455B99" w:rsidRPr="006454B5">
        <w:rPr>
          <w:rFonts w:ascii="Arial" w:hAnsi="Arial" w:cs="Arial"/>
          <w:sz w:val="22"/>
        </w:rPr>
        <w:t xml:space="preserve">(including but not limited to mobile phones, laptops etc.) </w:t>
      </w:r>
      <w:r w:rsidRPr="006454B5">
        <w:rPr>
          <w:rFonts w:ascii="Arial" w:hAnsi="Arial" w:cs="Arial"/>
          <w:sz w:val="22"/>
        </w:rPr>
        <w:t>for evidential purposes in the UK</w:t>
      </w:r>
      <w:r w:rsidR="00455B99" w:rsidRPr="006454B5">
        <w:rPr>
          <w:rFonts w:ascii="Arial" w:hAnsi="Arial" w:cs="Arial"/>
          <w:sz w:val="22"/>
        </w:rPr>
        <w:t xml:space="preserve"> further necessitates an updated review. Such devices contain a wealth of information (e.g., geographic data, social media data, various communication data), and request have thus prompted fierce debate and significant media attention regarding the necessity of such data for investigation and the negative impacts of this practice (e.g., BBC News, 2019).</w:t>
      </w:r>
    </w:p>
    <w:p w14:paraId="6FB37F93" w14:textId="451B5561" w:rsidR="00EF0C96" w:rsidRPr="006454B5" w:rsidRDefault="007642B7" w:rsidP="000C7544">
      <w:pPr>
        <w:spacing w:before="120" w:after="120"/>
        <w:contextualSpacing/>
        <w:rPr>
          <w:rFonts w:ascii="Arial" w:hAnsi="Arial" w:cs="Arial"/>
          <w:b/>
          <w:bCs/>
          <w:sz w:val="22"/>
        </w:rPr>
      </w:pPr>
      <w:r w:rsidRPr="006454B5">
        <w:rPr>
          <w:rFonts w:ascii="Arial" w:hAnsi="Arial" w:cs="Arial"/>
          <w:b/>
          <w:bCs/>
          <w:sz w:val="22"/>
        </w:rPr>
        <w:t>Aims of the</w:t>
      </w:r>
      <w:r w:rsidR="00EF0C96" w:rsidRPr="006454B5">
        <w:rPr>
          <w:rFonts w:ascii="Arial" w:hAnsi="Arial" w:cs="Arial"/>
          <w:b/>
          <w:bCs/>
          <w:sz w:val="22"/>
        </w:rPr>
        <w:t xml:space="preserve"> Current Study</w:t>
      </w:r>
    </w:p>
    <w:p w14:paraId="7A436163" w14:textId="59D3E2B8" w:rsidR="009F4F9E" w:rsidRPr="006454B5" w:rsidRDefault="009F4F9E" w:rsidP="000C7544">
      <w:pPr>
        <w:spacing w:before="120" w:after="120"/>
        <w:ind w:firstLine="720"/>
        <w:contextualSpacing/>
        <w:rPr>
          <w:rFonts w:ascii="Arial" w:hAnsi="Arial" w:cs="Arial"/>
          <w:sz w:val="22"/>
        </w:rPr>
      </w:pPr>
      <w:r w:rsidRPr="006454B5">
        <w:rPr>
          <w:rFonts w:ascii="Arial" w:hAnsi="Arial" w:cs="Arial"/>
          <w:sz w:val="22"/>
        </w:rPr>
        <w:t>The current study provides a</w:t>
      </w:r>
      <w:r w:rsidR="00CD65AD" w:rsidRPr="006454B5">
        <w:rPr>
          <w:rFonts w:ascii="Arial" w:hAnsi="Arial" w:cs="Arial"/>
          <w:sz w:val="22"/>
        </w:rPr>
        <w:t xml:space="preserve"> contemporary</w:t>
      </w:r>
      <w:r w:rsidRPr="006454B5">
        <w:rPr>
          <w:rFonts w:ascii="Arial" w:hAnsi="Arial" w:cs="Arial"/>
          <w:sz w:val="22"/>
        </w:rPr>
        <w:t xml:space="preserve"> examination of </w:t>
      </w:r>
      <w:r w:rsidR="00CF41C5" w:rsidRPr="006454B5">
        <w:rPr>
          <w:rFonts w:ascii="Arial" w:hAnsi="Arial" w:cs="Arial"/>
          <w:sz w:val="22"/>
        </w:rPr>
        <w:t xml:space="preserve">a sample of </w:t>
      </w:r>
      <w:r w:rsidRPr="006454B5">
        <w:rPr>
          <w:rFonts w:ascii="Arial" w:hAnsi="Arial" w:cs="Arial"/>
          <w:sz w:val="22"/>
        </w:rPr>
        <w:t xml:space="preserve">male-on-female rape cases reported </w:t>
      </w:r>
      <w:r w:rsidR="00CF41C5" w:rsidRPr="006454B5">
        <w:rPr>
          <w:rFonts w:ascii="Arial" w:hAnsi="Arial" w:cs="Arial"/>
          <w:sz w:val="22"/>
        </w:rPr>
        <w:t>to the MPS in</w:t>
      </w:r>
      <w:r w:rsidRPr="006454B5">
        <w:rPr>
          <w:rFonts w:ascii="Arial" w:hAnsi="Arial" w:cs="Arial"/>
          <w:sz w:val="22"/>
        </w:rPr>
        <w:t xml:space="preserve"> London (UK)</w:t>
      </w:r>
      <w:r w:rsidR="00CF41C5" w:rsidRPr="006454B5">
        <w:rPr>
          <w:rFonts w:ascii="Arial" w:hAnsi="Arial" w:cs="Arial"/>
          <w:sz w:val="22"/>
        </w:rPr>
        <w:t xml:space="preserve"> in April 2016</w:t>
      </w:r>
      <w:r w:rsidR="009F1150" w:rsidRPr="006454B5">
        <w:rPr>
          <w:rFonts w:ascii="Arial" w:hAnsi="Arial" w:cs="Arial"/>
          <w:sz w:val="22"/>
        </w:rPr>
        <w:t>. The decision to focus solely on female victims better frames the current work in the context of existing literature, and recognises the complexity of issues faced by female and male victims of this crime which justify discrete consideration and examination of such cases separately</w:t>
      </w:r>
      <w:r w:rsidR="0073503C" w:rsidRPr="006454B5">
        <w:rPr>
          <w:rFonts w:ascii="Arial" w:hAnsi="Arial" w:cs="Arial"/>
          <w:sz w:val="22"/>
        </w:rPr>
        <w:t xml:space="preserve"> (such as Hine et al., 2020)</w:t>
      </w:r>
      <w:r w:rsidR="009F1150" w:rsidRPr="006454B5">
        <w:rPr>
          <w:rFonts w:ascii="Arial" w:hAnsi="Arial" w:cs="Arial"/>
          <w:sz w:val="22"/>
        </w:rPr>
        <w:t xml:space="preserve">. </w:t>
      </w:r>
      <w:r w:rsidR="00CF41C5" w:rsidRPr="006454B5">
        <w:rPr>
          <w:rFonts w:ascii="Arial" w:hAnsi="Arial" w:cs="Arial"/>
          <w:sz w:val="22"/>
        </w:rPr>
        <w:t>We</w:t>
      </w:r>
      <w:r w:rsidRPr="006454B5">
        <w:rPr>
          <w:rFonts w:ascii="Arial" w:hAnsi="Arial" w:cs="Arial"/>
          <w:sz w:val="22"/>
        </w:rPr>
        <w:t xml:space="preserve"> applied a comprehensive coding framework </w:t>
      </w:r>
      <w:r w:rsidR="00CF41C5" w:rsidRPr="006454B5">
        <w:rPr>
          <w:rFonts w:ascii="Arial" w:hAnsi="Arial" w:cs="Arial"/>
          <w:sz w:val="22"/>
        </w:rPr>
        <w:t xml:space="preserve">to </w:t>
      </w:r>
      <w:r w:rsidRPr="006454B5">
        <w:rPr>
          <w:rFonts w:ascii="Arial" w:hAnsi="Arial" w:cs="Arial"/>
          <w:sz w:val="22"/>
        </w:rPr>
        <w:t>assess a variety of victim, suspect, offence, and procedural case characteristics</w:t>
      </w:r>
      <w:r w:rsidR="00CF41C5" w:rsidRPr="006454B5">
        <w:rPr>
          <w:rFonts w:ascii="Arial" w:hAnsi="Arial" w:cs="Arial"/>
          <w:sz w:val="22"/>
        </w:rPr>
        <w:t>,</w:t>
      </w:r>
      <w:r w:rsidRPr="006454B5">
        <w:rPr>
          <w:rFonts w:ascii="Arial" w:hAnsi="Arial" w:cs="Arial"/>
          <w:sz w:val="22"/>
        </w:rPr>
        <w:t xml:space="preserve"> produc</w:t>
      </w:r>
      <w:r w:rsidR="00CF41C5" w:rsidRPr="006454B5">
        <w:rPr>
          <w:rFonts w:ascii="Arial" w:hAnsi="Arial" w:cs="Arial"/>
          <w:sz w:val="22"/>
        </w:rPr>
        <w:t>ing</w:t>
      </w:r>
      <w:r w:rsidRPr="006454B5">
        <w:rPr>
          <w:rFonts w:ascii="Arial" w:hAnsi="Arial" w:cs="Arial"/>
          <w:sz w:val="22"/>
        </w:rPr>
        <w:t xml:space="preserve"> a </w:t>
      </w:r>
      <w:r w:rsidR="00CD65AD" w:rsidRPr="006454B5">
        <w:rPr>
          <w:rFonts w:ascii="Arial" w:hAnsi="Arial" w:cs="Arial"/>
          <w:sz w:val="22"/>
        </w:rPr>
        <w:t xml:space="preserve">comprehensive </w:t>
      </w:r>
      <w:r w:rsidRPr="006454B5">
        <w:rPr>
          <w:rFonts w:ascii="Arial" w:hAnsi="Arial" w:cs="Arial"/>
          <w:sz w:val="22"/>
        </w:rPr>
        <w:t xml:space="preserve">profile of rape cases. </w:t>
      </w:r>
      <w:r w:rsidR="00C93F02" w:rsidRPr="006454B5">
        <w:rPr>
          <w:rFonts w:ascii="Arial" w:hAnsi="Arial" w:cs="Arial"/>
          <w:sz w:val="22"/>
        </w:rPr>
        <w:t>We</w:t>
      </w:r>
      <w:r w:rsidRPr="006454B5">
        <w:rPr>
          <w:rFonts w:ascii="Arial" w:hAnsi="Arial" w:cs="Arial"/>
          <w:sz w:val="22"/>
        </w:rPr>
        <w:t xml:space="preserve"> had three principal aims:</w:t>
      </w:r>
    </w:p>
    <w:p w14:paraId="22C63037" w14:textId="0503789A" w:rsidR="00D5108D" w:rsidRPr="006454B5" w:rsidRDefault="00D5108D" w:rsidP="000C7544">
      <w:pPr>
        <w:spacing w:before="120" w:after="120"/>
        <w:ind w:left="720"/>
        <w:contextualSpacing/>
        <w:rPr>
          <w:rFonts w:ascii="Arial" w:hAnsi="Arial" w:cs="Arial"/>
          <w:sz w:val="22"/>
        </w:rPr>
      </w:pPr>
      <w:r w:rsidRPr="006454B5">
        <w:rPr>
          <w:rFonts w:ascii="Arial" w:hAnsi="Arial" w:cs="Arial"/>
          <w:sz w:val="22"/>
        </w:rPr>
        <w:t>1) To provide a more contemporaneous and comprehensive profile of the nature and context of rape cases within London, with a particular focus on the prevalence of a) rape myth-related factors and b) new procedural elements (i.e., technology requests)</w:t>
      </w:r>
    </w:p>
    <w:p w14:paraId="05FC17AB" w14:textId="29863394" w:rsidR="009F4F9E" w:rsidRPr="006454B5" w:rsidRDefault="00D5108D" w:rsidP="000C7544">
      <w:pPr>
        <w:spacing w:before="120" w:after="120"/>
        <w:ind w:left="720"/>
        <w:contextualSpacing/>
        <w:rPr>
          <w:rFonts w:ascii="Arial" w:hAnsi="Arial" w:cs="Arial"/>
          <w:sz w:val="22"/>
        </w:rPr>
      </w:pPr>
      <w:r w:rsidRPr="006454B5">
        <w:rPr>
          <w:rFonts w:ascii="Arial" w:hAnsi="Arial" w:cs="Arial"/>
          <w:sz w:val="22"/>
        </w:rPr>
        <w:t>2</w:t>
      </w:r>
      <w:r w:rsidR="009F4F9E" w:rsidRPr="006454B5">
        <w:rPr>
          <w:rFonts w:ascii="Arial" w:hAnsi="Arial" w:cs="Arial"/>
          <w:sz w:val="22"/>
        </w:rPr>
        <w:t xml:space="preserve">) To </w:t>
      </w:r>
      <w:r w:rsidRPr="006454B5">
        <w:rPr>
          <w:rFonts w:ascii="Arial" w:hAnsi="Arial" w:cs="Arial"/>
          <w:sz w:val="22"/>
        </w:rPr>
        <w:t xml:space="preserve">assess </w:t>
      </w:r>
      <w:r w:rsidR="009F4F9E" w:rsidRPr="006454B5">
        <w:rPr>
          <w:rFonts w:ascii="Arial" w:hAnsi="Arial" w:cs="Arial"/>
          <w:sz w:val="22"/>
        </w:rPr>
        <w:t>the proportion of outcomes attributed across cases, specifically in relation to the new policy framework on ‘no crime’ attributions</w:t>
      </w:r>
    </w:p>
    <w:p w14:paraId="67AD697F" w14:textId="09296F6C" w:rsidR="009F4F9E" w:rsidRPr="006454B5" w:rsidRDefault="009F4F9E" w:rsidP="000C7544">
      <w:pPr>
        <w:spacing w:before="120" w:after="120"/>
        <w:ind w:left="720"/>
        <w:contextualSpacing/>
        <w:rPr>
          <w:rFonts w:ascii="Arial" w:hAnsi="Arial" w:cs="Arial"/>
          <w:sz w:val="22"/>
        </w:rPr>
      </w:pPr>
      <w:r w:rsidRPr="006454B5">
        <w:rPr>
          <w:rFonts w:ascii="Arial" w:hAnsi="Arial" w:cs="Arial"/>
          <w:sz w:val="22"/>
        </w:rPr>
        <w:lastRenderedPageBreak/>
        <w:t>3) To assess the relationship between cases characteristics and case outcomes</w:t>
      </w:r>
      <w:r w:rsidR="00204F66" w:rsidRPr="006454B5">
        <w:rPr>
          <w:rFonts w:ascii="Arial" w:hAnsi="Arial" w:cs="Arial"/>
          <w:sz w:val="22"/>
        </w:rPr>
        <w:t xml:space="preserve"> to </w:t>
      </w:r>
      <w:r w:rsidR="007002F3" w:rsidRPr="006454B5">
        <w:rPr>
          <w:rFonts w:ascii="Arial" w:hAnsi="Arial" w:cs="Arial"/>
          <w:sz w:val="22"/>
        </w:rPr>
        <w:t xml:space="preserve">identify risk factors for various attrition pathways </w:t>
      </w:r>
    </w:p>
    <w:p w14:paraId="02B50C26" w14:textId="1F0E6A2A" w:rsidR="009F4F9E" w:rsidRPr="006454B5" w:rsidRDefault="009F4F9E" w:rsidP="000C7544">
      <w:pPr>
        <w:spacing w:before="120" w:after="120"/>
        <w:ind w:firstLine="720"/>
        <w:contextualSpacing/>
        <w:rPr>
          <w:rFonts w:ascii="Arial" w:hAnsi="Arial" w:cs="Arial"/>
          <w:sz w:val="22"/>
        </w:rPr>
      </w:pPr>
      <w:r w:rsidRPr="006454B5">
        <w:rPr>
          <w:rFonts w:ascii="Arial" w:hAnsi="Arial" w:cs="Arial"/>
          <w:sz w:val="22"/>
        </w:rPr>
        <w:t xml:space="preserve">These findings will provide police forces and policymakers with a broader, more </w:t>
      </w:r>
      <w:r w:rsidR="00204F66" w:rsidRPr="006454B5">
        <w:rPr>
          <w:rFonts w:ascii="Arial" w:hAnsi="Arial" w:cs="Arial"/>
          <w:sz w:val="22"/>
        </w:rPr>
        <w:t>up-to-date</w:t>
      </w:r>
      <w:r w:rsidRPr="006454B5">
        <w:rPr>
          <w:rFonts w:ascii="Arial" w:hAnsi="Arial" w:cs="Arial"/>
          <w:sz w:val="22"/>
        </w:rPr>
        <w:t xml:space="preserve"> understanding of case characteristics and their impact, which may be used to inform evidenced-based policy and practice locally, nationally, and internationally</w:t>
      </w:r>
      <w:r w:rsidR="00C93F02" w:rsidRPr="006454B5">
        <w:rPr>
          <w:rFonts w:ascii="Arial" w:hAnsi="Arial" w:cs="Arial"/>
          <w:sz w:val="22"/>
        </w:rPr>
        <w:t>. Our findings will also</w:t>
      </w:r>
      <w:r w:rsidRPr="006454B5">
        <w:rPr>
          <w:rFonts w:ascii="Arial" w:hAnsi="Arial" w:cs="Arial"/>
          <w:sz w:val="22"/>
        </w:rPr>
        <w:t xml:space="preserve"> </w:t>
      </w:r>
      <w:r w:rsidR="00C93F02" w:rsidRPr="006454B5">
        <w:rPr>
          <w:rFonts w:ascii="Arial" w:hAnsi="Arial" w:cs="Arial"/>
          <w:sz w:val="22"/>
        </w:rPr>
        <w:t>serve as</w:t>
      </w:r>
      <w:r w:rsidRPr="006454B5">
        <w:rPr>
          <w:rFonts w:ascii="Arial" w:hAnsi="Arial" w:cs="Arial"/>
          <w:sz w:val="22"/>
        </w:rPr>
        <w:t xml:space="preserve"> an important point of comparison in global practice. </w:t>
      </w:r>
      <w:r w:rsidR="00C93F02" w:rsidRPr="006454B5">
        <w:rPr>
          <w:rFonts w:ascii="Arial" w:hAnsi="Arial" w:cs="Arial"/>
          <w:sz w:val="22"/>
        </w:rPr>
        <w:t xml:space="preserve">Next, we outline the coding framework and procedure for data collection. </w:t>
      </w:r>
    </w:p>
    <w:p w14:paraId="769FCD91" w14:textId="4B2BC68E" w:rsidR="009F4F9E" w:rsidRPr="006454B5" w:rsidRDefault="009F4F9E" w:rsidP="000C7544">
      <w:pPr>
        <w:spacing w:before="120" w:after="120"/>
        <w:contextualSpacing/>
        <w:jc w:val="center"/>
        <w:rPr>
          <w:rFonts w:ascii="Arial" w:hAnsi="Arial" w:cs="Arial"/>
          <w:b/>
          <w:bCs/>
          <w:sz w:val="22"/>
        </w:rPr>
      </w:pPr>
      <w:r w:rsidRPr="006454B5">
        <w:rPr>
          <w:rFonts w:ascii="Arial" w:hAnsi="Arial" w:cs="Arial"/>
          <w:b/>
          <w:bCs/>
          <w:sz w:val="22"/>
        </w:rPr>
        <w:t>Method</w:t>
      </w:r>
    </w:p>
    <w:p w14:paraId="2CC9638E" w14:textId="6DAC8223" w:rsidR="009F4F9E" w:rsidRPr="006454B5" w:rsidRDefault="009F4F9E" w:rsidP="000C7544">
      <w:pPr>
        <w:spacing w:before="120" w:after="120"/>
        <w:contextualSpacing/>
        <w:rPr>
          <w:rFonts w:ascii="Arial" w:hAnsi="Arial" w:cs="Arial"/>
          <w:b/>
          <w:bCs/>
          <w:sz w:val="22"/>
        </w:rPr>
      </w:pPr>
      <w:r w:rsidRPr="006454B5">
        <w:rPr>
          <w:rFonts w:ascii="Arial" w:hAnsi="Arial" w:cs="Arial"/>
          <w:b/>
          <w:bCs/>
          <w:sz w:val="22"/>
        </w:rPr>
        <w:t>Data Collection and Coding</w:t>
      </w:r>
    </w:p>
    <w:p w14:paraId="44FCFB81" w14:textId="0B5CE7CF" w:rsidR="009F4F9E" w:rsidRPr="006454B5" w:rsidRDefault="009F4F9E" w:rsidP="00A301EC">
      <w:pPr>
        <w:spacing w:before="120" w:after="120"/>
        <w:ind w:firstLine="720"/>
        <w:contextualSpacing/>
        <w:rPr>
          <w:rFonts w:ascii="Arial" w:hAnsi="Arial" w:cs="Arial"/>
          <w:sz w:val="22"/>
        </w:rPr>
      </w:pPr>
      <w:r w:rsidRPr="006454B5">
        <w:rPr>
          <w:rFonts w:ascii="Arial" w:hAnsi="Arial" w:cs="Arial"/>
          <w:sz w:val="22"/>
        </w:rPr>
        <w:t>The data for this study comes from a review of all Metropolitan Police Service (MPS) allegations of rape reported during the month of April 2016</w:t>
      </w:r>
      <w:r w:rsidR="009F1150" w:rsidRPr="006454B5">
        <w:rPr>
          <w:rFonts w:ascii="Arial" w:hAnsi="Arial" w:cs="Arial"/>
          <w:sz w:val="22"/>
        </w:rPr>
        <w:t>. April ensures consistency with previous MPS reviews (all of which used data from April and May in the years 2005-2012). These months represented ‘average’ months in terms of volume of reported rapes, and thus were thought to be representative of all rape allegations over the year (</w:t>
      </w:r>
      <w:proofErr w:type="spellStart"/>
      <w:r w:rsidR="009F1150" w:rsidRPr="006454B5">
        <w:rPr>
          <w:rFonts w:ascii="Arial" w:hAnsi="Arial" w:cs="Arial"/>
          <w:sz w:val="22"/>
        </w:rPr>
        <w:t>Hohl</w:t>
      </w:r>
      <w:proofErr w:type="spellEnd"/>
      <w:r w:rsidR="009F1150" w:rsidRPr="006454B5">
        <w:rPr>
          <w:rFonts w:ascii="Arial" w:hAnsi="Arial" w:cs="Arial"/>
          <w:sz w:val="22"/>
        </w:rPr>
        <w:t xml:space="preserve"> &amp; </w:t>
      </w:r>
      <w:proofErr w:type="spellStart"/>
      <w:r w:rsidR="009F1150" w:rsidRPr="006454B5">
        <w:rPr>
          <w:rFonts w:ascii="Arial" w:hAnsi="Arial" w:cs="Arial"/>
          <w:sz w:val="22"/>
        </w:rPr>
        <w:t>Stanko</w:t>
      </w:r>
      <w:proofErr w:type="spellEnd"/>
      <w:r w:rsidR="009F1150" w:rsidRPr="006454B5">
        <w:rPr>
          <w:rFonts w:ascii="Arial" w:hAnsi="Arial" w:cs="Arial"/>
          <w:sz w:val="22"/>
        </w:rPr>
        <w:t>, 2015).</w:t>
      </w:r>
      <w:r w:rsidR="00306830" w:rsidRPr="006454B5">
        <w:rPr>
          <w:rFonts w:ascii="Arial" w:hAnsi="Arial" w:cs="Arial"/>
          <w:sz w:val="22"/>
        </w:rPr>
        <w:t xml:space="preserve"> </w:t>
      </w:r>
      <w:r w:rsidRPr="006454B5">
        <w:rPr>
          <w:rFonts w:ascii="Arial" w:hAnsi="Arial" w:cs="Arial"/>
          <w:sz w:val="22"/>
        </w:rPr>
        <w:t xml:space="preserve">According to Home Office statistics, cases take, on average, 18 months to progress from date of reporting to an established case outcome (Home Office, 2019). For example, </w:t>
      </w:r>
      <w:r w:rsidR="00931F6F" w:rsidRPr="006454B5">
        <w:rPr>
          <w:rFonts w:ascii="Arial" w:hAnsi="Arial" w:cs="Arial"/>
          <w:sz w:val="22"/>
        </w:rPr>
        <w:t>one third</w:t>
      </w:r>
      <w:r w:rsidRPr="006454B5">
        <w:rPr>
          <w:rFonts w:ascii="Arial" w:hAnsi="Arial" w:cs="Arial"/>
          <w:sz w:val="22"/>
        </w:rPr>
        <w:t xml:space="preserve"> of rape cases reported </w:t>
      </w:r>
      <w:r w:rsidR="00931F6F" w:rsidRPr="006454B5">
        <w:rPr>
          <w:rFonts w:ascii="Arial" w:hAnsi="Arial" w:cs="Arial"/>
          <w:sz w:val="22"/>
        </w:rPr>
        <w:t>in the year to December 2018</w:t>
      </w:r>
      <w:r w:rsidRPr="006454B5">
        <w:rPr>
          <w:rFonts w:ascii="Arial" w:hAnsi="Arial" w:cs="Arial"/>
          <w:sz w:val="22"/>
        </w:rPr>
        <w:t xml:space="preserve"> had not been assigned a criminal justice outcome </w:t>
      </w:r>
      <w:r w:rsidR="00931F6F" w:rsidRPr="006454B5">
        <w:rPr>
          <w:rFonts w:ascii="Arial" w:hAnsi="Arial" w:cs="Arial"/>
          <w:sz w:val="22"/>
        </w:rPr>
        <w:t xml:space="preserve">in April of 2019 </w:t>
      </w:r>
      <w:r w:rsidRPr="006454B5">
        <w:rPr>
          <w:rFonts w:ascii="Arial" w:hAnsi="Arial" w:cs="Arial"/>
          <w:sz w:val="22"/>
        </w:rPr>
        <w:t xml:space="preserve">(Home Office, 2019). </w:t>
      </w:r>
      <w:r w:rsidR="00E21653" w:rsidRPr="006454B5">
        <w:rPr>
          <w:rFonts w:ascii="Arial" w:hAnsi="Arial" w:cs="Arial"/>
          <w:sz w:val="22"/>
        </w:rPr>
        <w:t>At the time of coding, e</w:t>
      </w:r>
      <w:r w:rsidR="0050760C" w:rsidRPr="006454B5">
        <w:rPr>
          <w:rFonts w:ascii="Arial" w:hAnsi="Arial" w:cs="Arial"/>
          <w:sz w:val="22"/>
        </w:rPr>
        <w:t xml:space="preserve">xamination of the cases that had reached a criminal justice outcome revealed that </w:t>
      </w:r>
      <w:r w:rsidR="00931F6F" w:rsidRPr="006454B5">
        <w:rPr>
          <w:rFonts w:ascii="Arial" w:hAnsi="Arial" w:cs="Arial"/>
          <w:sz w:val="22"/>
        </w:rPr>
        <w:t>those</w:t>
      </w:r>
      <w:r w:rsidRPr="006454B5">
        <w:rPr>
          <w:rFonts w:ascii="Arial" w:hAnsi="Arial" w:cs="Arial"/>
          <w:sz w:val="22"/>
        </w:rPr>
        <w:t xml:space="preserve"> </w:t>
      </w:r>
      <w:r w:rsidR="0050760C" w:rsidRPr="006454B5">
        <w:rPr>
          <w:rFonts w:ascii="Arial" w:hAnsi="Arial" w:cs="Arial"/>
          <w:sz w:val="22"/>
        </w:rPr>
        <w:t>reported in</w:t>
      </w:r>
      <w:r w:rsidRPr="006454B5">
        <w:rPr>
          <w:rFonts w:ascii="Arial" w:hAnsi="Arial" w:cs="Arial"/>
          <w:sz w:val="22"/>
        </w:rPr>
        <w:t xml:space="preserve"> 2016</w:t>
      </w:r>
      <w:r w:rsidR="0050760C" w:rsidRPr="006454B5">
        <w:rPr>
          <w:rFonts w:ascii="Arial" w:hAnsi="Arial" w:cs="Arial"/>
          <w:sz w:val="22"/>
        </w:rPr>
        <w:t xml:space="preserve"> </w:t>
      </w:r>
      <w:r w:rsidRPr="006454B5">
        <w:rPr>
          <w:rFonts w:ascii="Arial" w:hAnsi="Arial" w:cs="Arial"/>
          <w:sz w:val="22"/>
        </w:rPr>
        <w:t>provide</w:t>
      </w:r>
      <w:r w:rsidR="0050760C" w:rsidRPr="006454B5">
        <w:rPr>
          <w:rFonts w:ascii="Arial" w:hAnsi="Arial" w:cs="Arial"/>
          <w:sz w:val="22"/>
        </w:rPr>
        <w:t>d</w:t>
      </w:r>
      <w:r w:rsidRPr="006454B5">
        <w:rPr>
          <w:rFonts w:ascii="Arial" w:hAnsi="Arial" w:cs="Arial"/>
          <w:sz w:val="22"/>
        </w:rPr>
        <w:t xml:space="preserve"> a sufficient </w:t>
      </w:r>
      <w:r w:rsidR="0050760C" w:rsidRPr="006454B5">
        <w:rPr>
          <w:rFonts w:ascii="Arial" w:hAnsi="Arial" w:cs="Arial"/>
          <w:sz w:val="22"/>
        </w:rPr>
        <w:t xml:space="preserve">sample </w:t>
      </w:r>
      <w:r w:rsidR="00931F6F" w:rsidRPr="006454B5">
        <w:rPr>
          <w:rFonts w:ascii="Arial" w:hAnsi="Arial" w:cs="Arial"/>
          <w:sz w:val="22"/>
        </w:rPr>
        <w:t>for analyses.</w:t>
      </w:r>
      <w:r w:rsidR="00A301EC">
        <w:rPr>
          <w:rFonts w:ascii="Arial" w:hAnsi="Arial" w:cs="Arial"/>
          <w:sz w:val="22"/>
        </w:rPr>
        <w:t xml:space="preserve"> As these coded data are drawn from official police records, they are confidential in nature and therefore supporting raw data are not available.</w:t>
      </w:r>
    </w:p>
    <w:p w14:paraId="38495131" w14:textId="63220BC9" w:rsidR="009F4F9E" w:rsidRPr="006454B5" w:rsidRDefault="009F4F9E" w:rsidP="00A301EC">
      <w:pPr>
        <w:pStyle w:val="FootnoteText"/>
        <w:spacing w:before="120" w:after="120" w:line="480" w:lineRule="auto"/>
        <w:ind w:firstLine="720"/>
        <w:contextualSpacing/>
        <w:rPr>
          <w:rFonts w:ascii="Arial" w:hAnsi="Arial" w:cs="Arial"/>
          <w:sz w:val="22"/>
        </w:rPr>
      </w:pPr>
      <w:r w:rsidRPr="006454B5">
        <w:rPr>
          <w:rFonts w:ascii="Arial" w:hAnsi="Arial" w:cs="Arial"/>
          <w:sz w:val="22"/>
        </w:rPr>
        <w:t xml:space="preserve">A total of 501 cases were accessed on the Crime </w:t>
      </w:r>
      <w:r w:rsidRPr="006454B5">
        <w:rPr>
          <w:rFonts w:ascii="Arial" w:eastAsiaTheme="minorHAnsi" w:hAnsi="Arial" w:cs="Arial"/>
          <w:sz w:val="22"/>
          <w:szCs w:val="22"/>
          <w:lang w:eastAsia="en-US"/>
        </w:rPr>
        <w:t>Record Information System (CRIS)</w:t>
      </w:r>
      <w:r w:rsidR="00306830" w:rsidRPr="006454B5">
        <w:rPr>
          <w:rFonts w:ascii="Arial" w:eastAsiaTheme="minorHAnsi" w:hAnsi="Arial" w:cs="Arial"/>
          <w:sz w:val="22"/>
          <w:szCs w:val="22"/>
          <w:lang w:eastAsia="en-US"/>
        </w:rPr>
        <w:t xml:space="preserve">. The CRIS is the electronic management system for recording and processing of crime. It allows users (usually police) to create and update crime reports (Metropolitan Police Service, 2018). All cases </w:t>
      </w:r>
      <w:r w:rsidRPr="006454B5">
        <w:rPr>
          <w:rFonts w:ascii="Arial" w:hAnsi="Arial" w:cs="Arial"/>
          <w:sz w:val="22"/>
        </w:rPr>
        <w:t xml:space="preserve">ere coded by a team of researchers within the Mayor’s Office for Policing and Crime (MOPAC). Cases that involved a male victim (n=55) were excluded (for </w:t>
      </w:r>
      <w:r w:rsidRPr="006454B5">
        <w:rPr>
          <w:rFonts w:ascii="Arial" w:hAnsi="Arial" w:cs="Arial"/>
          <w:sz w:val="22"/>
        </w:rPr>
        <w:lastRenderedPageBreak/>
        <w:t xml:space="preserve">examination in future work), leaving a final sample of 446 cases for analysis. </w:t>
      </w:r>
    </w:p>
    <w:p w14:paraId="5B2759CD" w14:textId="14612F59" w:rsidR="009302D4" w:rsidRPr="006454B5" w:rsidRDefault="009F4F9E" w:rsidP="00606443">
      <w:pPr>
        <w:spacing w:before="120" w:after="120"/>
        <w:ind w:firstLine="720"/>
        <w:contextualSpacing/>
        <w:rPr>
          <w:rFonts w:ascii="Arial" w:hAnsi="Arial" w:cs="Arial"/>
          <w:sz w:val="22"/>
        </w:rPr>
      </w:pPr>
      <w:r w:rsidRPr="006454B5">
        <w:rPr>
          <w:rFonts w:ascii="Arial" w:hAnsi="Arial" w:cs="Arial"/>
          <w:sz w:val="22"/>
        </w:rPr>
        <w:t xml:space="preserve">Each rape complaint was systematically examined by the researchers and coded on a range of variables, divided into five categories: Victim characteristics (e.g., age, ethnicity, mental health, previous reporting); Suspect characteristics (e.g., age, relationship to victim); Offence characteristics (e.g., location, injury, weapon used); Procedural characteristics (e.g., time taken to report, forensic opportunities, and technological evidence); and the case Outcome (e.g., Victim withdrawal, </w:t>
      </w:r>
      <w:r w:rsidR="00204F66" w:rsidRPr="006454B5">
        <w:rPr>
          <w:rFonts w:ascii="Arial" w:hAnsi="Arial" w:cs="Arial"/>
          <w:sz w:val="22"/>
        </w:rPr>
        <w:t xml:space="preserve">police </w:t>
      </w:r>
      <w:r w:rsidRPr="006454B5">
        <w:rPr>
          <w:rFonts w:ascii="Arial" w:hAnsi="Arial" w:cs="Arial"/>
          <w:sz w:val="22"/>
        </w:rPr>
        <w:t xml:space="preserve">NFA, referral to prosecutors). The case characteristics were recorded dichotomously as present/absent (e.g., had the victim consumed alcohol), categorically (e.g., level of injury), or as a distinct continuous value (e.g., victim age). Some characteristics originally coded continuously were converted to categorical variables for the purposes of comparative analyses (e.g., victim age, to &lt;16 and &gt;16 years). </w:t>
      </w:r>
      <w:r w:rsidR="00CD105A" w:rsidRPr="006454B5">
        <w:rPr>
          <w:rFonts w:ascii="Arial" w:hAnsi="Arial" w:cs="Arial"/>
          <w:spacing w:val="-1"/>
          <w:sz w:val="22"/>
        </w:rPr>
        <w:t>In</w:t>
      </w:r>
      <w:r w:rsidR="00CD105A" w:rsidRPr="006454B5">
        <w:rPr>
          <w:rFonts w:ascii="Arial" w:hAnsi="Arial" w:cs="Arial"/>
          <w:spacing w:val="-5"/>
          <w:sz w:val="22"/>
        </w:rPr>
        <w:t xml:space="preserve"> </w:t>
      </w:r>
      <w:r w:rsidR="00CD105A" w:rsidRPr="006454B5">
        <w:rPr>
          <w:rFonts w:ascii="Arial" w:hAnsi="Arial" w:cs="Arial"/>
          <w:sz w:val="22"/>
        </w:rPr>
        <w:t>total,</w:t>
      </w:r>
      <w:r w:rsidR="00CD105A" w:rsidRPr="006454B5">
        <w:rPr>
          <w:rFonts w:ascii="Arial" w:hAnsi="Arial" w:cs="Arial"/>
          <w:spacing w:val="-6"/>
          <w:sz w:val="22"/>
        </w:rPr>
        <w:t xml:space="preserve"> </w:t>
      </w:r>
      <w:r w:rsidR="00CD105A" w:rsidRPr="006454B5">
        <w:rPr>
          <w:rFonts w:ascii="Arial" w:hAnsi="Arial" w:cs="Arial"/>
          <w:spacing w:val="-1"/>
          <w:sz w:val="22"/>
        </w:rPr>
        <w:t>there</w:t>
      </w:r>
      <w:r w:rsidR="00CD105A" w:rsidRPr="006454B5">
        <w:rPr>
          <w:rFonts w:ascii="Arial" w:hAnsi="Arial" w:cs="Arial"/>
          <w:spacing w:val="-4"/>
          <w:sz w:val="22"/>
        </w:rPr>
        <w:t xml:space="preserve"> </w:t>
      </w:r>
      <w:r w:rsidR="00CD105A" w:rsidRPr="006454B5">
        <w:rPr>
          <w:rFonts w:ascii="Arial" w:hAnsi="Arial" w:cs="Arial"/>
          <w:spacing w:val="-1"/>
          <w:sz w:val="22"/>
        </w:rPr>
        <w:t>were</w:t>
      </w:r>
      <w:r w:rsidR="00CD105A" w:rsidRPr="006454B5">
        <w:rPr>
          <w:rFonts w:ascii="Arial" w:hAnsi="Arial" w:cs="Arial"/>
          <w:spacing w:val="-6"/>
          <w:sz w:val="22"/>
        </w:rPr>
        <w:t xml:space="preserve"> </w:t>
      </w:r>
      <w:r w:rsidR="00A115EC" w:rsidRPr="006454B5">
        <w:rPr>
          <w:rFonts w:ascii="Arial" w:hAnsi="Arial" w:cs="Arial"/>
          <w:sz w:val="22"/>
        </w:rPr>
        <w:t>89</w:t>
      </w:r>
      <w:r w:rsidR="00CD105A" w:rsidRPr="006454B5">
        <w:rPr>
          <w:rFonts w:ascii="Arial" w:hAnsi="Arial" w:cs="Arial"/>
          <w:spacing w:val="-4"/>
          <w:sz w:val="22"/>
        </w:rPr>
        <w:t xml:space="preserve"> </w:t>
      </w:r>
      <w:r w:rsidR="00CD105A" w:rsidRPr="006454B5">
        <w:rPr>
          <w:rFonts w:ascii="Arial" w:hAnsi="Arial" w:cs="Arial"/>
          <w:spacing w:val="-1"/>
          <w:sz w:val="22"/>
        </w:rPr>
        <w:t>separate</w:t>
      </w:r>
      <w:r w:rsidR="00CD105A" w:rsidRPr="006454B5">
        <w:rPr>
          <w:rFonts w:ascii="Arial" w:hAnsi="Arial" w:cs="Arial"/>
          <w:spacing w:val="-6"/>
          <w:sz w:val="22"/>
        </w:rPr>
        <w:t xml:space="preserve"> </w:t>
      </w:r>
      <w:r w:rsidR="00CD105A" w:rsidRPr="006454B5">
        <w:rPr>
          <w:rFonts w:ascii="Arial" w:hAnsi="Arial" w:cs="Arial"/>
          <w:spacing w:val="-1"/>
          <w:sz w:val="22"/>
        </w:rPr>
        <w:t>variables</w:t>
      </w:r>
      <w:r w:rsidR="00CD105A" w:rsidRPr="006454B5">
        <w:rPr>
          <w:rFonts w:ascii="Arial" w:hAnsi="Arial" w:cs="Arial"/>
          <w:spacing w:val="-4"/>
          <w:sz w:val="22"/>
        </w:rPr>
        <w:t xml:space="preserve"> </w:t>
      </w:r>
      <w:r w:rsidR="00CD105A" w:rsidRPr="006454B5">
        <w:rPr>
          <w:rFonts w:ascii="Arial" w:hAnsi="Arial" w:cs="Arial"/>
          <w:sz w:val="22"/>
        </w:rPr>
        <w:t>for</w:t>
      </w:r>
      <w:r w:rsidR="00CD105A" w:rsidRPr="006454B5">
        <w:rPr>
          <w:rFonts w:ascii="Arial" w:hAnsi="Arial" w:cs="Arial"/>
          <w:spacing w:val="-5"/>
          <w:sz w:val="22"/>
        </w:rPr>
        <w:t xml:space="preserve"> </w:t>
      </w:r>
      <w:r w:rsidR="00CD105A" w:rsidRPr="006454B5">
        <w:rPr>
          <w:rFonts w:ascii="Arial" w:hAnsi="Arial" w:cs="Arial"/>
          <w:sz w:val="22"/>
        </w:rPr>
        <w:t>analysis,</w:t>
      </w:r>
      <w:r w:rsidR="00CD105A" w:rsidRPr="006454B5">
        <w:rPr>
          <w:rFonts w:ascii="Arial" w:hAnsi="Arial" w:cs="Arial"/>
          <w:spacing w:val="-6"/>
          <w:sz w:val="22"/>
        </w:rPr>
        <w:t xml:space="preserve"> </w:t>
      </w:r>
      <w:r w:rsidR="00CD105A" w:rsidRPr="006454B5">
        <w:rPr>
          <w:rFonts w:ascii="Arial" w:hAnsi="Arial" w:cs="Arial"/>
          <w:sz w:val="22"/>
        </w:rPr>
        <w:t>including</w:t>
      </w:r>
      <w:r w:rsidR="00CD105A" w:rsidRPr="006454B5">
        <w:rPr>
          <w:rFonts w:ascii="Arial" w:hAnsi="Arial" w:cs="Arial"/>
          <w:spacing w:val="-7"/>
          <w:sz w:val="22"/>
        </w:rPr>
        <w:t xml:space="preserve"> </w:t>
      </w:r>
      <w:r w:rsidR="00A115EC" w:rsidRPr="006454B5">
        <w:rPr>
          <w:rFonts w:ascii="Arial" w:hAnsi="Arial" w:cs="Arial"/>
          <w:sz w:val="22"/>
        </w:rPr>
        <w:t>21</w:t>
      </w:r>
      <w:r w:rsidR="00CD105A" w:rsidRPr="006454B5">
        <w:rPr>
          <w:rFonts w:ascii="Arial" w:hAnsi="Arial" w:cs="Arial"/>
          <w:spacing w:val="-4"/>
          <w:sz w:val="22"/>
        </w:rPr>
        <w:t xml:space="preserve"> </w:t>
      </w:r>
      <w:r w:rsidR="00CD105A" w:rsidRPr="006454B5">
        <w:rPr>
          <w:rFonts w:ascii="Arial" w:hAnsi="Arial" w:cs="Arial"/>
          <w:spacing w:val="-1"/>
          <w:sz w:val="22"/>
        </w:rPr>
        <w:t>victim,</w:t>
      </w:r>
      <w:r w:rsidR="00CD105A" w:rsidRPr="006454B5">
        <w:rPr>
          <w:rFonts w:ascii="Arial" w:hAnsi="Arial" w:cs="Arial"/>
          <w:spacing w:val="-6"/>
          <w:sz w:val="22"/>
        </w:rPr>
        <w:t xml:space="preserve"> </w:t>
      </w:r>
      <w:r w:rsidR="00A115EC" w:rsidRPr="006454B5">
        <w:rPr>
          <w:rFonts w:ascii="Arial" w:hAnsi="Arial" w:cs="Arial"/>
          <w:sz w:val="22"/>
        </w:rPr>
        <w:t>16</w:t>
      </w:r>
      <w:r w:rsidR="00C93F02" w:rsidRPr="006454B5">
        <w:rPr>
          <w:rFonts w:ascii="Arial" w:hAnsi="Arial" w:cs="Arial"/>
          <w:spacing w:val="55"/>
          <w:w w:val="99"/>
          <w:sz w:val="22"/>
        </w:rPr>
        <w:t xml:space="preserve"> </w:t>
      </w:r>
      <w:r w:rsidR="00CD105A" w:rsidRPr="006454B5">
        <w:rPr>
          <w:rFonts w:ascii="Arial" w:hAnsi="Arial" w:cs="Arial"/>
          <w:spacing w:val="-1"/>
          <w:sz w:val="22"/>
        </w:rPr>
        <w:t xml:space="preserve">suspect, </w:t>
      </w:r>
      <w:r w:rsidR="00CD105A" w:rsidRPr="006454B5">
        <w:rPr>
          <w:rFonts w:ascii="Arial" w:hAnsi="Arial" w:cs="Arial"/>
          <w:sz w:val="22"/>
        </w:rPr>
        <w:t>1</w:t>
      </w:r>
      <w:r w:rsidR="00A115EC" w:rsidRPr="006454B5">
        <w:rPr>
          <w:rFonts w:ascii="Arial" w:hAnsi="Arial" w:cs="Arial"/>
          <w:sz w:val="22"/>
        </w:rPr>
        <w:t>4</w:t>
      </w:r>
      <w:r w:rsidR="00CD105A" w:rsidRPr="006454B5">
        <w:rPr>
          <w:rFonts w:ascii="Arial" w:hAnsi="Arial" w:cs="Arial"/>
          <w:spacing w:val="-1"/>
          <w:sz w:val="22"/>
        </w:rPr>
        <w:t xml:space="preserve"> offence, </w:t>
      </w:r>
      <w:r w:rsidR="00CD105A" w:rsidRPr="006454B5">
        <w:rPr>
          <w:rFonts w:ascii="Arial" w:hAnsi="Arial" w:cs="Arial"/>
          <w:sz w:val="22"/>
        </w:rPr>
        <w:t>and</w:t>
      </w:r>
      <w:r w:rsidR="00CD105A" w:rsidRPr="006454B5">
        <w:rPr>
          <w:rFonts w:ascii="Arial" w:hAnsi="Arial" w:cs="Arial"/>
          <w:spacing w:val="-2"/>
          <w:sz w:val="22"/>
        </w:rPr>
        <w:t xml:space="preserve"> </w:t>
      </w:r>
      <w:r w:rsidR="00CD105A" w:rsidRPr="006454B5">
        <w:rPr>
          <w:rFonts w:ascii="Arial" w:hAnsi="Arial" w:cs="Arial"/>
          <w:sz w:val="22"/>
        </w:rPr>
        <w:t>3</w:t>
      </w:r>
      <w:r w:rsidR="00A115EC" w:rsidRPr="006454B5">
        <w:rPr>
          <w:rFonts w:ascii="Arial" w:hAnsi="Arial" w:cs="Arial"/>
          <w:sz w:val="22"/>
        </w:rPr>
        <w:t>8</w:t>
      </w:r>
      <w:r w:rsidR="00CD105A" w:rsidRPr="006454B5">
        <w:rPr>
          <w:rFonts w:ascii="Arial" w:hAnsi="Arial" w:cs="Arial"/>
          <w:spacing w:val="1"/>
          <w:sz w:val="22"/>
        </w:rPr>
        <w:t xml:space="preserve"> </w:t>
      </w:r>
      <w:r w:rsidR="00CD105A" w:rsidRPr="006454B5">
        <w:rPr>
          <w:rFonts w:ascii="Arial" w:hAnsi="Arial" w:cs="Arial"/>
          <w:spacing w:val="-1"/>
          <w:sz w:val="22"/>
        </w:rPr>
        <w:t>procedural</w:t>
      </w:r>
      <w:r w:rsidR="00CD105A" w:rsidRPr="006454B5">
        <w:rPr>
          <w:rFonts w:ascii="Arial" w:hAnsi="Arial" w:cs="Arial"/>
          <w:sz w:val="22"/>
        </w:rPr>
        <w:t xml:space="preserve"> </w:t>
      </w:r>
      <w:r w:rsidR="00CD105A" w:rsidRPr="006454B5">
        <w:rPr>
          <w:rFonts w:ascii="Arial" w:hAnsi="Arial" w:cs="Arial"/>
          <w:spacing w:val="-1"/>
          <w:sz w:val="22"/>
        </w:rPr>
        <w:t>characteristics</w:t>
      </w:r>
      <w:r w:rsidR="00476C9D" w:rsidRPr="006454B5">
        <w:rPr>
          <w:rFonts w:ascii="Arial" w:hAnsi="Arial" w:cs="Arial"/>
          <w:spacing w:val="-1"/>
          <w:sz w:val="22"/>
        </w:rPr>
        <w:t xml:space="preserve">. These variables were grouped conceptually for ease of </w:t>
      </w:r>
      <w:r w:rsidR="009302D4" w:rsidRPr="006454B5">
        <w:rPr>
          <w:rFonts w:ascii="Arial" w:hAnsi="Arial" w:cs="Arial"/>
          <w:spacing w:val="-1"/>
          <w:sz w:val="22"/>
        </w:rPr>
        <w:t>presentation; a total of 14 conceptual sub-groups were formed (e.g., reporting, evidential factors, police investigation)</w:t>
      </w:r>
      <w:r w:rsidR="00CD105A" w:rsidRPr="006454B5">
        <w:rPr>
          <w:rFonts w:ascii="Arial" w:hAnsi="Arial" w:cs="Arial"/>
          <w:spacing w:val="-1"/>
          <w:sz w:val="22"/>
        </w:rPr>
        <w:t>.</w:t>
      </w:r>
      <w:r w:rsidRPr="006454B5">
        <w:rPr>
          <w:rFonts w:ascii="Arial" w:hAnsi="Arial" w:cs="Arial"/>
          <w:sz w:val="22"/>
        </w:rPr>
        <w:t xml:space="preserve"> </w:t>
      </w:r>
      <w:r w:rsidR="009302D4" w:rsidRPr="006454B5">
        <w:rPr>
          <w:rFonts w:ascii="Arial" w:hAnsi="Arial" w:cs="Arial"/>
          <w:sz w:val="22"/>
        </w:rPr>
        <w:t>Figure 1 provides a visual representation of the</w:t>
      </w:r>
      <w:r w:rsidR="00204F66" w:rsidRPr="006454B5">
        <w:rPr>
          <w:rFonts w:ascii="Arial" w:hAnsi="Arial" w:cs="Arial"/>
          <w:sz w:val="22"/>
        </w:rPr>
        <w:t>se</w:t>
      </w:r>
      <w:r w:rsidR="009302D4" w:rsidRPr="006454B5">
        <w:rPr>
          <w:rFonts w:ascii="Arial" w:hAnsi="Arial" w:cs="Arial"/>
          <w:sz w:val="22"/>
        </w:rPr>
        <w:t xml:space="preserve"> conceptual groupings; descriptive data for each set of variables can be found in Tables 1-4</w:t>
      </w:r>
      <w:r w:rsidR="00DE65B6" w:rsidRPr="006454B5">
        <w:rPr>
          <w:rFonts w:ascii="Arial" w:hAnsi="Arial" w:cs="Arial"/>
          <w:sz w:val="22"/>
        </w:rPr>
        <w:t>, along with footnotes highlighting the coding</w:t>
      </w:r>
      <w:r w:rsidR="009302D4" w:rsidRPr="006454B5">
        <w:rPr>
          <w:rFonts w:ascii="Arial" w:hAnsi="Arial" w:cs="Arial"/>
          <w:sz w:val="22"/>
        </w:rPr>
        <w:t xml:space="preserve">. </w:t>
      </w:r>
    </w:p>
    <w:p w14:paraId="1D7B34D3" w14:textId="78A21035" w:rsidR="00DA2EEC" w:rsidRPr="006454B5" w:rsidRDefault="00DA2EEC" w:rsidP="00636355">
      <w:pPr>
        <w:spacing w:before="120" w:after="120"/>
        <w:ind w:firstLine="720"/>
        <w:contextualSpacing/>
        <w:jc w:val="center"/>
        <w:rPr>
          <w:rFonts w:ascii="Arial" w:hAnsi="Arial" w:cs="Arial"/>
          <w:sz w:val="22"/>
        </w:rPr>
      </w:pPr>
      <w:r w:rsidRPr="006454B5">
        <w:rPr>
          <w:rFonts w:ascii="Arial" w:hAnsi="Arial" w:cs="Arial"/>
          <w:sz w:val="22"/>
        </w:rPr>
        <w:t>[Insert figure 1 here]</w:t>
      </w:r>
    </w:p>
    <w:p w14:paraId="6FBC89A8" w14:textId="4AD7ED57" w:rsidR="009F4F9E" w:rsidRPr="006454B5" w:rsidRDefault="009F4F9E" w:rsidP="00CE4558">
      <w:pPr>
        <w:spacing w:before="120" w:after="120"/>
        <w:ind w:firstLine="720"/>
        <w:contextualSpacing/>
        <w:rPr>
          <w:rFonts w:ascii="Arial" w:hAnsi="Arial" w:cs="Arial"/>
          <w:sz w:val="22"/>
        </w:rPr>
      </w:pPr>
      <w:r w:rsidRPr="006454B5">
        <w:rPr>
          <w:rFonts w:ascii="Arial" w:hAnsi="Arial" w:cs="Arial"/>
          <w:sz w:val="22"/>
        </w:rPr>
        <w:t xml:space="preserve">The ‘outcome’ for each case was coded as one of four options: a) case was not classified as a crime; b) victim decided to withdraw support for the investigation; c) police decided to take no further action; and finally, d) police decided to refer the case to prosecutors. </w:t>
      </w:r>
      <w:r w:rsidR="002F37DA" w:rsidRPr="006454B5">
        <w:rPr>
          <w:rFonts w:ascii="Arial" w:hAnsi="Arial" w:cs="Arial"/>
          <w:sz w:val="22"/>
        </w:rPr>
        <w:t>Typically, a no crime outcome is awarded in instances where a rape was not confirmed or where a rape is reported but contradictory evidence exists to the claim. Instances may include an anonymous victim calling the police and providing no details for follow-up, or instances where CCTV placed the accused at a different location at the time the offence was alleged to have taken place. The change in definitions</w:t>
      </w:r>
      <w:r w:rsidR="005B76EC" w:rsidRPr="006454B5">
        <w:rPr>
          <w:rFonts w:ascii="Arial" w:hAnsi="Arial" w:cs="Arial"/>
          <w:sz w:val="22"/>
        </w:rPr>
        <w:t xml:space="preserve"> are</w:t>
      </w:r>
      <w:r w:rsidR="002F37DA" w:rsidRPr="006454B5">
        <w:rPr>
          <w:rFonts w:ascii="Arial" w:hAnsi="Arial" w:cs="Arial"/>
          <w:sz w:val="22"/>
        </w:rPr>
        <w:t xml:space="preserve"> a result of the introduction of more stringent guidelines around ‘no-</w:t>
      </w:r>
      <w:proofErr w:type="spellStart"/>
      <w:r w:rsidR="002F37DA" w:rsidRPr="006454B5">
        <w:rPr>
          <w:rFonts w:ascii="Arial" w:hAnsi="Arial" w:cs="Arial"/>
          <w:sz w:val="22"/>
        </w:rPr>
        <w:t>criming</w:t>
      </w:r>
      <w:proofErr w:type="spellEnd"/>
      <w:r w:rsidR="002F37DA" w:rsidRPr="006454B5">
        <w:rPr>
          <w:rFonts w:ascii="Arial" w:hAnsi="Arial" w:cs="Arial"/>
          <w:sz w:val="22"/>
        </w:rPr>
        <w:t xml:space="preserve">’ and the introduction of new </w:t>
      </w:r>
      <w:r w:rsidR="002F37DA" w:rsidRPr="006454B5">
        <w:rPr>
          <w:rFonts w:ascii="Arial" w:hAnsi="Arial" w:cs="Arial"/>
          <w:sz w:val="22"/>
        </w:rPr>
        <w:lastRenderedPageBreak/>
        <w:t xml:space="preserve">classifications (e.g. ‘Rape Not Confirmed’ and ‘Rape-Contradictory Evidence’). A withdrawal outcome specifically refers to a decision by the victim to withdraw their case; reasons for withdrawal were myriad. A no further action outcome was typically awarded when the case is no longer </w:t>
      </w:r>
      <w:proofErr w:type="spellStart"/>
      <w:r w:rsidR="002F37DA" w:rsidRPr="006454B5">
        <w:rPr>
          <w:rFonts w:ascii="Arial" w:hAnsi="Arial" w:cs="Arial"/>
          <w:sz w:val="22"/>
        </w:rPr>
        <w:t>proceedable</w:t>
      </w:r>
      <w:proofErr w:type="spellEnd"/>
      <w:r w:rsidR="002F37DA" w:rsidRPr="006454B5">
        <w:rPr>
          <w:rFonts w:ascii="Arial" w:hAnsi="Arial" w:cs="Arial"/>
          <w:sz w:val="22"/>
        </w:rPr>
        <w:t xml:space="preserve"> (i.e., for further investigation or referral to prosecution). This covered a large variety of circumstances, including but not limited to: Insufficient evidence available to verify the crime, inability to identify a suspect, and inability to make further contact with a complainant. Finally, a referral to CPS outcome refers to a decision by police officers to refer the case to the CPS for a formal charge. Unfortunately, in this study, it was not possible to code for outcomes beyond this point, for example, a CPS decision to take no further action or formally charge and proceed with the case to court. </w:t>
      </w:r>
      <w:r w:rsidR="009302D4" w:rsidRPr="006454B5">
        <w:rPr>
          <w:rFonts w:ascii="Arial" w:hAnsi="Arial" w:cs="Arial"/>
          <w:sz w:val="22"/>
        </w:rPr>
        <w:t>Table 5 presents descriptive data for case outcomes.</w:t>
      </w:r>
    </w:p>
    <w:p w14:paraId="2EF9EF76" w14:textId="20F78F89" w:rsidR="009F4F9E" w:rsidRPr="006454B5" w:rsidRDefault="009F4F9E" w:rsidP="000C7544">
      <w:pPr>
        <w:spacing w:before="120" w:after="120"/>
        <w:ind w:firstLine="720"/>
        <w:contextualSpacing/>
        <w:rPr>
          <w:rFonts w:ascii="Arial" w:hAnsi="Arial" w:cs="Arial"/>
          <w:sz w:val="22"/>
        </w:rPr>
      </w:pPr>
      <w:r w:rsidRPr="006454B5">
        <w:rPr>
          <w:rFonts w:ascii="Arial" w:hAnsi="Arial" w:cs="Arial"/>
          <w:sz w:val="22"/>
        </w:rPr>
        <w:t xml:space="preserve">The coding framework was piloted on 50 randomly selected cases, which were coded by two </w:t>
      </w:r>
      <w:r w:rsidR="00B66033" w:rsidRPr="006454B5">
        <w:rPr>
          <w:rFonts w:ascii="Arial" w:hAnsi="Arial" w:cs="Arial"/>
          <w:sz w:val="22"/>
        </w:rPr>
        <w:t xml:space="preserve">separate </w:t>
      </w:r>
      <w:r w:rsidRPr="006454B5">
        <w:rPr>
          <w:rFonts w:ascii="Arial" w:hAnsi="Arial" w:cs="Arial"/>
          <w:sz w:val="22"/>
        </w:rPr>
        <w:t>researchers</w:t>
      </w:r>
      <w:r w:rsidR="0073758F" w:rsidRPr="006454B5">
        <w:rPr>
          <w:rFonts w:ascii="Arial" w:hAnsi="Arial" w:cs="Arial"/>
          <w:sz w:val="22"/>
        </w:rPr>
        <w:t xml:space="preserve"> acting alone</w:t>
      </w:r>
      <w:r w:rsidRPr="006454B5">
        <w:rPr>
          <w:rFonts w:ascii="Arial" w:hAnsi="Arial" w:cs="Arial"/>
          <w:sz w:val="22"/>
        </w:rPr>
        <w:t xml:space="preserve"> to determine consistency in scoring. From this process, ambiguities over variables were resolved and a detailed and annotated framework was finalised. Throughout the coding process, regular meetings between the researchers addressed any concerns or uncertainties with cases and/or variables. The coding framework can be made available on request for further collaboration and comparative analyses.</w:t>
      </w:r>
    </w:p>
    <w:p w14:paraId="45645E67" w14:textId="77777777" w:rsidR="009F4F9E" w:rsidRPr="006454B5" w:rsidRDefault="009F4F9E" w:rsidP="000C7544">
      <w:pPr>
        <w:keepNext/>
        <w:spacing w:before="120" w:after="120"/>
        <w:contextualSpacing/>
        <w:jc w:val="center"/>
        <w:rPr>
          <w:rFonts w:ascii="Arial" w:hAnsi="Arial" w:cs="Arial"/>
          <w:b/>
          <w:bCs/>
          <w:sz w:val="22"/>
        </w:rPr>
      </w:pPr>
      <w:r w:rsidRPr="006454B5">
        <w:rPr>
          <w:rFonts w:ascii="Arial" w:hAnsi="Arial" w:cs="Arial"/>
          <w:b/>
          <w:bCs/>
          <w:sz w:val="22"/>
        </w:rPr>
        <w:t>Results</w:t>
      </w:r>
    </w:p>
    <w:p w14:paraId="36867BC5" w14:textId="403D9A4F" w:rsidR="009F4F9E" w:rsidRPr="006454B5" w:rsidRDefault="009F4F9E" w:rsidP="000C7544">
      <w:pPr>
        <w:spacing w:before="120" w:after="120"/>
        <w:ind w:firstLine="720"/>
        <w:contextualSpacing/>
        <w:rPr>
          <w:rFonts w:ascii="Arial" w:hAnsi="Arial" w:cs="Arial"/>
          <w:sz w:val="22"/>
        </w:rPr>
      </w:pPr>
      <w:r w:rsidRPr="006454B5">
        <w:rPr>
          <w:rFonts w:ascii="Arial" w:hAnsi="Arial" w:cs="Arial"/>
          <w:sz w:val="22"/>
        </w:rPr>
        <w:t xml:space="preserve">The results are split into two parts. In the first part, we provide a descriptive summary of cases, including the eventual case outcome. Throughout the descriptive section, we </w:t>
      </w:r>
      <w:r w:rsidR="005D07AF" w:rsidRPr="006454B5">
        <w:rPr>
          <w:rFonts w:ascii="Arial" w:hAnsi="Arial" w:cs="Arial"/>
          <w:sz w:val="22"/>
        </w:rPr>
        <w:t xml:space="preserve">use chi-square tests to </w:t>
      </w:r>
      <w:r w:rsidRPr="006454B5">
        <w:rPr>
          <w:rFonts w:ascii="Arial" w:hAnsi="Arial" w:cs="Arial"/>
          <w:sz w:val="22"/>
        </w:rPr>
        <w:t>explore relationships between the case characteristics. In the second part of the results, we conduct inferential analyses</w:t>
      </w:r>
      <w:r w:rsidR="00A115EC" w:rsidRPr="006454B5">
        <w:rPr>
          <w:rFonts w:ascii="Arial" w:hAnsi="Arial" w:cs="Arial"/>
          <w:sz w:val="22"/>
        </w:rPr>
        <w:t>—</w:t>
      </w:r>
      <w:r w:rsidRPr="006454B5">
        <w:rPr>
          <w:rFonts w:ascii="Arial" w:hAnsi="Arial" w:cs="Arial"/>
          <w:sz w:val="22"/>
        </w:rPr>
        <w:t>specifically multi-variate multinomial logistic regression models</w:t>
      </w:r>
      <w:r w:rsidR="00A115EC" w:rsidRPr="006454B5">
        <w:rPr>
          <w:rFonts w:ascii="Arial" w:hAnsi="Arial" w:cs="Arial"/>
          <w:sz w:val="22"/>
        </w:rPr>
        <w:t>—</w:t>
      </w:r>
      <w:r w:rsidRPr="006454B5">
        <w:rPr>
          <w:rFonts w:ascii="Arial" w:hAnsi="Arial" w:cs="Arial"/>
          <w:sz w:val="22"/>
        </w:rPr>
        <w:t xml:space="preserve">to explore whether specific characteristics about the case predict case outcome. </w:t>
      </w:r>
    </w:p>
    <w:p w14:paraId="6047130D" w14:textId="6D04E54A" w:rsidR="009F4F9E" w:rsidRPr="006454B5" w:rsidRDefault="00D5108D" w:rsidP="000C7544">
      <w:pPr>
        <w:spacing w:before="120" w:after="120"/>
        <w:contextualSpacing/>
        <w:rPr>
          <w:rFonts w:ascii="Arial" w:hAnsi="Arial" w:cs="Arial"/>
          <w:b/>
          <w:bCs/>
          <w:sz w:val="22"/>
        </w:rPr>
      </w:pPr>
      <w:r w:rsidRPr="006454B5">
        <w:rPr>
          <w:rFonts w:ascii="Arial" w:hAnsi="Arial" w:cs="Arial"/>
          <w:b/>
          <w:bCs/>
          <w:sz w:val="22"/>
        </w:rPr>
        <w:t xml:space="preserve">Aim 1 - </w:t>
      </w:r>
      <w:r w:rsidR="009F4F9E" w:rsidRPr="006454B5">
        <w:rPr>
          <w:rFonts w:ascii="Arial" w:hAnsi="Arial" w:cs="Arial"/>
          <w:b/>
          <w:bCs/>
          <w:sz w:val="22"/>
        </w:rPr>
        <w:t>Descriptive Summary of Cases</w:t>
      </w:r>
    </w:p>
    <w:p w14:paraId="21B2B570" w14:textId="77777777" w:rsidR="009F4F9E" w:rsidRPr="006454B5" w:rsidRDefault="009F4F9E" w:rsidP="000C7544">
      <w:pPr>
        <w:spacing w:before="120" w:after="120"/>
        <w:contextualSpacing/>
        <w:rPr>
          <w:rFonts w:ascii="Arial" w:hAnsi="Arial" w:cs="Arial"/>
          <w:b/>
          <w:bCs/>
          <w:i/>
          <w:iCs/>
          <w:sz w:val="22"/>
        </w:rPr>
      </w:pPr>
      <w:r w:rsidRPr="006454B5">
        <w:rPr>
          <w:rFonts w:ascii="Arial" w:hAnsi="Arial" w:cs="Arial"/>
          <w:b/>
          <w:bCs/>
          <w:i/>
          <w:iCs/>
          <w:sz w:val="22"/>
        </w:rPr>
        <w:t>Victim Characteristics</w:t>
      </w:r>
    </w:p>
    <w:p w14:paraId="5FE749C0" w14:textId="4A3FCE31" w:rsidR="009F4F9E" w:rsidRPr="006454B5" w:rsidRDefault="009F4F9E" w:rsidP="000C7544">
      <w:pPr>
        <w:spacing w:before="120" w:after="120"/>
        <w:ind w:firstLine="720"/>
        <w:contextualSpacing/>
        <w:rPr>
          <w:rFonts w:ascii="Arial" w:hAnsi="Arial" w:cs="Arial"/>
          <w:sz w:val="22"/>
        </w:rPr>
      </w:pPr>
      <w:r w:rsidRPr="006454B5">
        <w:rPr>
          <w:rFonts w:ascii="Arial" w:hAnsi="Arial" w:cs="Arial"/>
          <w:b/>
          <w:bCs/>
          <w:sz w:val="22"/>
        </w:rPr>
        <w:lastRenderedPageBreak/>
        <w:t>Victim Demographics.</w:t>
      </w:r>
      <w:r w:rsidRPr="006454B5">
        <w:rPr>
          <w:rFonts w:ascii="Arial" w:hAnsi="Arial" w:cs="Arial"/>
          <w:sz w:val="22"/>
        </w:rPr>
        <w:t xml:space="preserve"> Female victims of rape in this sample tended to be young, with an average age of 26 years and almost 1 in 4 being under the age of consent (16 years) and 11% being a child (under the age of 13 years) at the time of the offence (see Table 1 for victim demographics). Victims were predominantly of white ethnic background (55%), but black victims were overrepresented (23%) compared to prevalence in the general London population (16%)</w:t>
      </w:r>
      <w:r w:rsidR="00087983" w:rsidRPr="006454B5">
        <w:rPr>
          <w:rFonts w:ascii="Arial" w:hAnsi="Arial" w:cs="Arial"/>
          <w:sz w:val="22"/>
        </w:rPr>
        <w:t xml:space="preserve">. </w:t>
      </w:r>
      <w:r w:rsidR="002F37DA" w:rsidRPr="006454B5">
        <w:rPr>
          <w:rFonts w:ascii="Arial" w:hAnsi="Arial" w:cs="Arial"/>
          <w:sz w:val="22"/>
        </w:rPr>
        <w:t>Ethnicity was determined using the police identity codes (IC). White European (IC1) and Dark European (IC2) were combined to form one category (‘White’). Projected London population figures for 2016 were used for comparison.</w:t>
      </w:r>
      <w:r w:rsidR="002F37DA" w:rsidRPr="006454B5">
        <w:rPr>
          <w:rFonts w:ascii="Arial" w:hAnsi="Arial" w:cs="Arial"/>
          <w:sz w:val="18"/>
          <w:szCs w:val="18"/>
        </w:rPr>
        <w:t xml:space="preserve"> </w:t>
      </w:r>
      <w:r w:rsidRPr="006454B5">
        <w:rPr>
          <w:rFonts w:ascii="Arial" w:hAnsi="Arial" w:cs="Arial"/>
          <w:sz w:val="22"/>
        </w:rPr>
        <w:t xml:space="preserve">Alongside demographics, Table 1 presents a number of other characteristics of the victim, including those relating to victim needs or vulnerabilities and the victim’s prior history of police contact. </w:t>
      </w:r>
    </w:p>
    <w:p w14:paraId="47053034" w14:textId="3B03AF74" w:rsidR="009F4F9E" w:rsidRPr="006454B5" w:rsidRDefault="009F4F9E" w:rsidP="000C7544">
      <w:pPr>
        <w:spacing w:before="120" w:after="120"/>
        <w:ind w:firstLine="720"/>
        <w:contextualSpacing/>
        <w:rPr>
          <w:rFonts w:ascii="Arial" w:hAnsi="Arial" w:cs="Arial"/>
          <w:sz w:val="22"/>
        </w:rPr>
      </w:pPr>
      <w:r w:rsidRPr="006454B5">
        <w:rPr>
          <w:rFonts w:ascii="Arial" w:hAnsi="Arial" w:cs="Arial"/>
          <w:b/>
          <w:bCs/>
          <w:sz w:val="22"/>
        </w:rPr>
        <w:t>Victim Needs or Vulnerabilities.</w:t>
      </w:r>
      <w:r w:rsidRPr="006454B5">
        <w:rPr>
          <w:rFonts w:ascii="Arial" w:hAnsi="Arial" w:cs="Arial"/>
          <w:sz w:val="22"/>
        </w:rPr>
        <w:t xml:space="preserve"> Over half of victims were noted by police to be vulnerable or intimidated (58%) and 40% of victims presented with a mental health issue. Mental health issues overlapped with prior experiences of victimisation. Victims with mental health issues were significantly more likely to have been victimised in the preceding 12 months (38%</w:t>
      </w:r>
      <w:r w:rsidR="005273C0" w:rsidRPr="006454B5">
        <w:rPr>
          <w:rFonts w:ascii="Arial" w:hAnsi="Arial" w:cs="Arial"/>
          <w:sz w:val="22"/>
        </w:rPr>
        <w:t xml:space="preserve">, </w:t>
      </w:r>
      <w:r w:rsidR="00395467" w:rsidRPr="006454B5">
        <w:rPr>
          <w:rFonts w:ascii="Arial" w:hAnsi="Arial" w:cs="Arial"/>
          <w:sz w:val="22"/>
        </w:rPr>
        <w:t xml:space="preserve">n=66) </w:t>
      </w:r>
      <w:r w:rsidRPr="006454B5">
        <w:rPr>
          <w:rFonts w:ascii="Arial" w:hAnsi="Arial" w:cs="Arial"/>
          <w:sz w:val="22"/>
        </w:rPr>
        <w:t xml:space="preserve">compared to 23% </w:t>
      </w:r>
      <w:r w:rsidR="00395467" w:rsidRPr="006454B5">
        <w:rPr>
          <w:rFonts w:ascii="Arial" w:hAnsi="Arial" w:cs="Arial"/>
          <w:sz w:val="22"/>
        </w:rPr>
        <w:t xml:space="preserve">(n=62) </w:t>
      </w:r>
      <w:r w:rsidRPr="006454B5">
        <w:rPr>
          <w:rFonts w:ascii="Arial" w:hAnsi="Arial" w:cs="Arial"/>
          <w:sz w:val="22"/>
        </w:rPr>
        <w:t xml:space="preserve">of victims without mental health issues, </w:t>
      </w:r>
      <w:r w:rsidR="00B95265" w:rsidRPr="006454B5">
        <w:rPr>
          <w:rFonts w:ascii="Arial" w:hAnsi="Arial" w:cs="Arial"/>
          <w:bCs/>
          <w:i/>
          <w:iCs/>
          <w:color w:val="000000"/>
          <w:sz w:val="22"/>
          <w:shd w:val="clear" w:color="auto" w:fill="FFFFFF"/>
        </w:rPr>
        <w:t>χ</w:t>
      </w:r>
      <w:r w:rsidR="00B95265" w:rsidRPr="006454B5">
        <w:rPr>
          <w:rFonts w:ascii="Arial" w:hAnsi="Arial" w:cs="Arial"/>
          <w:bCs/>
          <w:color w:val="000000"/>
          <w:sz w:val="22"/>
          <w:shd w:val="clear" w:color="auto" w:fill="FFFFFF"/>
        </w:rPr>
        <w:t>²</w:t>
      </w:r>
      <w:r w:rsidR="00B95265" w:rsidRPr="006454B5" w:rsidDel="00B95265">
        <w:rPr>
          <w:rFonts w:ascii="Arial" w:hAnsi="Arial" w:cs="Arial"/>
          <w:sz w:val="22"/>
        </w:rPr>
        <w:t xml:space="preserve"> </w:t>
      </w:r>
      <w:r w:rsidRPr="006454B5">
        <w:rPr>
          <w:rFonts w:ascii="Arial" w:hAnsi="Arial" w:cs="Arial"/>
          <w:sz w:val="22"/>
        </w:rPr>
        <w:t xml:space="preserve">(1) = 10.30, </w:t>
      </w:r>
      <w:r w:rsidRPr="006454B5">
        <w:rPr>
          <w:rFonts w:ascii="Arial" w:hAnsi="Arial" w:cs="Arial"/>
          <w:i/>
          <w:iCs/>
          <w:sz w:val="22"/>
        </w:rPr>
        <w:t>p</w:t>
      </w:r>
      <w:r w:rsidRPr="006454B5">
        <w:rPr>
          <w:rFonts w:ascii="Arial" w:hAnsi="Arial" w:cs="Arial"/>
          <w:sz w:val="22"/>
        </w:rPr>
        <w:t xml:space="preserve"> = .001), and to have been a previous victim of sexual assault or domestic abuse (39% </w:t>
      </w:r>
      <w:r w:rsidR="00395467" w:rsidRPr="006454B5">
        <w:rPr>
          <w:rFonts w:ascii="Arial" w:hAnsi="Arial" w:cs="Arial"/>
          <w:sz w:val="22"/>
        </w:rPr>
        <w:t xml:space="preserve">(n=68) </w:t>
      </w:r>
      <w:r w:rsidRPr="006454B5">
        <w:rPr>
          <w:rFonts w:ascii="Arial" w:hAnsi="Arial" w:cs="Arial"/>
          <w:sz w:val="22"/>
        </w:rPr>
        <w:t>vs. 26%</w:t>
      </w:r>
      <w:r w:rsidR="00395467" w:rsidRPr="006454B5">
        <w:rPr>
          <w:rFonts w:ascii="Arial" w:hAnsi="Arial" w:cs="Arial"/>
          <w:sz w:val="22"/>
        </w:rPr>
        <w:t xml:space="preserve"> (n=69)</w:t>
      </w:r>
      <w:r w:rsidRPr="006454B5">
        <w:rPr>
          <w:rFonts w:ascii="Arial" w:hAnsi="Arial" w:cs="Arial"/>
          <w:sz w:val="22"/>
        </w:rPr>
        <w:t xml:space="preserve">, </w:t>
      </w:r>
      <w:r w:rsidR="00B95265" w:rsidRPr="006454B5">
        <w:rPr>
          <w:rFonts w:ascii="Arial" w:hAnsi="Arial" w:cs="Arial"/>
          <w:bCs/>
          <w:i/>
          <w:iCs/>
          <w:color w:val="000000"/>
          <w:sz w:val="22"/>
          <w:shd w:val="clear" w:color="auto" w:fill="FFFFFF"/>
        </w:rPr>
        <w:t>χ</w:t>
      </w:r>
      <w:r w:rsidR="00B95265" w:rsidRPr="006454B5">
        <w:rPr>
          <w:rFonts w:ascii="Arial" w:hAnsi="Arial" w:cs="Arial"/>
          <w:bCs/>
          <w:color w:val="000000"/>
          <w:sz w:val="22"/>
          <w:shd w:val="clear" w:color="auto" w:fill="FFFFFF"/>
        </w:rPr>
        <w:t>²</w:t>
      </w:r>
      <w:r w:rsidRPr="006454B5">
        <w:rPr>
          <w:rFonts w:ascii="Arial" w:hAnsi="Arial" w:cs="Arial"/>
          <w:sz w:val="22"/>
        </w:rPr>
        <w:t xml:space="preserve"> (1) = 7.96, </w:t>
      </w:r>
      <w:r w:rsidRPr="006454B5">
        <w:rPr>
          <w:rFonts w:ascii="Arial" w:hAnsi="Arial" w:cs="Arial"/>
          <w:i/>
          <w:iCs/>
          <w:sz w:val="22"/>
        </w:rPr>
        <w:t>p</w:t>
      </w:r>
      <w:r w:rsidRPr="006454B5">
        <w:rPr>
          <w:rFonts w:ascii="Arial" w:hAnsi="Arial" w:cs="Arial"/>
          <w:sz w:val="22"/>
        </w:rPr>
        <w:t xml:space="preserve"> = .005). Other victim needs were less prevalent among the sample. For example, only 6% of victims had a learning difficulty, 3% were recorded as being sex workers, and 2% were asylum seekers. </w:t>
      </w:r>
      <w:r w:rsidR="00FA33ED" w:rsidRPr="006454B5">
        <w:rPr>
          <w:rFonts w:ascii="Arial" w:hAnsi="Arial" w:cs="Arial"/>
          <w:sz w:val="22"/>
        </w:rPr>
        <w:t>Overall,</w:t>
      </w:r>
      <w:r w:rsidRPr="006454B5">
        <w:rPr>
          <w:rFonts w:ascii="Arial" w:hAnsi="Arial" w:cs="Arial"/>
          <w:sz w:val="22"/>
        </w:rPr>
        <w:t xml:space="preserve"> needs were </w:t>
      </w:r>
      <w:r w:rsidR="00FA33ED" w:rsidRPr="006454B5">
        <w:rPr>
          <w:rFonts w:ascii="Arial" w:hAnsi="Arial" w:cs="Arial"/>
          <w:sz w:val="22"/>
        </w:rPr>
        <w:t xml:space="preserve">alarmingly </w:t>
      </w:r>
      <w:r w:rsidRPr="006454B5">
        <w:rPr>
          <w:rFonts w:ascii="Arial" w:hAnsi="Arial" w:cs="Arial"/>
          <w:sz w:val="22"/>
        </w:rPr>
        <w:t xml:space="preserve">common with 94% of victims having at least one need present, over one third of victims having two needs present, and one in five having three or more needs. </w:t>
      </w:r>
    </w:p>
    <w:p w14:paraId="2D17127C" w14:textId="77777777" w:rsidR="009F4F9E" w:rsidRPr="006454B5" w:rsidRDefault="009F4F9E" w:rsidP="000C7544">
      <w:pPr>
        <w:spacing w:before="120" w:after="120"/>
        <w:ind w:firstLine="720"/>
        <w:contextualSpacing/>
        <w:rPr>
          <w:rFonts w:ascii="Arial" w:hAnsi="Arial" w:cs="Arial"/>
          <w:sz w:val="22"/>
        </w:rPr>
      </w:pPr>
      <w:r w:rsidRPr="006454B5">
        <w:rPr>
          <w:rFonts w:ascii="Arial" w:hAnsi="Arial" w:cs="Arial"/>
          <w:b/>
          <w:bCs/>
          <w:sz w:val="22"/>
        </w:rPr>
        <w:t>Victim Prior History with Police.</w:t>
      </w:r>
      <w:r w:rsidRPr="006454B5">
        <w:rPr>
          <w:rFonts w:ascii="Arial" w:hAnsi="Arial" w:cs="Arial"/>
          <w:sz w:val="22"/>
        </w:rPr>
        <w:t xml:space="preserve"> There were also a number of characteristics coded that related to the victim’s prior history with the police (see Table 1). Only a minority of victims were known to police as a suspect (17%) or had a prior police record (15%). An even smaller proportion of victims had made a prior false allegation of sexual assault (6%) or another crime (4%). </w:t>
      </w:r>
    </w:p>
    <w:p w14:paraId="692CDF7C" w14:textId="77777777" w:rsidR="009F4F9E" w:rsidRPr="006454B5" w:rsidRDefault="009F4F9E" w:rsidP="000C7544">
      <w:pPr>
        <w:spacing w:before="120" w:after="120"/>
        <w:contextualSpacing/>
        <w:jc w:val="center"/>
        <w:rPr>
          <w:rFonts w:ascii="Arial" w:hAnsi="Arial" w:cs="Arial"/>
          <w:sz w:val="22"/>
        </w:rPr>
      </w:pPr>
      <w:r w:rsidRPr="006454B5">
        <w:rPr>
          <w:rFonts w:ascii="Arial" w:hAnsi="Arial" w:cs="Arial"/>
          <w:sz w:val="22"/>
        </w:rPr>
        <w:t>[Insert Table 1 about here]</w:t>
      </w:r>
    </w:p>
    <w:p w14:paraId="798679FA" w14:textId="77777777" w:rsidR="009F4F9E" w:rsidRPr="006454B5" w:rsidRDefault="009F4F9E" w:rsidP="000C7544">
      <w:pPr>
        <w:spacing w:before="120" w:after="120"/>
        <w:contextualSpacing/>
        <w:rPr>
          <w:rFonts w:ascii="Arial" w:hAnsi="Arial" w:cs="Arial"/>
          <w:b/>
          <w:bCs/>
          <w:i/>
          <w:iCs/>
          <w:sz w:val="22"/>
        </w:rPr>
      </w:pPr>
      <w:r w:rsidRPr="006454B5">
        <w:rPr>
          <w:rFonts w:ascii="Arial" w:hAnsi="Arial" w:cs="Arial"/>
          <w:b/>
          <w:bCs/>
          <w:i/>
          <w:iCs/>
          <w:sz w:val="22"/>
        </w:rPr>
        <w:t>Suspect Characteristics</w:t>
      </w:r>
    </w:p>
    <w:p w14:paraId="3702552C" w14:textId="4FECFA1F" w:rsidR="009F4F9E" w:rsidRPr="006454B5" w:rsidRDefault="009F4F9E" w:rsidP="000C7544">
      <w:pPr>
        <w:spacing w:before="120" w:after="120"/>
        <w:ind w:firstLine="720"/>
        <w:contextualSpacing/>
        <w:rPr>
          <w:rFonts w:ascii="Arial" w:hAnsi="Arial" w:cs="Arial"/>
          <w:sz w:val="22"/>
        </w:rPr>
      </w:pPr>
      <w:r w:rsidRPr="006454B5">
        <w:rPr>
          <w:rFonts w:ascii="Arial" w:hAnsi="Arial" w:cs="Arial"/>
          <w:b/>
          <w:bCs/>
          <w:sz w:val="22"/>
        </w:rPr>
        <w:lastRenderedPageBreak/>
        <w:t>Suspect Demographics.</w:t>
      </w:r>
      <w:r w:rsidRPr="006454B5">
        <w:rPr>
          <w:rFonts w:ascii="Arial" w:hAnsi="Arial" w:cs="Arial"/>
          <w:sz w:val="22"/>
        </w:rPr>
        <w:t xml:space="preserve"> Demographic characteristics of suspects are presented in Table 2. Suspects were predominantly male (99%), with an average age of 32 years. The age profile for suspects was slightly older than for victims, with a smaller proportion of suspects under the age of 16 (7% compared to 23% of victims). </w:t>
      </w:r>
      <w:r w:rsidR="001B015C" w:rsidRPr="006454B5">
        <w:rPr>
          <w:rFonts w:ascii="Arial" w:hAnsi="Arial" w:cs="Arial"/>
          <w:sz w:val="22"/>
        </w:rPr>
        <w:t>On average, the suspect was 7 years older than the victim</w:t>
      </w:r>
      <w:r w:rsidR="00B23F21" w:rsidRPr="006454B5">
        <w:rPr>
          <w:rFonts w:ascii="Arial" w:hAnsi="Arial" w:cs="Arial"/>
          <w:sz w:val="22"/>
        </w:rPr>
        <w:t>. The age difference between the suspect and victim ranged from the</w:t>
      </w:r>
      <w:r w:rsidR="001B015C" w:rsidRPr="006454B5">
        <w:rPr>
          <w:rFonts w:ascii="Arial" w:hAnsi="Arial" w:cs="Arial"/>
          <w:sz w:val="22"/>
        </w:rPr>
        <w:t xml:space="preserve"> </w:t>
      </w:r>
      <w:r w:rsidR="00B23F21" w:rsidRPr="006454B5">
        <w:rPr>
          <w:rFonts w:ascii="Arial" w:hAnsi="Arial" w:cs="Arial"/>
          <w:sz w:val="22"/>
        </w:rPr>
        <w:t xml:space="preserve">suspect </w:t>
      </w:r>
      <w:r w:rsidR="001B015C" w:rsidRPr="006454B5">
        <w:rPr>
          <w:rFonts w:ascii="Arial" w:hAnsi="Arial" w:cs="Arial"/>
          <w:sz w:val="22"/>
        </w:rPr>
        <w:t xml:space="preserve">being 20 years younger </w:t>
      </w:r>
      <w:r w:rsidR="00B23F21" w:rsidRPr="006454B5">
        <w:rPr>
          <w:rFonts w:ascii="Arial" w:hAnsi="Arial" w:cs="Arial"/>
          <w:sz w:val="22"/>
        </w:rPr>
        <w:t xml:space="preserve">than the victim </w:t>
      </w:r>
      <w:r w:rsidR="001B015C" w:rsidRPr="006454B5">
        <w:rPr>
          <w:rFonts w:ascii="Arial" w:hAnsi="Arial" w:cs="Arial"/>
          <w:sz w:val="22"/>
        </w:rPr>
        <w:t>to 71 years older</w:t>
      </w:r>
      <w:r w:rsidR="00B23F21" w:rsidRPr="006454B5">
        <w:rPr>
          <w:rFonts w:ascii="Arial" w:hAnsi="Arial" w:cs="Arial"/>
          <w:sz w:val="22"/>
        </w:rPr>
        <w:t>.</w:t>
      </w:r>
      <w:r w:rsidR="001B015C" w:rsidRPr="006454B5">
        <w:rPr>
          <w:rFonts w:ascii="Arial" w:hAnsi="Arial" w:cs="Arial"/>
          <w:sz w:val="22"/>
        </w:rPr>
        <w:t xml:space="preserve"> </w:t>
      </w:r>
      <w:r w:rsidRPr="006454B5">
        <w:rPr>
          <w:rFonts w:ascii="Arial" w:hAnsi="Arial" w:cs="Arial"/>
          <w:sz w:val="22"/>
        </w:rPr>
        <w:t>The majority of suspects were of white (42%) or black (35%) ethnic background. There was an over-representation of black suspects (35% compared to 16% of the London population) and an under-representation of white suspects (42% compared to 60% of the London population). There was a significant association between suspect and victim ethnicity, with suspects typically being investigated for offences against their own ethnic group (</w:t>
      </w:r>
      <w:r w:rsidR="00B95265" w:rsidRPr="006454B5">
        <w:rPr>
          <w:rFonts w:ascii="Arial" w:hAnsi="Arial" w:cs="Arial"/>
          <w:bCs/>
          <w:i/>
          <w:iCs/>
          <w:color w:val="000000"/>
          <w:sz w:val="22"/>
          <w:shd w:val="clear" w:color="auto" w:fill="FFFFFF"/>
        </w:rPr>
        <w:t>χ</w:t>
      </w:r>
      <w:r w:rsidR="00B95265" w:rsidRPr="006454B5">
        <w:rPr>
          <w:rFonts w:ascii="Arial" w:hAnsi="Arial" w:cs="Arial"/>
          <w:bCs/>
          <w:color w:val="000000"/>
          <w:sz w:val="22"/>
          <w:shd w:val="clear" w:color="auto" w:fill="FFFFFF"/>
        </w:rPr>
        <w:t>²</w:t>
      </w:r>
      <w:r w:rsidRPr="006454B5">
        <w:rPr>
          <w:rFonts w:ascii="Arial" w:hAnsi="Arial" w:cs="Arial"/>
          <w:sz w:val="22"/>
        </w:rPr>
        <w:t xml:space="preserve"> (9) = 298.88, </w:t>
      </w:r>
      <w:r w:rsidRPr="006454B5">
        <w:rPr>
          <w:rFonts w:ascii="Arial" w:hAnsi="Arial" w:cs="Arial"/>
          <w:i/>
          <w:iCs/>
          <w:sz w:val="22"/>
        </w:rPr>
        <w:t>p</w:t>
      </w:r>
      <w:r w:rsidRPr="006454B5">
        <w:rPr>
          <w:rFonts w:ascii="Arial" w:hAnsi="Arial" w:cs="Arial"/>
          <w:sz w:val="22"/>
        </w:rPr>
        <w:t xml:space="preserve"> &lt; .001). </w:t>
      </w:r>
    </w:p>
    <w:p w14:paraId="6F8A3B71" w14:textId="77777777" w:rsidR="009F4F9E" w:rsidRPr="006454B5" w:rsidRDefault="009F4F9E" w:rsidP="000C7544">
      <w:pPr>
        <w:spacing w:before="120" w:after="120"/>
        <w:ind w:firstLine="720"/>
        <w:contextualSpacing/>
        <w:rPr>
          <w:rFonts w:ascii="Arial" w:hAnsi="Arial" w:cs="Arial"/>
          <w:sz w:val="22"/>
        </w:rPr>
      </w:pPr>
      <w:r w:rsidRPr="006454B5">
        <w:rPr>
          <w:rFonts w:ascii="Arial" w:hAnsi="Arial" w:cs="Arial"/>
          <w:b/>
          <w:bCs/>
          <w:sz w:val="22"/>
        </w:rPr>
        <w:t>Suspect Needs or Vulnerabilities.</w:t>
      </w:r>
      <w:r w:rsidRPr="006454B5">
        <w:rPr>
          <w:rFonts w:ascii="Arial" w:hAnsi="Arial" w:cs="Arial"/>
          <w:sz w:val="22"/>
        </w:rPr>
        <w:t xml:space="preserve"> There was a lower prevalence of needs or vulnerabilities among suspects compared to victims. Only 7% were recorded as having a mental health issue (compared to 40% of victims) and 2% a disability. </w:t>
      </w:r>
    </w:p>
    <w:p w14:paraId="251762AD" w14:textId="77777777" w:rsidR="009F4F9E" w:rsidRPr="006454B5" w:rsidRDefault="009F4F9E" w:rsidP="000C7544">
      <w:pPr>
        <w:spacing w:before="120" w:after="120"/>
        <w:ind w:firstLine="720"/>
        <w:contextualSpacing/>
        <w:rPr>
          <w:rFonts w:ascii="Arial" w:hAnsi="Arial" w:cs="Arial"/>
          <w:sz w:val="22"/>
        </w:rPr>
      </w:pPr>
      <w:r w:rsidRPr="006454B5">
        <w:rPr>
          <w:rFonts w:ascii="Arial" w:hAnsi="Arial" w:cs="Arial"/>
          <w:b/>
          <w:bCs/>
          <w:sz w:val="22"/>
        </w:rPr>
        <w:t>Suspect Prior History with Police.</w:t>
      </w:r>
      <w:r w:rsidRPr="006454B5">
        <w:rPr>
          <w:rFonts w:ascii="Arial" w:hAnsi="Arial" w:cs="Arial"/>
          <w:sz w:val="22"/>
        </w:rPr>
        <w:t xml:space="preserve"> There was a higher proportion of suspects with prior history of police contact compared to victims. Almost one third of suspects had a police record (compared to 15% of victims) and 22% had a history of offending. However, there was a low prevalence of prior history of domestic abuse or sexual assault: only 12% of suspects were recorded as having a history of domestic abuse, and 7% a history of sexual assault or rape.</w:t>
      </w:r>
    </w:p>
    <w:p w14:paraId="0D314DCF" w14:textId="47F600F1" w:rsidR="009F4F9E" w:rsidRPr="006454B5" w:rsidRDefault="009F4F9E" w:rsidP="000C7544">
      <w:pPr>
        <w:spacing w:before="120" w:after="120"/>
        <w:ind w:firstLine="720"/>
        <w:contextualSpacing/>
        <w:rPr>
          <w:rFonts w:ascii="Arial" w:hAnsi="Arial" w:cs="Arial"/>
          <w:sz w:val="22"/>
        </w:rPr>
      </w:pPr>
      <w:r w:rsidRPr="006454B5">
        <w:rPr>
          <w:rFonts w:ascii="Arial" w:hAnsi="Arial" w:cs="Arial"/>
          <w:b/>
          <w:bCs/>
          <w:sz w:val="22"/>
        </w:rPr>
        <w:t>Relationship to Victim.</w:t>
      </w:r>
      <w:r w:rsidRPr="006454B5">
        <w:rPr>
          <w:rFonts w:ascii="Arial" w:hAnsi="Arial" w:cs="Arial"/>
          <w:sz w:val="22"/>
        </w:rPr>
        <w:t xml:space="preserve"> In most cases, the victim knew the perpetrator (84%). The most common relationship was an intimate partner (3</w:t>
      </w:r>
      <w:r w:rsidR="00A0095C" w:rsidRPr="006454B5">
        <w:rPr>
          <w:rFonts w:ascii="Arial" w:hAnsi="Arial" w:cs="Arial"/>
          <w:sz w:val="22"/>
        </w:rPr>
        <w:t>7</w:t>
      </w:r>
      <w:r w:rsidRPr="006454B5">
        <w:rPr>
          <w:rFonts w:ascii="Arial" w:hAnsi="Arial" w:cs="Arial"/>
          <w:sz w:val="22"/>
        </w:rPr>
        <w:t>%), followed by an acquaintance or friend (33%). In 10% of cases the perpetrator was a family member, and in 1% a professional or carer. Victims under the age of 16 were more likely to have been perpetrated against by a family member (</w:t>
      </w:r>
      <w:r w:rsidR="00395467" w:rsidRPr="006454B5">
        <w:rPr>
          <w:rFonts w:ascii="Arial" w:hAnsi="Arial" w:cs="Arial"/>
          <w:sz w:val="22"/>
        </w:rPr>
        <w:t xml:space="preserve">36% (n=34) </w:t>
      </w:r>
      <w:r w:rsidR="00B95265" w:rsidRPr="006454B5">
        <w:rPr>
          <w:rFonts w:ascii="Arial" w:hAnsi="Arial" w:cs="Arial"/>
          <w:bCs/>
          <w:i/>
          <w:iCs/>
          <w:color w:val="000000"/>
          <w:sz w:val="22"/>
          <w:shd w:val="clear" w:color="auto" w:fill="FFFFFF"/>
        </w:rPr>
        <w:t>χ</w:t>
      </w:r>
      <w:r w:rsidR="00B95265" w:rsidRPr="006454B5">
        <w:rPr>
          <w:rFonts w:ascii="Arial" w:hAnsi="Arial" w:cs="Arial"/>
          <w:bCs/>
          <w:color w:val="000000"/>
          <w:sz w:val="22"/>
          <w:shd w:val="clear" w:color="auto" w:fill="FFFFFF"/>
        </w:rPr>
        <w:t>²</w:t>
      </w:r>
      <w:r w:rsidRPr="006454B5">
        <w:rPr>
          <w:rFonts w:ascii="Arial" w:hAnsi="Arial" w:cs="Arial"/>
          <w:sz w:val="22"/>
        </w:rPr>
        <w:t xml:space="preserve"> (1) = 84.96, </w:t>
      </w:r>
      <w:r w:rsidRPr="006454B5">
        <w:rPr>
          <w:rFonts w:ascii="Arial" w:hAnsi="Arial" w:cs="Arial"/>
          <w:i/>
          <w:iCs/>
          <w:sz w:val="22"/>
        </w:rPr>
        <w:t>p</w:t>
      </w:r>
      <w:r w:rsidRPr="006454B5">
        <w:rPr>
          <w:rFonts w:ascii="Arial" w:hAnsi="Arial" w:cs="Arial"/>
          <w:sz w:val="22"/>
        </w:rPr>
        <w:t xml:space="preserve"> &lt; .001), compared to victims over </w:t>
      </w:r>
      <w:r w:rsidRPr="006454B5">
        <w:rPr>
          <w:rFonts w:ascii="Arial" w:hAnsi="Arial" w:cs="Arial"/>
          <w:sz w:val="22"/>
        </w:rPr>
        <w:lastRenderedPageBreak/>
        <w:t>the age of consent</w:t>
      </w:r>
      <w:r w:rsidR="00395467" w:rsidRPr="006454B5">
        <w:rPr>
          <w:rFonts w:ascii="Arial" w:hAnsi="Arial" w:cs="Arial"/>
          <w:sz w:val="22"/>
        </w:rPr>
        <w:t xml:space="preserve"> (3%, n=8)</w:t>
      </w:r>
      <w:r w:rsidRPr="006454B5">
        <w:rPr>
          <w:rFonts w:ascii="Arial" w:hAnsi="Arial" w:cs="Arial"/>
          <w:sz w:val="22"/>
        </w:rPr>
        <w:t>.</w:t>
      </w:r>
      <w:r w:rsidR="00941D08" w:rsidRPr="006454B5">
        <w:rPr>
          <w:rStyle w:val="FootnoteReference"/>
          <w:rFonts w:ascii="Arial" w:hAnsi="Arial" w:cs="Arial"/>
          <w:sz w:val="22"/>
        </w:rPr>
        <w:footnoteReference w:id="2"/>
      </w:r>
      <w:r w:rsidRPr="006454B5">
        <w:rPr>
          <w:rFonts w:ascii="Arial" w:hAnsi="Arial" w:cs="Arial"/>
          <w:sz w:val="22"/>
        </w:rPr>
        <w:t xml:space="preserve"> </w:t>
      </w:r>
      <w:r w:rsidR="00395467" w:rsidRPr="006454B5">
        <w:rPr>
          <w:rFonts w:ascii="Arial" w:hAnsi="Arial" w:cs="Arial"/>
          <w:sz w:val="22"/>
        </w:rPr>
        <w:t>Further, t</w:t>
      </w:r>
      <w:r w:rsidR="00B23F21" w:rsidRPr="006454B5">
        <w:rPr>
          <w:rFonts w:ascii="Arial" w:hAnsi="Arial" w:cs="Arial"/>
          <w:sz w:val="22"/>
        </w:rPr>
        <w:t>here was a larger age difference between the suspect and victim in cases involving a family member (</w:t>
      </w:r>
      <w:r w:rsidR="00B23F21" w:rsidRPr="006454B5">
        <w:rPr>
          <w:rFonts w:ascii="Arial" w:hAnsi="Arial" w:cs="Arial"/>
          <w:i/>
          <w:iCs/>
          <w:sz w:val="22"/>
        </w:rPr>
        <w:t>t</w:t>
      </w:r>
      <w:r w:rsidR="00B23F21" w:rsidRPr="006454B5">
        <w:rPr>
          <w:rFonts w:ascii="Arial" w:hAnsi="Arial" w:cs="Arial"/>
          <w:sz w:val="22"/>
        </w:rPr>
        <w:t xml:space="preserve">=7.77, </w:t>
      </w:r>
      <w:r w:rsidR="00B23F21" w:rsidRPr="006454B5">
        <w:rPr>
          <w:rFonts w:ascii="Arial" w:hAnsi="Arial" w:cs="Arial"/>
          <w:i/>
          <w:iCs/>
          <w:sz w:val="22"/>
        </w:rPr>
        <w:t>p</w:t>
      </w:r>
      <w:r w:rsidR="00B23F21" w:rsidRPr="006454B5">
        <w:rPr>
          <w:rFonts w:ascii="Arial" w:hAnsi="Arial" w:cs="Arial"/>
          <w:sz w:val="22"/>
        </w:rPr>
        <w:t xml:space="preserve"> &lt;.001). </w:t>
      </w:r>
      <w:r w:rsidRPr="006454B5">
        <w:rPr>
          <w:rFonts w:ascii="Arial" w:hAnsi="Arial" w:cs="Arial"/>
          <w:sz w:val="22"/>
        </w:rPr>
        <w:t xml:space="preserve">In only 5% of cases was the rape perpetrated by a complete stranger (stranger 1), and in 11% of cases by someone who the victim had known for less than 24 hours (stranger 2; see Table 2). Just over one-quarter of suspects had had consensual sex with the victim on another occasion, either prior to or after the current incident. </w:t>
      </w:r>
    </w:p>
    <w:p w14:paraId="3782B233" w14:textId="77777777" w:rsidR="009F4F9E" w:rsidRPr="006454B5" w:rsidRDefault="009F4F9E" w:rsidP="000C7544">
      <w:pPr>
        <w:spacing w:before="120" w:after="120"/>
        <w:contextualSpacing/>
        <w:jc w:val="center"/>
        <w:rPr>
          <w:rFonts w:ascii="Arial" w:hAnsi="Arial" w:cs="Arial"/>
          <w:sz w:val="22"/>
        </w:rPr>
      </w:pPr>
      <w:r w:rsidRPr="006454B5">
        <w:rPr>
          <w:rFonts w:ascii="Arial" w:hAnsi="Arial" w:cs="Arial"/>
          <w:sz w:val="22"/>
        </w:rPr>
        <w:t>[Insert Table 2 about here]</w:t>
      </w:r>
    </w:p>
    <w:p w14:paraId="2BFB2A9E" w14:textId="77777777" w:rsidR="009F4F9E" w:rsidRPr="006454B5" w:rsidRDefault="009F4F9E" w:rsidP="000C7544">
      <w:pPr>
        <w:spacing w:before="120" w:after="120"/>
        <w:contextualSpacing/>
        <w:rPr>
          <w:rFonts w:ascii="Arial" w:hAnsi="Arial" w:cs="Arial"/>
          <w:b/>
          <w:bCs/>
          <w:i/>
          <w:iCs/>
          <w:sz w:val="22"/>
        </w:rPr>
      </w:pPr>
      <w:r w:rsidRPr="006454B5">
        <w:rPr>
          <w:rFonts w:ascii="Arial" w:hAnsi="Arial" w:cs="Arial"/>
          <w:b/>
          <w:bCs/>
          <w:i/>
          <w:iCs/>
          <w:sz w:val="22"/>
        </w:rPr>
        <w:t>Offence Characteristics</w:t>
      </w:r>
    </w:p>
    <w:p w14:paraId="5D9EABF0" w14:textId="20E0CF4B" w:rsidR="009F4F9E" w:rsidRPr="006454B5" w:rsidRDefault="009F4F9E" w:rsidP="000C7544">
      <w:pPr>
        <w:spacing w:before="120" w:after="120"/>
        <w:ind w:firstLine="720"/>
        <w:contextualSpacing/>
        <w:rPr>
          <w:rFonts w:ascii="Arial" w:hAnsi="Arial" w:cs="Arial"/>
          <w:sz w:val="22"/>
        </w:rPr>
      </w:pPr>
      <w:r w:rsidRPr="006454B5">
        <w:rPr>
          <w:rFonts w:ascii="Arial" w:hAnsi="Arial" w:cs="Arial"/>
          <w:b/>
          <w:bCs/>
          <w:sz w:val="22"/>
        </w:rPr>
        <w:t>Details of Offence.</w:t>
      </w:r>
      <w:r w:rsidRPr="006454B5">
        <w:rPr>
          <w:rFonts w:ascii="Arial" w:hAnsi="Arial" w:cs="Arial"/>
          <w:sz w:val="22"/>
        </w:rPr>
        <w:t xml:space="preserve"> Table 3 presents descriptive statistics for the characteristics of the offence itself. Offences predominantly occurred in a known location (84%), typically the victim or suspect’s address (68%). In 30% of cases, the offence was related to domestic violence. Victims in cases involving domestic violence were significantly more likely to be of Asian ethnic background (32% </w:t>
      </w:r>
      <w:r w:rsidR="00941D08" w:rsidRPr="006454B5">
        <w:rPr>
          <w:rFonts w:ascii="Arial" w:hAnsi="Arial" w:cs="Arial"/>
          <w:sz w:val="22"/>
        </w:rPr>
        <w:t xml:space="preserve">(n=40) </w:t>
      </w:r>
      <w:r w:rsidRPr="006454B5">
        <w:rPr>
          <w:rFonts w:ascii="Arial" w:hAnsi="Arial" w:cs="Arial"/>
          <w:sz w:val="22"/>
        </w:rPr>
        <w:t xml:space="preserve">compared to 11% </w:t>
      </w:r>
      <w:r w:rsidR="00941D08" w:rsidRPr="006454B5">
        <w:rPr>
          <w:rFonts w:ascii="Arial" w:hAnsi="Arial" w:cs="Arial"/>
          <w:sz w:val="22"/>
        </w:rPr>
        <w:t xml:space="preserve">(n=32) </w:t>
      </w:r>
      <w:r w:rsidRPr="006454B5">
        <w:rPr>
          <w:rFonts w:ascii="Arial" w:hAnsi="Arial" w:cs="Arial"/>
          <w:sz w:val="22"/>
        </w:rPr>
        <w:t xml:space="preserve">in cases not involving domestic abuse, </w:t>
      </w:r>
      <w:r w:rsidR="00B95265" w:rsidRPr="006454B5">
        <w:rPr>
          <w:rFonts w:ascii="Arial" w:hAnsi="Arial" w:cs="Arial"/>
          <w:bCs/>
          <w:i/>
          <w:iCs/>
          <w:color w:val="000000"/>
          <w:sz w:val="22"/>
          <w:shd w:val="clear" w:color="auto" w:fill="FFFFFF"/>
        </w:rPr>
        <w:t>χ</w:t>
      </w:r>
      <w:r w:rsidR="00B95265" w:rsidRPr="006454B5">
        <w:rPr>
          <w:rFonts w:ascii="Arial" w:hAnsi="Arial" w:cs="Arial"/>
          <w:bCs/>
          <w:color w:val="000000"/>
          <w:sz w:val="22"/>
          <w:shd w:val="clear" w:color="auto" w:fill="FFFFFF"/>
        </w:rPr>
        <w:t>²</w:t>
      </w:r>
      <w:r w:rsidR="00B95265" w:rsidRPr="006454B5" w:rsidDel="00B95265">
        <w:rPr>
          <w:rFonts w:ascii="Arial" w:hAnsi="Arial" w:cs="Arial"/>
          <w:sz w:val="22"/>
        </w:rPr>
        <w:t xml:space="preserve"> </w:t>
      </w:r>
      <w:r w:rsidRPr="006454B5">
        <w:rPr>
          <w:rFonts w:ascii="Arial" w:hAnsi="Arial" w:cs="Arial"/>
          <w:sz w:val="22"/>
        </w:rPr>
        <w:t xml:space="preserve">(3) = 25.26, </w:t>
      </w:r>
      <w:r w:rsidRPr="006454B5">
        <w:rPr>
          <w:rFonts w:ascii="Arial" w:hAnsi="Arial" w:cs="Arial"/>
          <w:i/>
          <w:iCs/>
          <w:sz w:val="22"/>
        </w:rPr>
        <w:t>p</w:t>
      </w:r>
      <w:r w:rsidRPr="006454B5">
        <w:rPr>
          <w:rFonts w:ascii="Arial" w:hAnsi="Arial" w:cs="Arial"/>
          <w:sz w:val="22"/>
        </w:rPr>
        <w:t xml:space="preserve"> &lt; .001), to have been previously victimised in the last 12 months (40%</w:t>
      </w:r>
      <w:r w:rsidR="00941D08" w:rsidRPr="006454B5">
        <w:rPr>
          <w:rFonts w:ascii="Arial" w:hAnsi="Arial" w:cs="Arial"/>
          <w:sz w:val="22"/>
        </w:rPr>
        <w:t xml:space="preserve"> (n=53)</w:t>
      </w:r>
      <w:r w:rsidRPr="006454B5">
        <w:rPr>
          <w:rFonts w:ascii="Arial" w:hAnsi="Arial" w:cs="Arial"/>
          <w:sz w:val="22"/>
        </w:rPr>
        <w:t xml:space="preserve"> vs 24%</w:t>
      </w:r>
      <w:r w:rsidR="00941D08" w:rsidRPr="006454B5">
        <w:rPr>
          <w:rFonts w:ascii="Arial" w:hAnsi="Arial" w:cs="Arial"/>
          <w:sz w:val="22"/>
        </w:rPr>
        <w:t xml:space="preserve"> (n=75)</w:t>
      </w:r>
      <w:r w:rsidRPr="006454B5">
        <w:rPr>
          <w:rFonts w:ascii="Arial" w:hAnsi="Arial" w:cs="Arial"/>
          <w:sz w:val="22"/>
        </w:rPr>
        <w:t xml:space="preserve">, </w:t>
      </w:r>
      <w:r w:rsidR="00B95265" w:rsidRPr="006454B5">
        <w:rPr>
          <w:rFonts w:ascii="Arial" w:hAnsi="Arial" w:cs="Arial"/>
          <w:bCs/>
          <w:i/>
          <w:iCs/>
          <w:color w:val="000000"/>
          <w:sz w:val="22"/>
          <w:shd w:val="clear" w:color="auto" w:fill="FFFFFF"/>
        </w:rPr>
        <w:t>χ</w:t>
      </w:r>
      <w:r w:rsidR="00B95265" w:rsidRPr="006454B5">
        <w:rPr>
          <w:rFonts w:ascii="Arial" w:hAnsi="Arial" w:cs="Arial"/>
          <w:bCs/>
          <w:color w:val="000000"/>
          <w:sz w:val="22"/>
          <w:shd w:val="clear" w:color="auto" w:fill="FFFFFF"/>
        </w:rPr>
        <w:t>²</w:t>
      </w:r>
      <w:r w:rsidR="00B95265" w:rsidRPr="006454B5" w:rsidDel="00B95265">
        <w:rPr>
          <w:rFonts w:ascii="Arial" w:hAnsi="Arial" w:cs="Arial"/>
          <w:sz w:val="22"/>
        </w:rPr>
        <w:t xml:space="preserve"> </w:t>
      </w:r>
      <w:r w:rsidRPr="006454B5">
        <w:rPr>
          <w:rFonts w:ascii="Arial" w:hAnsi="Arial" w:cs="Arial"/>
          <w:sz w:val="22"/>
        </w:rPr>
        <w:t xml:space="preserve">(1) = 11.24, </w:t>
      </w:r>
      <w:r w:rsidRPr="006454B5">
        <w:rPr>
          <w:rFonts w:ascii="Arial" w:hAnsi="Arial" w:cs="Arial"/>
          <w:i/>
          <w:iCs/>
          <w:sz w:val="22"/>
        </w:rPr>
        <w:t>p</w:t>
      </w:r>
      <w:r w:rsidRPr="006454B5">
        <w:rPr>
          <w:rFonts w:ascii="Arial" w:hAnsi="Arial" w:cs="Arial"/>
          <w:sz w:val="22"/>
        </w:rPr>
        <w:t xml:space="preserve"> = .001), and to have been a previous victim of sexual assault or domestic abuse (48% </w:t>
      </w:r>
      <w:r w:rsidR="00941D08" w:rsidRPr="006454B5">
        <w:rPr>
          <w:rFonts w:ascii="Arial" w:hAnsi="Arial" w:cs="Arial"/>
          <w:sz w:val="22"/>
        </w:rPr>
        <w:t xml:space="preserve">(n=63) </w:t>
      </w:r>
      <w:r w:rsidRPr="006454B5">
        <w:rPr>
          <w:rFonts w:ascii="Arial" w:hAnsi="Arial" w:cs="Arial"/>
          <w:sz w:val="22"/>
        </w:rPr>
        <w:t>vs. 24%</w:t>
      </w:r>
      <w:r w:rsidR="00941D08" w:rsidRPr="006454B5">
        <w:rPr>
          <w:rFonts w:ascii="Arial" w:hAnsi="Arial" w:cs="Arial"/>
          <w:sz w:val="22"/>
        </w:rPr>
        <w:t xml:space="preserve"> (n=74)</w:t>
      </w:r>
      <w:r w:rsidRPr="006454B5">
        <w:rPr>
          <w:rFonts w:ascii="Arial" w:hAnsi="Arial" w:cs="Arial"/>
          <w:sz w:val="22"/>
        </w:rPr>
        <w:t xml:space="preserve">, </w:t>
      </w:r>
      <w:r w:rsidR="00B95265" w:rsidRPr="006454B5">
        <w:rPr>
          <w:rFonts w:ascii="Arial" w:hAnsi="Arial" w:cs="Arial"/>
          <w:bCs/>
          <w:i/>
          <w:iCs/>
          <w:color w:val="000000"/>
          <w:sz w:val="22"/>
          <w:shd w:val="clear" w:color="auto" w:fill="FFFFFF"/>
        </w:rPr>
        <w:t>χ</w:t>
      </w:r>
      <w:r w:rsidR="00B95265" w:rsidRPr="006454B5">
        <w:rPr>
          <w:rFonts w:ascii="Arial" w:hAnsi="Arial" w:cs="Arial"/>
          <w:bCs/>
          <w:color w:val="000000"/>
          <w:sz w:val="22"/>
          <w:shd w:val="clear" w:color="auto" w:fill="FFFFFF"/>
        </w:rPr>
        <w:t>²</w:t>
      </w:r>
      <w:r w:rsidRPr="006454B5">
        <w:rPr>
          <w:rFonts w:ascii="Arial" w:hAnsi="Arial" w:cs="Arial"/>
          <w:sz w:val="22"/>
        </w:rPr>
        <w:t xml:space="preserve"> (1) = 24.37, </w:t>
      </w:r>
      <w:r w:rsidRPr="006454B5">
        <w:rPr>
          <w:rFonts w:ascii="Arial" w:hAnsi="Arial" w:cs="Arial"/>
          <w:i/>
          <w:iCs/>
          <w:sz w:val="22"/>
        </w:rPr>
        <w:t>p</w:t>
      </w:r>
      <w:r w:rsidRPr="006454B5">
        <w:rPr>
          <w:rFonts w:ascii="Arial" w:hAnsi="Arial" w:cs="Arial"/>
          <w:sz w:val="22"/>
        </w:rPr>
        <w:t xml:space="preserve"> &lt; .001).</w:t>
      </w:r>
    </w:p>
    <w:p w14:paraId="2B370D66" w14:textId="3CDB63DB" w:rsidR="009F4F9E" w:rsidRPr="006454B5" w:rsidRDefault="009F4F9E" w:rsidP="000C7544">
      <w:pPr>
        <w:spacing w:before="120" w:after="120"/>
        <w:ind w:firstLine="720"/>
        <w:contextualSpacing/>
        <w:rPr>
          <w:rFonts w:ascii="Arial" w:hAnsi="Arial" w:cs="Arial"/>
          <w:sz w:val="22"/>
        </w:rPr>
      </w:pPr>
      <w:r w:rsidRPr="006454B5">
        <w:rPr>
          <w:rFonts w:ascii="Arial" w:hAnsi="Arial" w:cs="Arial"/>
          <w:b/>
          <w:bCs/>
          <w:sz w:val="22"/>
        </w:rPr>
        <w:t>Substance Use.</w:t>
      </w:r>
      <w:r w:rsidRPr="006454B5">
        <w:rPr>
          <w:rFonts w:ascii="Arial" w:hAnsi="Arial" w:cs="Arial"/>
          <w:sz w:val="22"/>
        </w:rPr>
        <w:t xml:space="preserve"> Substance abuse was rarely featured in these cases. Prior to the incident, </w:t>
      </w:r>
      <w:r w:rsidR="00FA33ED" w:rsidRPr="006454B5">
        <w:rPr>
          <w:rFonts w:ascii="Arial" w:hAnsi="Arial" w:cs="Arial"/>
          <w:sz w:val="22"/>
        </w:rPr>
        <w:t>around a quarter of</w:t>
      </w:r>
      <w:r w:rsidRPr="006454B5">
        <w:rPr>
          <w:rFonts w:ascii="Arial" w:hAnsi="Arial" w:cs="Arial"/>
          <w:sz w:val="22"/>
        </w:rPr>
        <w:t xml:space="preserve"> victims had voluntarily consumed alcohol (26%) or drugs (7%), and the percentages were even smaller for suspects (20% and 6%). Furthermore, only 7% of victims reported they had been drugged during the incident. Victim alcohol use was most common in stranger 1 (52%</w:t>
      </w:r>
      <w:r w:rsidR="00941D08" w:rsidRPr="006454B5">
        <w:rPr>
          <w:rFonts w:ascii="Arial" w:hAnsi="Arial" w:cs="Arial"/>
          <w:sz w:val="22"/>
        </w:rPr>
        <w:t>, n=11</w:t>
      </w:r>
      <w:r w:rsidRPr="006454B5">
        <w:rPr>
          <w:rFonts w:ascii="Arial" w:hAnsi="Arial" w:cs="Arial"/>
          <w:sz w:val="22"/>
        </w:rPr>
        <w:t>) and stranger 2 (57%</w:t>
      </w:r>
      <w:r w:rsidR="00941D08" w:rsidRPr="006454B5">
        <w:rPr>
          <w:rFonts w:ascii="Arial" w:hAnsi="Arial" w:cs="Arial"/>
          <w:sz w:val="22"/>
        </w:rPr>
        <w:t>, n=25</w:t>
      </w:r>
      <w:r w:rsidRPr="006454B5">
        <w:rPr>
          <w:rFonts w:ascii="Arial" w:hAnsi="Arial" w:cs="Arial"/>
          <w:sz w:val="22"/>
        </w:rPr>
        <w:t>) cases, and suspect alcohol use was most common in stranger 2 (32%</w:t>
      </w:r>
      <w:r w:rsidR="00941D08" w:rsidRPr="006454B5">
        <w:rPr>
          <w:rFonts w:ascii="Arial" w:hAnsi="Arial" w:cs="Arial"/>
          <w:sz w:val="22"/>
        </w:rPr>
        <w:t>, n=14</w:t>
      </w:r>
      <w:r w:rsidRPr="006454B5">
        <w:rPr>
          <w:rFonts w:ascii="Arial" w:hAnsi="Arial" w:cs="Arial"/>
          <w:sz w:val="22"/>
        </w:rPr>
        <w:t>) and acquaintance (33%</w:t>
      </w:r>
      <w:r w:rsidR="00941D08" w:rsidRPr="006454B5">
        <w:rPr>
          <w:rFonts w:ascii="Arial" w:hAnsi="Arial" w:cs="Arial"/>
          <w:sz w:val="22"/>
        </w:rPr>
        <w:t>, n=55</w:t>
      </w:r>
      <w:r w:rsidRPr="006454B5">
        <w:rPr>
          <w:rFonts w:ascii="Arial" w:hAnsi="Arial" w:cs="Arial"/>
          <w:sz w:val="22"/>
        </w:rPr>
        <w:t>) cases.</w:t>
      </w:r>
      <w:r w:rsidR="00941D08" w:rsidRPr="006454B5">
        <w:rPr>
          <w:rStyle w:val="FootnoteReference"/>
          <w:rFonts w:ascii="Arial" w:hAnsi="Arial" w:cs="Arial"/>
          <w:sz w:val="22"/>
        </w:rPr>
        <w:footnoteReference w:id="3"/>
      </w:r>
      <w:r w:rsidRPr="006454B5">
        <w:rPr>
          <w:rFonts w:ascii="Arial" w:hAnsi="Arial" w:cs="Arial"/>
          <w:sz w:val="22"/>
        </w:rPr>
        <w:t xml:space="preserve">  </w:t>
      </w:r>
    </w:p>
    <w:p w14:paraId="7A09DB84" w14:textId="0096DD19" w:rsidR="009F4F9E" w:rsidRPr="006454B5" w:rsidRDefault="009F4F9E" w:rsidP="000C7544">
      <w:pPr>
        <w:spacing w:before="120" w:after="120"/>
        <w:ind w:firstLine="720"/>
        <w:contextualSpacing/>
        <w:rPr>
          <w:rFonts w:ascii="Arial" w:hAnsi="Arial" w:cs="Arial"/>
          <w:sz w:val="22"/>
        </w:rPr>
      </w:pPr>
      <w:r w:rsidRPr="006454B5">
        <w:rPr>
          <w:rFonts w:ascii="Arial" w:hAnsi="Arial" w:cs="Arial"/>
          <w:b/>
          <w:bCs/>
          <w:sz w:val="22"/>
        </w:rPr>
        <w:t>Level of Violence.</w:t>
      </w:r>
      <w:r w:rsidRPr="006454B5">
        <w:rPr>
          <w:rFonts w:ascii="Arial" w:hAnsi="Arial" w:cs="Arial"/>
          <w:sz w:val="22"/>
        </w:rPr>
        <w:t xml:space="preserve"> </w:t>
      </w:r>
      <w:r w:rsidR="000D7871" w:rsidRPr="006454B5">
        <w:rPr>
          <w:rFonts w:ascii="Arial" w:hAnsi="Arial" w:cs="Arial"/>
          <w:sz w:val="22"/>
        </w:rPr>
        <w:t xml:space="preserve">In less than one-quarter of cases, victims reported incurring an injury during the incident (23%). The majority of injuries were reported to be minor (78%). </w:t>
      </w:r>
      <w:r w:rsidRPr="006454B5">
        <w:rPr>
          <w:rFonts w:ascii="Arial" w:hAnsi="Arial" w:cs="Arial"/>
          <w:sz w:val="22"/>
        </w:rPr>
        <w:t xml:space="preserve">A </w:t>
      </w:r>
      <w:r w:rsidRPr="006454B5">
        <w:rPr>
          <w:rFonts w:ascii="Arial" w:hAnsi="Arial" w:cs="Arial"/>
          <w:sz w:val="22"/>
        </w:rPr>
        <w:lastRenderedPageBreak/>
        <w:t>weapon was used in the commission of the offence in only 3% of cases. In 38% of cases the victim reported they had verbally resisted, and in 15% they physically resisted.</w:t>
      </w:r>
    </w:p>
    <w:p w14:paraId="67375282" w14:textId="77777777" w:rsidR="009F4F9E" w:rsidRPr="006454B5" w:rsidRDefault="009F4F9E" w:rsidP="000C7544">
      <w:pPr>
        <w:spacing w:before="120" w:after="120"/>
        <w:contextualSpacing/>
        <w:jc w:val="center"/>
        <w:rPr>
          <w:rFonts w:ascii="Arial" w:hAnsi="Arial" w:cs="Arial"/>
          <w:sz w:val="22"/>
        </w:rPr>
      </w:pPr>
      <w:r w:rsidRPr="006454B5">
        <w:rPr>
          <w:rFonts w:ascii="Arial" w:hAnsi="Arial" w:cs="Arial"/>
          <w:sz w:val="22"/>
        </w:rPr>
        <w:t>[Insert Table 3 about here]</w:t>
      </w:r>
    </w:p>
    <w:p w14:paraId="5065334C" w14:textId="77777777" w:rsidR="009F4F9E" w:rsidRPr="006454B5" w:rsidRDefault="009F4F9E" w:rsidP="000C7544">
      <w:pPr>
        <w:spacing w:before="120" w:after="120"/>
        <w:contextualSpacing/>
        <w:rPr>
          <w:rFonts w:ascii="Arial" w:hAnsi="Arial" w:cs="Arial"/>
          <w:b/>
          <w:bCs/>
          <w:i/>
          <w:iCs/>
          <w:sz w:val="22"/>
        </w:rPr>
      </w:pPr>
      <w:r w:rsidRPr="006454B5">
        <w:rPr>
          <w:rFonts w:ascii="Arial" w:hAnsi="Arial" w:cs="Arial"/>
          <w:b/>
          <w:bCs/>
          <w:i/>
          <w:iCs/>
          <w:sz w:val="22"/>
        </w:rPr>
        <w:t>Procedural Characteristics</w:t>
      </w:r>
    </w:p>
    <w:p w14:paraId="556DBDEE" w14:textId="62FFDF57" w:rsidR="009F4F9E" w:rsidRPr="006454B5" w:rsidRDefault="009F4F9E" w:rsidP="000C7544">
      <w:pPr>
        <w:spacing w:before="120" w:after="120"/>
        <w:ind w:firstLine="720"/>
        <w:contextualSpacing/>
        <w:rPr>
          <w:rFonts w:ascii="Arial" w:hAnsi="Arial" w:cs="Arial"/>
          <w:sz w:val="22"/>
        </w:rPr>
      </w:pPr>
      <w:r w:rsidRPr="006454B5">
        <w:rPr>
          <w:rFonts w:ascii="Arial" w:hAnsi="Arial" w:cs="Arial"/>
          <w:b/>
          <w:bCs/>
          <w:sz w:val="22"/>
        </w:rPr>
        <w:t>Reporting.</w:t>
      </w:r>
      <w:r w:rsidRPr="006454B5">
        <w:rPr>
          <w:rFonts w:ascii="Arial" w:hAnsi="Arial" w:cs="Arial"/>
          <w:sz w:val="22"/>
        </w:rPr>
        <w:t xml:space="preserve"> In terms of reporting behaviour, victims were equally likely to report within 24 hours of the incident (28%) occurring as they were to make a </w:t>
      </w:r>
      <w:r w:rsidR="0020763F" w:rsidRPr="006454B5">
        <w:rPr>
          <w:rFonts w:ascii="Arial" w:hAnsi="Arial" w:cs="Arial"/>
          <w:sz w:val="22"/>
        </w:rPr>
        <w:t>delayed</w:t>
      </w:r>
      <w:r w:rsidRPr="006454B5">
        <w:rPr>
          <w:rFonts w:ascii="Arial" w:hAnsi="Arial" w:cs="Arial"/>
          <w:sz w:val="22"/>
        </w:rPr>
        <w:t xml:space="preserve"> report (&gt;1 year, 26%), and 59% of cases were reported to the police by the victim directly (see Table 4). </w:t>
      </w:r>
      <w:r w:rsidR="0020763F" w:rsidRPr="006454B5">
        <w:rPr>
          <w:rFonts w:ascii="Arial" w:hAnsi="Arial" w:cs="Arial"/>
          <w:sz w:val="22"/>
        </w:rPr>
        <w:t>Delayed</w:t>
      </w:r>
      <w:r w:rsidRPr="006454B5">
        <w:rPr>
          <w:rFonts w:ascii="Arial" w:hAnsi="Arial" w:cs="Arial"/>
          <w:sz w:val="22"/>
        </w:rPr>
        <w:t xml:space="preserve"> reports were more likely to involve a victim under the age of consent (49% </w:t>
      </w:r>
      <w:r w:rsidR="00363D99" w:rsidRPr="006454B5">
        <w:rPr>
          <w:rFonts w:ascii="Arial" w:hAnsi="Arial" w:cs="Arial"/>
          <w:sz w:val="22"/>
        </w:rPr>
        <w:t xml:space="preserve">(n=54) </w:t>
      </w:r>
      <w:r w:rsidRPr="006454B5">
        <w:rPr>
          <w:rFonts w:ascii="Arial" w:hAnsi="Arial" w:cs="Arial"/>
          <w:sz w:val="22"/>
        </w:rPr>
        <w:t xml:space="preserve">compared to 13% </w:t>
      </w:r>
      <w:r w:rsidR="00363D99" w:rsidRPr="006454B5">
        <w:rPr>
          <w:rFonts w:ascii="Arial" w:hAnsi="Arial" w:cs="Arial"/>
          <w:sz w:val="22"/>
        </w:rPr>
        <w:t xml:space="preserve">(n=43) </w:t>
      </w:r>
      <w:r w:rsidRPr="006454B5">
        <w:rPr>
          <w:rFonts w:ascii="Arial" w:hAnsi="Arial" w:cs="Arial"/>
          <w:sz w:val="22"/>
        </w:rPr>
        <w:t>of reports made within a year).</w:t>
      </w:r>
      <w:r w:rsidR="00363D99" w:rsidRPr="006454B5">
        <w:rPr>
          <w:rStyle w:val="FootnoteReference"/>
          <w:rFonts w:ascii="Arial" w:hAnsi="Arial" w:cs="Arial"/>
          <w:sz w:val="22"/>
        </w:rPr>
        <w:footnoteReference w:id="4"/>
      </w:r>
      <w:r w:rsidRPr="006454B5">
        <w:rPr>
          <w:rFonts w:ascii="Arial" w:hAnsi="Arial" w:cs="Arial"/>
          <w:sz w:val="22"/>
        </w:rPr>
        <w:t xml:space="preserve"> In this sample, 19% of rapes were reported via the Domestic Abuse, Stalking and Honour Based Violence (DASH) questions asked by police when attending a domestic abuse incident</w:t>
      </w:r>
      <w:r w:rsidR="00087983" w:rsidRPr="006454B5">
        <w:rPr>
          <w:rFonts w:ascii="Arial" w:hAnsi="Arial" w:cs="Arial"/>
          <w:sz w:val="22"/>
        </w:rPr>
        <w:t>. The DASH model is a framework implemented across all police services in the UK from March 2009 and requires police to use a common checklist when attending domestic abuse reports in order to identify, assess and manag</w:t>
      </w:r>
      <w:r w:rsidR="000D7871" w:rsidRPr="006454B5">
        <w:rPr>
          <w:rFonts w:ascii="Arial" w:hAnsi="Arial" w:cs="Arial"/>
          <w:sz w:val="22"/>
        </w:rPr>
        <w:t>e</w:t>
      </w:r>
      <w:r w:rsidR="00087983" w:rsidRPr="006454B5">
        <w:rPr>
          <w:rFonts w:ascii="Arial" w:hAnsi="Arial" w:cs="Arial"/>
          <w:sz w:val="22"/>
        </w:rPr>
        <w:t xml:space="preserve"> risk in domestic abuse cases.</w:t>
      </w:r>
      <w:r w:rsidR="00167FE7" w:rsidRPr="006454B5">
        <w:rPr>
          <w:rFonts w:ascii="Arial" w:hAnsi="Arial" w:cs="Arial"/>
          <w:sz w:val="22"/>
        </w:rPr>
        <w:t xml:space="preserve"> Notably, it has attracted some criticism from those identifying its poor predictive validity in reference to risk and recidivism (Almond, McManus, Brian, &amp; </w:t>
      </w:r>
      <w:proofErr w:type="spellStart"/>
      <w:r w:rsidR="00167FE7" w:rsidRPr="006454B5">
        <w:rPr>
          <w:rFonts w:ascii="Arial" w:hAnsi="Arial" w:cs="Arial"/>
          <w:sz w:val="22"/>
        </w:rPr>
        <w:t>Merrington</w:t>
      </w:r>
      <w:proofErr w:type="spellEnd"/>
      <w:r w:rsidR="00167FE7" w:rsidRPr="006454B5">
        <w:rPr>
          <w:rFonts w:ascii="Arial" w:hAnsi="Arial" w:cs="Arial"/>
          <w:sz w:val="22"/>
        </w:rPr>
        <w:t xml:space="preserve">, 2019). </w:t>
      </w:r>
      <w:r w:rsidRPr="006454B5">
        <w:rPr>
          <w:rFonts w:ascii="Arial" w:hAnsi="Arial" w:cs="Arial"/>
          <w:sz w:val="22"/>
        </w:rPr>
        <w:t>Two fifths of allegations were reported by third parties, who were most commonly support services, such as Sexual Assault Referral Centres or Havens, Rape Crisis Centres, and counselling services, or family members.</w:t>
      </w:r>
    </w:p>
    <w:p w14:paraId="6E1C2CB3" w14:textId="5F37E1E6" w:rsidR="009F4F9E" w:rsidRPr="006454B5" w:rsidRDefault="009F4F9E" w:rsidP="000C7544">
      <w:pPr>
        <w:spacing w:before="120" w:after="120"/>
        <w:ind w:firstLine="720"/>
        <w:contextualSpacing/>
        <w:rPr>
          <w:rFonts w:ascii="Arial" w:hAnsi="Arial" w:cs="Arial"/>
          <w:sz w:val="22"/>
        </w:rPr>
      </w:pPr>
      <w:r w:rsidRPr="006454B5">
        <w:rPr>
          <w:rFonts w:ascii="Arial" w:hAnsi="Arial" w:cs="Arial"/>
          <w:b/>
          <w:bCs/>
          <w:sz w:val="22"/>
        </w:rPr>
        <w:t>Evidential Factors.</w:t>
      </w:r>
      <w:r w:rsidRPr="006454B5">
        <w:rPr>
          <w:rFonts w:ascii="Arial" w:hAnsi="Arial" w:cs="Arial"/>
          <w:sz w:val="22"/>
        </w:rPr>
        <w:t xml:space="preserve"> Evidential challenges were common amongst the cases reviewed. In terms of evidence related to the victim, following the offence, victims attended a Haven in only 19% of cases and were administered an Early Evidence Kit (EEK</w:t>
      </w:r>
      <w:r w:rsidR="00087983" w:rsidRPr="006454B5">
        <w:rPr>
          <w:rFonts w:ascii="Arial" w:hAnsi="Arial" w:cs="Arial"/>
          <w:sz w:val="22"/>
        </w:rPr>
        <w:t xml:space="preserve"> - A forensic evidence gathering kit for capturing physical evidence, e.g., spermatozoa</w:t>
      </w:r>
      <w:r w:rsidRPr="006454B5">
        <w:rPr>
          <w:rFonts w:ascii="Arial" w:hAnsi="Arial" w:cs="Arial"/>
          <w:sz w:val="22"/>
        </w:rPr>
        <w:t>) to collect forensic evidence in 21% of cases. Looking specifically at victim recall of the incident, the majority</w:t>
      </w:r>
      <w:r w:rsidR="005C7BE4" w:rsidRPr="006454B5">
        <w:rPr>
          <w:rFonts w:ascii="Arial" w:hAnsi="Arial" w:cs="Arial"/>
          <w:sz w:val="22"/>
        </w:rPr>
        <w:t xml:space="preserve"> of victims were able to identif</w:t>
      </w:r>
      <w:r w:rsidRPr="006454B5">
        <w:rPr>
          <w:rFonts w:ascii="Arial" w:hAnsi="Arial" w:cs="Arial"/>
          <w:sz w:val="22"/>
        </w:rPr>
        <w:t xml:space="preserve">y the perpetrator (75%), and 51% gave a detailed description of the perpetrator. Only a small proportion of victims were unsure whether the incident had occurred or where it had taken place. Victims were recorded as having given an inconsistent </w:t>
      </w:r>
      <w:r w:rsidRPr="006454B5">
        <w:rPr>
          <w:rFonts w:ascii="Arial" w:hAnsi="Arial" w:cs="Arial"/>
          <w:sz w:val="22"/>
        </w:rPr>
        <w:lastRenderedPageBreak/>
        <w:t xml:space="preserve">account in one quarter of cases and showed a lack of understanding of </w:t>
      </w:r>
      <w:r w:rsidR="002D7575" w:rsidRPr="006454B5">
        <w:rPr>
          <w:rFonts w:ascii="Arial" w:hAnsi="Arial" w:cs="Arial"/>
          <w:sz w:val="22"/>
        </w:rPr>
        <w:t>whether or not consent was given</w:t>
      </w:r>
      <w:r w:rsidRPr="006454B5">
        <w:rPr>
          <w:rFonts w:ascii="Arial" w:hAnsi="Arial" w:cs="Arial"/>
          <w:sz w:val="22"/>
        </w:rPr>
        <w:t xml:space="preserve"> in 8% of cases. In 35% of cases the victim participated in a Video Recorded Interview. In 21% of cases, the suspect claimed the victim consented, and in 13% the suspect denied intercourse or sexual contact had taken place. </w:t>
      </w:r>
    </w:p>
    <w:p w14:paraId="49EBB5AE" w14:textId="50136955" w:rsidR="009F4F9E" w:rsidRPr="006454B5" w:rsidRDefault="009F4F9E" w:rsidP="000C7544">
      <w:pPr>
        <w:spacing w:before="120" w:after="120"/>
        <w:ind w:firstLine="720"/>
        <w:contextualSpacing/>
        <w:rPr>
          <w:rFonts w:ascii="Arial" w:hAnsi="Arial" w:cs="Arial"/>
          <w:sz w:val="22"/>
        </w:rPr>
      </w:pPr>
      <w:r w:rsidRPr="006454B5">
        <w:rPr>
          <w:rFonts w:ascii="Arial" w:hAnsi="Arial" w:cs="Arial"/>
          <w:sz w:val="22"/>
        </w:rPr>
        <w:t xml:space="preserve">Turning next to technological evidence. In 27% of cases, technological evidence was referred to in the police case file. The victim’s technology was </w:t>
      </w:r>
      <w:r w:rsidR="004B3C26" w:rsidRPr="006454B5">
        <w:rPr>
          <w:rFonts w:ascii="Arial" w:hAnsi="Arial" w:cs="Arial"/>
          <w:sz w:val="22"/>
        </w:rPr>
        <w:t>requested and obtained</w:t>
      </w:r>
      <w:r w:rsidRPr="006454B5">
        <w:rPr>
          <w:rFonts w:ascii="Arial" w:hAnsi="Arial" w:cs="Arial"/>
          <w:sz w:val="22"/>
        </w:rPr>
        <w:t xml:space="preserve"> in 11% of cases, and the suspect’s in 14%. Of the cases in which technology was </w:t>
      </w:r>
      <w:r w:rsidR="004B3C26" w:rsidRPr="006454B5">
        <w:rPr>
          <w:rFonts w:ascii="Arial" w:hAnsi="Arial" w:cs="Arial"/>
          <w:sz w:val="22"/>
        </w:rPr>
        <w:t>obtained</w:t>
      </w:r>
      <w:r w:rsidRPr="006454B5">
        <w:rPr>
          <w:rFonts w:ascii="Arial" w:hAnsi="Arial" w:cs="Arial"/>
          <w:sz w:val="22"/>
        </w:rPr>
        <w:t xml:space="preserve"> by police, in 7% the evidence supported the victim’s case, and in 12% it supported the suspect’s case. In the majority of cases, the technological evidence supported neither case (47%). Body Worn Video footage was available in 2% of cases, and in 12% social networking sites were implicated in the offence. </w:t>
      </w:r>
    </w:p>
    <w:p w14:paraId="72A5A85A" w14:textId="5C8E8542" w:rsidR="009F4F9E" w:rsidRPr="006454B5" w:rsidRDefault="009F4F9E" w:rsidP="000C7544">
      <w:pPr>
        <w:spacing w:before="120" w:after="120"/>
        <w:ind w:firstLine="720"/>
        <w:contextualSpacing/>
        <w:rPr>
          <w:rFonts w:ascii="Arial" w:hAnsi="Arial" w:cs="Arial"/>
          <w:sz w:val="22"/>
        </w:rPr>
      </w:pPr>
      <w:r w:rsidRPr="006454B5">
        <w:rPr>
          <w:rFonts w:ascii="Arial" w:hAnsi="Arial" w:cs="Arial"/>
          <w:sz w:val="22"/>
        </w:rPr>
        <w:t xml:space="preserve">Requests for third party material (e.g. General Practitioner notes, social services information) was made in 36% of cases and witnesses were available in 24%. Lastly, in three fifths of cases, there were no forensic opportunities available. Not surprisingly, having no forensic opportunities was more likely in cases </w:t>
      </w:r>
      <w:r w:rsidR="0020763F" w:rsidRPr="006454B5">
        <w:rPr>
          <w:rFonts w:ascii="Arial" w:hAnsi="Arial" w:cs="Arial"/>
          <w:sz w:val="22"/>
        </w:rPr>
        <w:t xml:space="preserve">with delayed reporting </w:t>
      </w:r>
      <w:r w:rsidRPr="006454B5">
        <w:rPr>
          <w:rFonts w:ascii="Arial" w:hAnsi="Arial" w:cs="Arial"/>
          <w:sz w:val="22"/>
        </w:rPr>
        <w:t xml:space="preserve">(87% for cases reported more than one year after the rape), compared to those reported within 24 hours of the incident (32%). </w:t>
      </w:r>
    </w:p>
    <w:p w14:paraId="58388439" w14:textId="77777777" w:rsidR="009F4F9E" w:rsidRPr="006454B5" w:rsidRDefault="009F4F9E" w:rsidP="000C7544">
      <w:pPr>
        <w:spacing w:before="120" w:after="120"/>
        <w:ind w:firstLine="720"/>
        <w:contextualSpacing/>
        <w:rPr>
          <w:rFonts w:ascii="Arial" w:hAnsi="Arial" w:cs="Arial"/>
          <w:sz w:val="22"/>
        </w:rPr>
      </w:pPr>
      <w:r w:rsidRPr="006454B5">
        <w:rPr>
          <w:rFonts w:ascii="Arial" w:hAnsi="Arial" w:cs="Arial"/>
          <w:b/>
          <w:bCs/>
          <w:sz w:val="22"/>
        </w:rPr>
        <w:t>Police Investigation.</w:t>
      </w:r>
      <w:r w:rsidRPr="006454B5">
        <w:rPr>
          <w:rFonts w:ascii="Arial" w:hAnsi="Arial" w:cs="Arial"/>
          <w:sz w:val="22"/>
        </w:rPr>
        <w:t xml:space="preserve"> The majority of cases had a Sexual Offences Investigation Trained (SOIT) officer assigned to the case and most had more than one Officer in Charge (OIC) during the course of the investigation. The coding scheme captured a number of variables related to police perceptions of the case. In 12% and 18% of cases, respectively, police noted negative perceptions about the chance of conviction and the victim’s reliability or credibility. In 14% of cases the OIC expressed doubt about the case, and in 4% of cases early advice was sought from the Crown Prosecution Service (CPS). </w:t>
      </w:r>
    </w:p>
    <w:p w14:paraId="0B355E8B" w14:textId="77777777" w:rsidR="009F4F9E" w:rsidRPr="006454B5" w:rsidRDefault="009F4F9E" w:rsidP="000C7544">
      <w:pPr>
        <w:spacing w:before="120" w:after="120"/>
        <w:ind w:firstLine="720"/>
        <w:contextualSpacing/>
        <w:rPr>
          <w:rFonts w:ascii="Arial" w:hAnsi="Arial" w:cs="Arial"/>
          <w:sz w:val="22"/>
        </w:rPr>
      </w:pPr>
      <w:r w:rsidRPr="006454B5">
        <w:rPr>
          <w:rFonts w:ascii="Arial" w:hAnsi="Arial" w:cs="Arial"/>
          <w:sz w:val="22"/>
        </w:rPr>
        <w:t xml:space="preserve">In terms of the progress of the case, the victim was noted to be difficult to contact in just over one third of cases and police cited delays due to workload in 22% of cases. Of the key investigation milestones, the suspect was identified by police in 62% of cases, was arrested in 32% of cases, and interviewed under caution in 22%. Few victims received </w:t>
      </w:r>
      <w:r w:rsidRPr="006454B5">
        <w:rPr>
          <w:rFonts w:ascii="Arial" w:hAnsi="Arial" w:cs="Arial"/>
          <w:sz w:val="22"/>
        </w:rPr>
        <w:lastRenderedPageBreak/>
        <w:t>specialist support, with only 14% receiving support from an Independent Sexual Violence Advocate (ISVA) and 9% from a Rape Crisis Centre (RCC).</w:t>
      </w:r>
    </w:p>
    <w:p w14:paraId="1978BA30" w14:textId="77777777" w:rsidR="009F4F9E" w:rsidRPr="006454B5" w:rsidRDefault="009F4F9E" w:rsidP="000C7544">
      <w:pPr>
        <w:spacing w:before="120" w:after="120"/>
        <w:contextualSpacing/>
        <w:jc w:val="center"/>
        <w:rPr>
          <w:rFonts w:ascii="Arial" w:hAnsi="Arial" w:cs="Arial"/>
          <w:sz w:val="22"/>
        </w:rPr>
      </w:pPr>
      <w:r w:rsidRPr="006454B5">
        <w:rPr>
          <w:rFonts w:ascii="Arial" w:hAnsi="Arial" w:cs="Arial"/>
          <w:sz w:val="22"/>
        </w:rPr>
        <w:t>[Insert Table 4 about here]</w:t>
      </w:r>
    </w:p>
    <w:p w14:paraId="5706685E" w14:textId="41BF9954" w:rsidR="005C7BE4" w:rsidRPr="006454B5" w:rsidRDefault="005C7BE4" w:rsidP="005C7BE4">
      <w:pPr>
        <w:contextualSpacing/>
        <w:rPr>
          <w:rFonts w:asciiTheme="minorBidi" w:hAnsiTheme="minorBidi"/>
          <w:b/>
          <w:i/>
          <w:sz w:val="22"/>
        </w:rPr>
      </w:pPr>
      <w:r w:rsidRPr="006454B5">
        <w:rPr>
          <w:rFonts w:asciiTheme="minorBidi" w:hAnsiTheme="minorBidi"/>
          <w:b/>
          <w:i/>
          <w:sz w:val="22"/>
        </w:rPr>
        <w:t xml:space="preserve">Child </w:t>
      </w:r>
      <w:r w:rsidR="006605F4" w:rsidRPr="006454B5">
        <w:rPr>
          <w:rFonts w:asciiTheme="minorBidi" w:hAnsiTheme="minorBidi"/>
          <w:b/>
          <w:i/>
          <w:sz w:val="22"/>
        </w:rPr>
        <w:t>Case Characteristics</w:t>
      </w:r>
      <w:r w:rsidRPr="006454B5">
        <w:rPr>
          <w:rFonts w:asciiTheme="minorBidi" w:hAnsiTheme="minorBidi"/>
          <w:sz w:val="22"/>
        </w:rPr>
        <w:t xml:space="preserve"> </w:t>
      </w:r>
    </w:p>
    <w:p w14:paraId="1E6706FE" w14:textId="3A9BC6FF" w:rsidR="005C7BE4" w:rsidRPr="006454B5" w:rsidRDefault="005C7BE4" w:rsidP="005C7BE4">
      <w:pPr>
        <w:contextualSpacing/>
        <w:rPr>
          <w:rFonts w:asciiTheme="minorBidi" w:hAnsiTheme="minorBidi"/>
          <w:sz w:val="22"/>
        </w:rPr>
      </w:pPr>
      <w:r w:rsidRPr="006454B5">
        <w:rPr>
          <w:rFonts w:asciiTheme="minorBidi" w:hAnsiTheme="minorBidi"/>
          <w:sz w:val="22"/>
        </w:rPr>
        <w:tab/>
        <w:t>In addition to the above, where sample sizes allowed, victims under 16 years of age were isolated for specific analyses.</w:t>
      </w:r>
      <w:r w:rsidR="006605F4" w:rsidRPr="006454B5">
        <w:rPr>
          <w:rFonts w:asciiTheme="minorBidi" w:hAnsiTheme="minorBidi"/>
          <w:sz w:val="22"/>
        </w:rPr>
        <w:t xml:space="preserve"> While limited in scope, analyses highlight that</w:t>
      </w:r>
      <w:r w:rsidRPr="006454B5">
        <w:rPr>
          <w:rFonts w:asciiTheme="minorBidi" w:hAnsiTheme="minorBidi"/>
          <w:sz w:val="22"/>
        </w:rPr>
        <w:t xml:space="preserve"> </w:t>
      </w:r>
      <w:r w:rsidR="006605F4" w:rsidRPr="006454B5">
        <w:rPr>
          <w:rFonts w:asciiTheme="minorBidi" w:hAnsiTheme="minorBidi"/>
          <w:sz w:val="22"/>
        </w:rPr>
        <w:t>v</w:t>
      </w:r>
      <w:r w:rsidRPr="006454B5">
        <w:rPr>
          <w:rFonts w:asciiTheme="minorBidi" w:hAnsiTheme="minorBidi"/>
          <w:sz w:val="22"/>
        </w:rPr>
        <w:t>ictims under 16 were significantly more likely to be recognised as vulnerable or intimidated (</w:t>
      </w:r>
      <w:r w:rsidRPr="006454B5">
        <w:rPr>
          <w:rFonts w:asciiTheme="minorBidi" w:hAnsiTheme="minorBidi"/>
          <w:i/>
          <w:sz w:val="22"/>
        </w:rPr>
        <w:t>X</w:t>
      </w:r>
      <w:r w:rsidRPr="006454B5">
        <w:rPr>
          <w:rFonts w:asciiTheme="minorBidi" w:hAnsiTheme="minorBidi"/>
          <w:sz w:val="22"/>
          <w:vertAlign w:val="superscript"/>
        </w:rPr>
        <w:t xml:space="preserve">2 </w:t>
      </w:r>
      <w:r w:rsidRPr="006454B5">
        <w:rPr>
          <w:rFonts w:asciiTheme="minorBidi" w:hAnsiTheme="minorBidi"/>
          <w:sz w:val="22"/>
        </w:rPr>
        <w:t xml:space="preserve">(1) = 62.75, </w:t>
      </w:r>
      <w:r w:rsidRPr="006454B5">
        <w:rPr>
          <w:rFonts w:asciiTheme="minorBidi" w:hAnsiTheme="minorBidi"/>
          <w:i/>
          <w:sz w:val="22"/>
        </w:rPr>
        <w:t xml:space="preserve">p </w:t>
      </w:r>
      <w:r w:rsidRPr="006454B5">
        <w:rPr>
          <w:rFonts w:asciiTheme="minorBidi" w:hAnsiTheme="minorBidi"/>
          <w:sz w:val="22"/>
        </w:rPr>
        <w:t>&lt; .001). The suspect in offences involving victims under 16 was significantly more likely to be a family member (</w:t>
      </w:r>
      <w:r w:rsidRPr="006454B5">
        <w:rPr>
          <w:rFonts w:asciiTheme="minorBidi" w:hAnsiTheme="minorBidi"/>
          <w:i/>
          <w:sz w:val="22"/>
        </w:rPr>
        <w:t>X</w:t>
      </w:r>
      <w:r w:rsidRPr="006454B5">
        <w:rPr>
          <w:rFonts w:asciiTheme="minorBidi" w:hAnsiTheme="minorBidi"/>
          <w:sz w:val="22"/>
          <w:vertAlign w:val="superscript"/>
        </w:rPr>
        <w:t xml:space="preserve">2 </w:t>
      </w:r>
      <w:r w:rsidRPr="006454B5">
        <w:rPr>
          <w:rFonts w:asciiTheme="minorBidi" w:hAnsiTheme="minorBidi"/>
          <w:sz w:val="22"/>
        </w:rPr>
        <w:t xml:space="preserve">(1) = 84.96, </w:t>
      </w:r>
      <w:r w:rsidRPr="006454B5">
        <w:rPr>
          <w:rFonts w:asciiTheme="minorBidi" w:hAnsiTheme="minorBidi"/>
          <w:i/>
          <w:sz w:val="22"/>
        </w:rPr>
        <w:t xml:space="preserve">p </w:t>
      </w:r>
      <w:r w:rsidRPr="006454B5">
        <w:rPr>
          <w:rFonts w:asciiTheme="minorBidi" w:hAnsiTheme="minorBidi"/>
          <w:sz w:val="22"/>
        </w:rPr>
        <w:t>&lt; .001) or a friend/acquaintance (</w:t>
      </w:r>
      <w:r w:rsidRPr="006454B5">
        <w:rPr>
          <w:rFonts w:asciiTheme="minorBidi" w:hAnsiTheme="minorBidi"/>
          <w:i/>
          <w:sz w:val="22"/>
        </w:rPr>
        <w:t>X</w:t>
      </w:r>
      <w:r w:rsidRPr="006454B5">
        <w:rPr>
          <w:rFonts w:asciiTheme="minorBidi" w:hAnsiTheme="minorBidi"/>
          <w:sz w:val="22"/>
          <w:vertAlign w:val="superscript"/>
        </w:rPr>
        <w:t xml:space="preserve">2 </w:t>
      </w:r>
      <w:r w:rsidRPr="006454B5">
        <w:rPr>
          <w:rFonts w:asciiTheme="minorBidi" w:hAnsiTheme="minorBidi"/>
          <w:sz w:val="22"/>
        </w:rPr>
        <w:t xml:space="preserve">(1) = 6.15, </w:t>
      </w:r>
      <w:r w:rsidRPr="006454B5">
        <w:rPr>
          <w:rFonts w:asciiTheme="minorBidi" w:hAnsiTheme="minorBidi"/>
          <w:i/>
          <w:sz w:val="22"/>
        </w:rPr>
        <w:t xml:space="preserve">p </w:t>
      </w:r>
      <w:r w:rsidRPr="006454B5">
        <w:rPr>
          <w:rFonts w:asciiTheme="minorBidi" w:hAnsiTheme="minorBidi"/>
          <w:sz w:val="22"/>
        </w:rPr>
        <w:t>&lt; .05), and significantly less likely to be an intimate partner (</w:t>
      </w:r>
      <w:r w:rsidRPr="006454B5">
        <w:rPr>
          <w:rFonts w:asciiTheme="minorBidi" w:hAnsiTheme="minorBidi"/>
          <w:i/>
          <w:sz w:val="22"/>
        </w:rPr>
        <w:t>X</w:t>
      </w:r>
      <w:r w:rsidRPr="006454B5">
        <w:rPr>
          <w:rFonts w:asciiTheme="minorBidi" w:hAnsiTheme="minorBidi"/>
          <w:sz w:val="22"/>
          <w:vertAlign w:val="superscript"/>
        </w:rPr>
        <w:t xml:space="preserve">2 </w:t>
      </w:r>
      <w:r w:rsidRPr="006454B5">
        <w:rPr>
          <w:rFonts w:asciiTheme="minorBidi" w:hAnsiTheme="minorBidi"/>
          <w:sz w:val="22"/>
        </w:rPr>
        <w:t xml:space="preserve">(1) = 40.70, </w:t>
      </w:r>
      <w:r w:rsidRPr="006454B5">
        <w:rPr>
          <w:rFonts w:asciiTheme="minorBidi" w:hAnsiTheme="minorBidi"/>
          <w:i/>
          <w:sz w:val="22"/>
        </w:rPr>
        <w:t xml:space="preserve">p </w:t>
      </w:r>
      <w:r w:rsidRPr="006454B5">
        <w:rPr>
          <w:rFonts w:asciiTheme="minorBidi" w:hAnsiTheme="minorBidi"/>
          <w:sz w:val="22"/>
        </w:rPr>
        <w:t>&lt; .001) or stranger (</w:t>
      </w:r>
      <w:r w:rsidRPr="006454B5">
        <w:rPr>
          <w:rFonts w:asciiTheme="minorBidi" w:hAnsiTheme="minorBidi"/>
          <w:i/>
          <w:sz w:val="22"/>
        </w:rPr>
        <w:t>X</w:t>
      </w:r>
      <w:r w:rsidRPr="006454B5">
        <w:rPr>
          <w:rFonts w:asciiTheme="minorBidi" w:hAnsiTheme="minorBidi"/>
          <w:sz w:val="22"/>
          <w:vertAlign w:val="superscript"/>
        </w:rPr>
        <w:t xml:space="preserve">2 </w:t>
      </w:r>
      <w:r w:rsidRPr="006454B5">
        <w:rPr>
          <w:rFonts w:asciiTheme="minorBidi" w:hAnsiTheme="minorBidi"/>
          <w:sz w:val="22"/>
        </w:rPr>
        <w:t xml:space="preserve">(1) = 5.61, </w:t>
      </w:r>
      <w:r w:rsidRPr="006454B5">
        <w:rPr>
          <w:rFonts w:asciiTheme="minorBidi" w:hAnsiTheme="minorBidi"/>
          <w:i/>
          <w:sz w:val="22"/>
        </w:rPr>
        <w:t xml:space="preserve">p </w:t>
      </w:r>
      <w:r w:rsidRPr="006454B5">
        <w:rPr>
          <w:rFonts w:asciiTheme="minorBidi" w:hAnsiTheme="minorBidi"/>
          <w:sz w:val="22"/>
        </w:rPr>
        <w:t xml:space="preserve">&lt; .05). Relatedly, offences involving victims under 16 were significantly less likely to be </w:t>
      </w:r>
      <w:r w:rsidR="006605F4" w:rsidRPr="006454B5">
        <w:rPr>
          <w:rFonts w:asciiTheme="minorBidi" w:hAnsiTheme="minorBidi"/>
          <w:sz w:val="22"/>
        </w:rPr>
        <w:t>associated with</w:t>
      </w:r>
      <w:r w:rsidRPr="006454B5">
        <w:rPr>
          <w:rFonts w:asciiTheme="minorBidi" w:hAnsiTheme="minorBidi"/>
          <w:sz w:val="22"/>
        </w:rPr>
        <w:t xml:space="preserve"> domestic violence (</w:t>
      </w:r>
      <w:r w:rsidRPr="006454B5">
        <w:rPr>
          <w:rFonts w:asciiTheme="minorBidi" w:hAnsiTheme="minorBidi"/>
          <w:i/>
          <w:sz w:val="22"/>
        </w:rPr>
        <w:t>X</w:t>
      </w:r>
      <w:r w:rsidRPr="006454B5">
        <w:rPr>
          <w:rFonts w:asciiTheme="minorBidi" w:hAnsiTheme="minorBidi"/>
          <w:sz w:val="22"/>
          <w:vertAlign w:val="superscript"/>
        </w:rPr>
        <w:t xml:space="preserve">2 </w:t>
      </w:r>
      <w:r w:rsidRPr="006454B5">
        <w:rPr>
          <w:rFonts w:asciiTheme="minorBidi" w:hAnsiTheme="minorBidi"/>
          <w:sz w:val="22"/>
        </w:rPr>
        <w:t xml:space="preserve">(1) = 29.44, </w:t>
      </w:r>
      <w:r w:rsidRPr="006454B5">
        <w:rPr>
          <w:rFonts w:asciiTheme="minorBidi" w:hAnsiTheme="minorBidi"/>
          <w:i/>
          <w:sz w:val="22"/>
        </w:rPr>
        <w:t xml:space="preserve">p </w:t>
      </w:r>
      <w:r w:rsidRPr="006454B5">
        <w:rPr>
          <w:rFonts w:asciiTheme="minorBidi" w:hAnsiTheme="minorBidi"/>
          <w:sz w:val="22"/>
        </w:rPr>
        <w:t>&lt; .001).</w:t>
      </w:r>
      <w:r w:rsidR="00344E18" w:rsidRPr="006454B5">
        <w:rPr>
          <w:rFonts w:asciiTheme="minorBidi" w:hAnsiTheme="minorBidi"/>
          <w:sz w:val="22"/>
        </w:rPr>
        <w:t xml:space="preserve"> </w:t>
      </w:r>
      <w:r w:rsidRPr="006454B5">
        <w:rPr>
          <w:rFonts w:asciiTheme="minorBidi" w:hAnsiTheme="minorBidi"/>
          <w:sz w:val="22"/>
        </w:rPr>
        <w:t xml:space="preserve">Suspects were </w:t>
      </w:r>
      <w:r w:rsidR="00344E18" w:rsidRPr="006454B5">
        <w:rPr>
          <w:rFonts w:asciiTheme="minorBidi" w:hAnsiTheme="minorBidi"/>
          <w:sz w:val="22"/>
        </w:rPr>
        <w:t xml:space="preserve">also </w:t>
      </w:r>
      <w:r w:rsidRPr="006454B5">
        <w:rPr>
          <w:rFonts w:asciiTheme="minorBidi" w:hAnsiTheme="minorBidi"/>
          <w:sz w:val="22"/>
        </w:rPr>
        <w:t>significantly younger (</w:t>
      </w:r>
      <w:proofErr w:type="gramStart"/>
      <w:r w:rsidRPr="006454B5">
        <w:rPr>
          <w:rFonts w:asciiTheme="minorBidi" w:hAnsiTheme="minorBidi"/>
          <w:i/>
          <w:iCs/>
          <w:sz w:val="22"/>
        </w:rPr>
        <w:t>t</w:t>
      </w:r>
      <w:r w:rsidRPr="006454B5">
        <w:rPr>
          <w:rFonts w:asciiTheme="minorBidi" w:hAnsiTheme="minorBidi"/>
          <w:sz w:val="22"/>
        </w:rPr>
        <w:t>(</w:t>
      </w:r>
      <w:proofErr w:type="gramEnd"/>
      <w:r w:rsidRPr="006454B5">
        <w:rPr>
          <w:rFonts w:asciiTheme="minorBidi" w:hAnsiTheme="minorBidi"/>
          <w:sz w:val="22"/>
        </w:rPr>
        <w:t>331) = -4.89, p&lt;.001) in child victim cases (M=26.12, SD=15.61) compared to adult victim cases (M=34.18; SD=12.00)</w:t>
      </w:r>
      <w:r w:rsidR="00344E18" w:rsidRPr="006454B5">
        <w:rPr>
          <w:rFonts w:asciiTheme="minorBidi" w:hAnsiTheme="minorBidi"/>
          <w:sz w:val="22"/>
        </w:rPr>
        <w:t xml:space="preserve">, but </w:t>
      </w:r>
      <w:r w:rsidRPr="006454B5">
        <w:rPr>
          <w:rFonts w:asciiTheme="minorBidi" w:hAnsiTheme="minorBidi"/>
          <w:sz w:val="22"/>
        </w:rPr>
        <w:t xml:space="preserve">there was a significantly larger age </w:t>
      </w:r>
      <w:r w:rsidRPr="006454B5">
        <w:rPr>
          <w:rFonts w:asciiTheme="minorBidi" w:hAnsiTheme="minorBidi"/>
          <w:i/>
          <w:iCs/>
          <w:sz w:val="22"/>
        </w:rPr>
        <w:t>difference</w:t>
      </w:r>
      <w:r w:rsidRPr="006454B5">
        <w:rPr>
          <w:rFonts w:asciiTheme="minorBidi" w:hAnsiTheme="minorBidi"/>
          <w:sz w:val="22"/>
        </w:rPr>
        <w:t xml:space="preserve"> (</w:t>
      </w:r>
      <w:r w:rsidRPr="006454B5">
        <w:rPr>
          <w:rFonts w:asciiTheme="minorBidi" w:hAnsiTheme="minorBidi"/>
          <w:i/>
          <w:iCs/>
          <w:sz w:val="22"/>
        </w:rPr>
        <w:t>t</w:t>
      </w:r>
      <w:r w:rsidRPr="006454B5">
        <w:rPr>
          <w:rFonts w:asciiTheme="minorBidi" w:hAnsiTheme="minorBidi"/>
          <w:sz w:val="22"/>
        </w:rPr>
        <w:t>(331) = 6.79, p&lt;.001) between victims and suspects in child cases (M=14.68, SD=16.46) compared to adult cases (M=4.43, SD=9.91).</w:t>
      </w:r>
    </w:p>
    <w:p w14:paraId="71840348" w14:textId="77777777" w:rsidR="005C7BE4" w:rsidRPr="006454B5" w:rsidRDefault="005C7BE4" w:rsidP="005C7BE4">
      <w:pPr>
        <w:contextualSpacing/>
        <w:rPr>
          <w:rFonts w:asciiTheme="minorBidi" w:hAnsiTheme="minorBidi"/>
          <w:sz w:val="22"/>
        </w:rPr>
      </w:pPr>
      <w:r w:rsidRPr="006454B5">
        <w:rPr>
          <w:rFonts w:asciiTheme="minorBidi" w:hAnsiTheme="minorBidi"/>
          <w:sz w:val="22"/>
        </w:rPr>
        <w:tab/>
        <w:t>In offences involving victims under 16, the victim was significantly less likely to have sustained an injury (</w:t>
      </w:r>
      <w:r w:rsidRPr="006454B5">
        <w:rPr>
          <w:rFonts w:asciiTheme="minorBidi" w:hAnsiTheme="minorBidi"/>
          <w:i/>
          <w:sz w:val="22"/>
        </w:rPr>
        <w:t>X</w:t>
      </w:r>
      <w:r w:rsidRPr="006454B5">
        <w:rPr>
          <w:rFonts w:asciiTheme="minorBidi" w:hAnsiTheme="minorBidi"/>
          <w:sz w:val="22"/>
          <w:vertAlign w:val="superscript"/>
        </w:rPr>
        <w:t xml:space="preserve">2 </w:t>
      </w:r>
      <w:r w:rsidRPr="006454B5">
        <w:rPr>
          <w:rFonts w:asciiTheme="minorBidi" w:hAnsiTheme="minorBidi"/>
          <w:sz w:val="22"/>
        </w:rPr>
        <w:t xml:space="preserve">(1) = 11.28, </w:t>
      </w:r>
      <w:r w:rsidRPr="006454B5">
        <w:rPr>
          <w:rFonts w:asciiTheme="minorBidi" w:hAnsiTheme="minorBidi"/>
          <w:i/>
          <w:sz w:val="22"/>
        </w:rPr>
        <w:t xml:space="preserve">p </w:t>
      </w:r>
      <w:r w:rsidRPr="006454B5">
        <w:rPr>
          <w:rFonts w:asciiTheme="minorBidi" w:hAnsiTheme="minorBidi"/>
          <w:sz w:val="22"/>
        </w:rPr>
        <w:t>&lt; .01) and was significantly less likely to have verbally (</w:t>
      </w:r>
      <w:r w:rsidRPr="006454B5">
        <w:rPr>
          <w:rFonts w:asciiTheme="minorBidi" w:hAnsiTheme="minorBidi"/>
          <w:i/>
          <w:sz w:val="22"/>
        </w:rPr>
        <w:t>X</w:t>
      </w:r>
      <w:r w:rsidRPr="006454B5">
        <w:rPr>
          <w:rFonts w:asciiTheme="minorBidi" w:hAnsiTheme="minorBidi"/>
          <w:sz w:val="22"/>
          <w:vertAlign w:val="superscript"/>
        </w:rPr>
        <w:t xml:space="preserve">2 </w:t>
      </w:r>
      <w:r w:rsidRPr="006454B5">
        <w:rPr>
          <w:rFonts w:asciiTheme="minorBidi" w:hAnsiTheme="minorBidi"/>
          <w:sz w:val="22"/>
        </w:rPr>
        <w:t xml:space="preserve">(1) = 15.14, </w:t>
      </w:r>
      <w:r w:rsidRPr="006454B5">
        <w:rPr>
          <w:rFonts w:asciiTheme="minorBidi" w:hAnsiTheme="minorBidi"/>
          <w:i/>
          <w:sz w:val="22"/>
        </w:rPr>
        <w:t xml:space="preserve">p </w:t>
      </w:r>
      <w:r w:rsidRPr="006454B5">
        <w:rPr>
          <w:rFonts w:asciiTheme="minorBidi" w:hAnsiTheme="minorBidi"/>
          <w:sz w:val="22"/>
        </w:rPr>
        <w:t>&lt; .001) or physically (</w:t>
      </w:r>
      <w:r w:rsidRPr="006454B5">
        <w:rPr>
          <w:rFonts w:asciiTheme="minorBidi" w:hAnsiTheme="minorBidi"/>
          <w:i/>
          <w:sz w:val="22"/>
        </w:rPr>
        <w:t>X</w:t>
      </w:r>
      <w:r w:rsidRPr="006454B5">
        <w:rPr>
          <w:rFonts w:asciiTheme="minorBidi" w:hAnsiTheme="minorBidi"/>
          <w:sz w:val="22"/>
          <w:vertAlign w:val="superscript"/>
        </w:rPr>
        <w:t xml:space="preserve">2 </w:t>
      </w:r>
      <w:r w:rsidRPr="006454B5">
        <w:rPr>
          <w:rFonts w:asciiTheme="minorBidi" w:hAnsiTheme="minorBidi"/>
          <w:sz w:val="22"/>
        </w:rPr>
        <w:t xml:space="preserve">(1) = 4.30, </w:t>
      </w:r>
      <w:r w:rsidRPr="006454B5">
        <w:rPr>
          <w:rFonts w:asciiTheme="minorBidi" w:hAnsiTheme="minorBidi"/>
          <w:i/>
          <w:sz w:val="22"/>
        </w:rPr>
        <w:t xml:space="preserve">p </w:t>
      </w:r>
      <w:r w:rsidRPr="006454B5">
        <w:rPr>
          <w:rFonts w:asciiTheme="minorBidi" w:hAnsiTheme="minorBidi"/>
          <w:sz w:val="22"/>
        </w:rPr>
        <w:t>&lt; .05) resisted the attack. Both the victim (</w:t>
      </w:r>
      <w:r w:rsidRPr="006454B5">
        <w:rPr>
          <w:rFonts w:asciiTheme="minorBidi" w:hAnsiTheme="minorBidi"/>
          <w:i/>
          <w:sz w:val="22"/>
        </w:rPr>
        <w:t>X</w:t>
      </w:r>
      <w:r w:rsidRPr="006454B5">
        <w:rPr>
          <w:rFonts w:asciiTheme="minorBidi" w:hAnsiTheme="minorBidi"/>
          <w:sz w:val="22"/>
          <w:vertAlign w:val="superscript"/>
        </w:rPr>
        <w:t xml:space="preserve">2 </w:t>
      </w:r>
      <w:r w:rsidRPr="006454B5">
        <w:rPr>
          <w:rFonts w:asciiTheme="minorBidi" w:hAnsiTheme="minorBidi"/>
          <w:sz w:val="22"/>
        </w:rPr>
        <w:t xml:space="preserve">(1) = 19.11, </w:t>
      </w:r>
      <w:r w:rsidRPr="006454B5">
        <w:rPr>
          <w:rFonts w:asciiTheme="minorBidi" w:hAnsiTheme="minorBidi"/>
          <w:i/>
          <w:sz w:val="22"/>
        </w:rPr>
        <w:t xml:space="preserve">p </w:t>
      </w:r>
      <w:r w:rsidRPr="006454B5">
        <w:rPr>
          <w:rFonts w:asciiTheme="minorBidi" w:hAnsiTheme="minorBidi"/>
          <w:sz w:val="22"/>
        </w:rPr>
        <w:t>&lt; .001) and suspect (</w:t>
      </w:r>
      <w:r w:rsidRPr="006454B5">
        <w:rPr>
          <w:rFonts w:asciiTheme="minorBidi" w:hAnsiTheme="minorBidi"/>
          <w:i/>
          <w:sz w:val="22"/>
        </w:rPr>
        <w:t>X</w:t>
      </w:r>
      <w:r w:rsidRPr="006454B5">
        <w:rPr>
          <w:rFonts w:asciiTheme="minorBidi" w:hAnsiTheme="minorBidi"/>
          <w:sz w:val="22"/>
          <w:vertAlign w:val="superscript"/>
        </w:rPr>
        <w:t xml:space="preserve">2 </w:t>
      </w:r>
      <w:r w:rsidRPr="006454B5">
        <w:rPr>
          <w:rFonts w:asciiTheme="minorBidi" w:hAnsiTheme="minorBidi"/>
          <w:sz w:val="22"/>
        </w:rPr>
        <w:t xml:space="preserve">(1) = 8.26, </w:t>
      </w:r>
      <w:r w:rsidRPr="006454B5">
        <w:rPr>
          <w:rFonts w:asciiTheme="minorBidi" w:hAnsiTheme="minorBidi"/>
          <w:i/>
          <w:sz w:val="22"/>
        </w:rPr>
        <w:t xml:space="preserve">p </w:t>
      </w:r>
      <w:r w:rsidRPr="006454B5">
        <w:rPr>
          <w:rFonts w:asciiTheme="minorBidi" w:hAnsiTheme="minorBidi"/>
          <w:sz w:val="22"/>
        </w:rPr>
        <w:t xml:space="preserve">&lt; .001) were significantly less likely to have been drinking prior to the offence in cases where the victim was under 16. </w:t>
      </w:r>
    </w:p>
    <w:p w14:paraId="707EC628" w14:textId="469FB300" w:rsidR="005C7BE4" w:rsidRPr="006454B5" w:rsidRDefault="005C7BE4" w:rsidP="006605F4">
      <w:pPr>
        <w:contextualSpacing/>
        <w:rPr>
          <w:rFonts w:asciiTheme="minorBidi" w:hAnsiTheme="minorBidi"/>
          <w:sz w:val="22"/>
        </w:rPr>
      </w:pPr>
      <w:r w:rsidRPr="006454B5">
        <w:rPr>
          <w:rFonts w:asciiTheme="minorBidi" w:hAnsiTheme="minorBidi"/>
          <w:sz w:val="22"/>
        </w:rPr>
        <w:tab/>
        <w:t>Victims under 16 were significantly less likely to report the rape on the same day it occurred (</w:t>
      </w:r>
      <w:r w:rsidRPr="006454B5">
        <w:rPr>
          <w:rFonts w:asciiTheme="minorBidi" w:hAnsiTheme="minorBidi"/>
          <w:i/>
          <w:sz w:val="22"/>
        </w:rPr>
        <w:t>X</w:t>
      </w:r>
      <w:r w:rsidRPr="006454B5">
        <w:rPr>
          <w:rFonts w:asciiTheme="minorBidi" w:hAnsiTheme="minorBidi"/>
          <w:sz w:val="22"/>
          <w:vertAlign w:val="superscript"/>
        </w:rPr>
        <w:t xml:space="preserve">2 </w:t>
      </w:r>
      <w:r w:rsidRPr="006454B5">
        <w:rPr>
          <w:rFonts w:asciiTheme="minorBidi" w:hAnsiTheme="minorBidi"/>
          <w:sz w:val="22"/>
        </w:rPr>
        <w:t xml:space="preserve">(1) = 8.31, </w:t>
      </w:r>
      <w:r w:rsidRPr="006454B5">
        <w:rPr>
          <w:rFonts w:asciiTheme="minorBidi" w:hAnsiTheme="minorBidi"/>
          <w:i/>
          <w:sz w:val="22"/>
        </w:rPr>
        <w:t xml:space="preserve">p </w:t>
      </w:r>
      <w:r w:rsidRPr="006454B5">
        <w:rPr>
          <w:rFonts w:asciiTheme="minorBidi" w:hAnsiTheme="minorBidi"/>
          <w:sz w:val="22"/>
        </w:rPr>
        <w:t>&lt; .01), and the rape was more likely to be reported by a third party (</w:t>
      </w:r>
      <w:r w:rsidRPr="006454B5">
        <w:rPr>
          <w:rFonts w:asciiTheme="minorBidi" w:hAnsiTheme="minorBidi"/>
          <w:i/>
          <w:sz w:val="22"/>
        </w:rPr>
        <w:t>X</w:t>
      </w:r>
      <w:r w:rsidRPr="006454B5">
        <w:rPr>
          <w:rFonts w:asciiTheme="minorBidi" w:hAnsiTheme="minorBidi"/>
          <w:sz w:val="22"/>
          <w:vertAlign w:val="superscript"/>
        </w:rPr>
        <w:t xml:space="preserve">2 </w:t>
      </w:r>
      <w:r w:rsidRPr="006454B5">
        <w:rPr>
          <w:rFonts w:asciiTheme="minorBidi" w:hAnsiTheme="minorBidi"/>
          <w:sz w:val="22"/>
        </w:rPr>
        <w:t xml:space="preserve">(1) = 46.22, </w:t>
      </w:r>
      <w:r w:rsidRPr="006454B5">
        <w:rPr>
          <w:rFonts w:asciiTheme="minorBidi" w:hAnsiTheme="minorBidi"/>
          <w:i/>
          <w:sz w:val="22"/>
        </w:rPr>
        <w:t xml:space="preserve">p </w:t>
      </w:r>
      <w:r w:rsidRPr="006454B5">
        <w:rPr>
          <w:rFonts w:asciiTheme="minorBidi" w:hAnsiTheme="minorBidi"/>
          <w:sz w:val="22"/>
        </w:rPr>
        <w:t>&lt; .001). Young victims were significantly less likely to have attended a Haven (</w:t>
      </w:r>
      <w:r w:rsidRPr="006454B5">
        <w:rPr>
          <w:rFonts w:asciiTheme="minorBidi" w:hAnsiTheme="minorBidi"/>
          <w:i/>
          <w:sz w:val="22"/>
        </w:rPr>
        <w:t>X</w:t>
      </w:r>
      <w:r w:rsidRPr="006454B5">
        <w:rPr>
          <w:rFonts w:asciiTheme="minorBidi" w:hAnsiTheme="minorBidi"/>
          <w:sz w:val="22"/>
          <w:vertAlign w:val="superscript"/>
        </w:rPr>
        <w:t xml:space="preserve">2 </w:t>
      </w:r>
      <w:r w:rsidRPr="006454B5">
        <w:rPr>
          <w:rFonts w:asciiTheme="minorBidi" w:hAnsiTheme="minorBidi"/>
          <w:sz w:val="22"/>
        </w:rPr>
        <w:t xml:space="preserve">(1) = 4.60, </w:t>
      </w:r>
      <w:r w:rsidRPr="006454B5">
        <w:rPr>
          <w:rFonts w:asciiTheme="minorBidi" w:hAnsiTheme="minorBidi"/>
          <w:i/>
          <w:sz w:val="22"/>
        </w:rPr>
        <w:t xml:space="preserve">p </w:t>
      </w:r>
      <w:r w:rsidRPr="006454B5">
        <w:rPr>
          <w:rFonts w:asciiTheme="minorBidi" w:hAnsiTheme="minorBidi"/>
          <w:sz w:val="22"/>
        </w:rPr>
        <w:t>&lt; .05) or to have had an Early Evidence Kit administered (</w:t>
      </w:r>
      <w:r w:rsidRPr="006454B5">
        <w:rPr>
          <w:rFonts w:asciiTheme="minorBidi" w:hAnsiTheme="minorBidi"/>
          <w:i/>
          <w:sz w:val="22"/>
        </w:rPr>
        <w:t>X</w:t>
      </w:r>
      <w:r w:rsidRPr="006454B5">
        <w:rPr>
          <w:rFonts w:asciiTheme="minorBidi" w:hAnsiTheme="minorBidi"/>
          <w:sz w:val="22"/>
          <w:vertAlign w:val="superscript"/>
        </w:rPr>
        <w:t xml:space="preserve">2 </w:t>
      </w:r>
      <w:r w:rsidRPr="006454B5">
        <w:rPr>
          <w:rFonts w:asciiTheme="minorBidi" w:hAnsiTheme="minorBidi"/>
          <w:sz w:val="22"/>
        </w:rPr>
        <w:t xml:space="preserve">(1) = 7.19, </w:t>
      </w:r>
      <w:r w:rsidRPr="006454B5">
        <w:rPr>
          <w:rFonts w:asciiTheme="minorBidi" w:hAnsiTheme="minorBidi"/>
          <w:i/>
          <w:sz w:val="22"/>
        </w:rPr>
        <w:t xml:space="preserve">p </w:t>
      </w:r>
      <w:r w:rsidRPr="006454B5">
        <w:rPr>
          <w:rFonts w:asciiTheme="minorBidi" w:hAnsiTheme="minorBidi"/>
          <w:sz w:val="22"/>
        </w:rPr>
        <w:t xml:space="preserve">&lt; .01). Victims under 16 were significantly less likely to </w:t>
      </w:r>
      <w:r w:rsidR="006605F4" w:rsidRPr="006454B5">
        <w:rPr>
          <w:rFonts w:asciiTheme="minorBidi" w:hAnsiTheme="minorBidi"/>
          <w:sz w:val="22"/>
        </w:rPr>
        <w:t xml:space="preserve">be reported as </w:t>
      </w:r>
      <w:r w:rsidRPr="006454B5">
        <w:rPr>
          <w:rFonts w:asciiTheme="minorBidi" w:hAnsiTheme="minorBidi"/>
          <w:sz w:val="22"/>
        </w:rPr>
        <w:t>hav</w:t>
      </w:r>
      <w:r w:rsidR="006605F4" w:rsidRPr="006454B5">
        <w:rPr>
          <w:rFonts w:asciiTheme="minorBidi" w:hAnsiTheme="minorBidi"/>
          <w:sz w:val="22"/>
        </w:rPr>
        <w:t>ing</w:t>
      </w:r>
      <w:r w:rsidRPr="006454B5">
        <w:rPr>
          <w:rFonts w:asciiTheme="minorBidi" w:hAnsiTheme="minorBidi"/>
          <w:sz w:val="22"/>
        </w:rPr>
        <w:t xml:space="preserve"> given an inconsistent account (</w:t>
      </w:r>
      <w:r w:rsidRPr="006454B5">
        <w:rPr>
          <w:rFonts w:asciiTheme="minorBidi" w:hAnsiTheme="minorBidi"/>
          <w:i/>
          <w:sz w:val="22"/>
        </w:rPr>
        <w:t>X</w:t>
      </w:r>
      <w:r w:rsidRPr="006454B5">
        <w:rPr>
          <w:rFonts w:asciiTheme="minorBidi" w:hAnsiTheme="minorBidi"/>
          <w:sz w:val="22"/>
          <w:vertAlign w:val="superscript"/>
        </w:rPr>
        <w:t xml:space="preserve">2 </w:t>
      </w:r>
      <w:r w:rsidRPr="006454B5">
        <w:rPr>
          <w:rFonts w:asciiTheme="minorBidi" w:hAnsiTheme="minorBidi"/>
          <w:sz w:val="22"/>
        </w:rPr>
        <w:t xml:space="preserve">(1) = 6.22, </w:t>
      </w:r>
      <w:r w:rsidRPr="006454B5">
        <w:rPr>
          <w:rFonts w:asciiTheme="minorBidi" w:hAnsiTheme="minorBidi"/>
          <w:i/>
          <w:sz w:val="22"/>
        </w:rPr>
        <w:t xml:space="preserve">p </w:t>
      </w:r>
      <w:r w:rsidRPr="006454B5">
        <w:rPr>
          <w:rFonts w:asciiTheme="minorBidi" w:hAnsiTheme="minorBidi"/>
          <w:sz w:val="22"/>
        </w:rPr>
        <w:t xml:space="preserve">&lt; .05). </w:t>
      </w:r>
      <w:r w:rsidR="006605F4" w:rsidRPr="006454B5">
        <w:rPr>
          <w:rFonts w:asciiTheme="minorBidi" w:hAnsiTheme="minorBidi"/>
          <w:sz w:val="22"/>
        </w:rPr>
        <w:t>Additionally, i</w:t>
      </w:r>
      <w:r w:rsidRPr="006454B5">
        <w:rPr>
          <w:rFonts w:asciiTheme="minorBidi" w:hAnsiTheme="minorBidi"/>
          <w:sz w:val="22"/>
        </w:rPr>
        <w:t xml:space="preserve">n cases involving child victims, </w:t>
      </w:r>
      <w:r w:rsidRPr="006454B5">
        <w:rPr>
          <w:rFonts w:asciiTheme="minorBidi" w:hAnsiTheme="minorBidi"/>
          <w:sz w:val="22"/>
        </w:rPr>
        <w:lastRenderedPageBreak/>
        <w:t>the suspect was significantly more likely to deny the sexual contact had occurred (</w:t>
      </w:r>
      <w:r w:rsidRPr="006454B5">
        <w:rPr>
          <w:rFonts w:asciiTheme="minorBidi" w:hAnsiTheme="minorBidi"/>
          <w:i/>
          <w:sz w:val="22"/>
        </w:rPr>
        <w:t>X</w:t>
      </w:r>
      <w:r w:rsidRPr="006454B5">
        <w:rPr>
          <w:rFonts w:asciiTheme="minorBidi" w:hAnsiTheme="minorBidi"/>
          <w:sz w:val="22"/>
          <w:vertAlign w:val="superscript"/>
        </w:rPr>
        <w:t xml:space="preserve">2 </w:t>
      </w:r>
      <w:r w:rsidRPr="006454B5">
        <w:rPr>
          <w:rFonts w:asciiTheme="minorBidi" w:hAnsiTheme="minorBidi"/>
          <w:sz w:val="22"/>
        </w:rPr>
        <w:t xml:space="preserve">(1) = 13.64, </w:t>
      </w:r>
      <w:r w:rsidRPr="006454B5">
        <w:rPr>
          <w:rFonts w:asciiTheme="minorBidi" w:hAnsiTheme="minorBidi"/>
          <w:i/>
          <w:sz w:val="22"/>
        </w:rPr>
        <w:t xml:space="preserve">p </w:t>
      </w:r>
      <w:r w:rsidRPr="006454B5">
        <w:rPr>
          <w:rFonts w:asciiTheme="minorBidi" w:hAnsiTheme="minorBidi"/>
          <w:sz w:val="22"/>
        </w:rPr>
        <w:t xml:space="preserve">&lt; .001). </w:t>
      </w:r>
    </w:p>
    <w:p w14:paraId="7D2C6D68" w14:textId="77777777" w:rsidR="005C7BE4" w:rsidRPr="006454B5" w:rsidRDefault="005C7BE4" w:rsidP="000C7544">
      <w:pPr>
        <w:spacing w:before="120" w:after="120"/>
        <w:contextualSpacing/>
        <w:rPr>
          <w:rFonts w:ascii="Arial" w:hAnsi="Arial" w:cs="Arial"/>
          <w:b/>
          <w:bCs/>
          <w:sz w:val="22"/>
        </w:rPr>
      </w:pPr>
    </w:p>
    <w:p w14:paraId="478B860C" w14:textId="7FC68014" w:rsidR="009F4F9E" w:rsidRPr="006454B5" w:rsidRDefault="00D5108D" w:rsidP="000C7544">
      <w:pPr>
        <w:spacing w:before="120" w:after="120"/>
        <w:contextualSpacing/>
        <w:rPr>
          <w:rFonts w:ascii="Arial" w:hAnsi="Arial" w:cs="Arial"/>
          <w:b/>
          <w:bCs/>
          <w:sz w:val="22"/>
        </w:rPr>
      </w:pPr>
      <w:r w:rsidRPr="006454B5">
        <w:rPr>
          <w:rFonts w:ascii="Arial" w:hAnsi="Arial" w:cs="Arial"/>
          <w:b/>
          <w:bCs/>
          <w:sz w:val="22"/>
        </w:rPr>
        <w:t xml:space="preserve">Aim 2 - </w:t>
      </w:r>
      <w:r w:rsidR="009F4F9E" w:rsidRPr="006454B5">
        <w:rPr>
          <w:rFonts w:ascii="Arial" w:hAnsi="Arial" w:cs="Arial"/>
          <w:b/>
          <w:bCs/>
          <w:sz w:val="22"/>
        </w:rPr>
        <w:t>Case Outcomes</w:t>
      </w:r>
    </w:p>
    <w:p w14:paraId="4EA2668E" w14:textId="6FA36A54" w:rsidR="009F4F9E" w:rsidRPr="006454B5" w:rsidRDefault="009F4F9E" w:rsidP="000C7544">
      <w:pPr>
        <w:spacing w:before="120" w:after="120"/>
        <w:ind w:firstLine="720"/>
        <w:contextualSpacing/>
        <w:rPr>
          <w:rFonts w:ascii="Arial" w:hAnsi="Arial" w:cs="Arial"/>
          <w:sz w:val="22"/>
        </w:rPr>
      </w:pPr>
      <w:r w:rsidRPr="006454B5">
        <w:rPr>
          <w:rFonts w:ascii="Arial" w:hAnsi="Arial" w:cs="Arial"/>
          <w:sz w:val="22"/>
        </w:rPr>
        <w:t xml:space="preserve">Case outcomes are presented in Table 5. Victim withdrawal was the most common form of attrition for cases in this sample. Over half of all victims (51%) withdrew their allegation, with most victims withdrawing during the police investigation (only 9 cases withdrew following CPS submission). </w:t>
      </w:r>
      <w:r w:rsidR="00971AA0" w:rsidRPr="006454B5">
        <w:rPr>
          <w:rFonts w:ascii="Arial" w:hAnsi="Arial" w:cs="Arial"/>
          <w:sz w:val="22"/>
        </w:rPr>
        <w:t>In 24% of cases the police decided to take ‘no further action’ (NFA) on the case and in 15%, the case was not classified as a crime. O</w:t>
      </w:r>
      <w:r w:rsidRPr="006454B5">
        <w:rPr>
          <w:rFonts w:ascii="Arial" w:hAnsi="Arial" w:cs="Arial"/>
          <w:sz w:val="22"/>
        </w:rPr>
        <w:t xml:space="preserve">nly 10% </w:t>
      </w:r>
      <w:r w:rsidR="00C93333" w:rsidRPr="006454B5">
        <w:rPr>
          <w:rFonts w:ascii="Arial" w:hAnsi="Arial" w:cs="Arial"/>
          <w:sz w:val="22"/>
        </w:rPr>
        <w:t xml:space="preserve">of all cases were </w:t>
      </w:r>
      <w:r w:rsidRPr="006454B5">
        <w:rPr>
          <w:rFonts w:ascii="Arial" w:hAnsi="Arial" w:cs="Arial"/>
          <w:sz w:val="22"/>
        </w:rPr>
        <w:t xml:space="preserve">submitted to the Crown Prosecution Service. </w:t>
      </w:r>
      <w:r w:rsidR="00C93333" w:rsidRPr="006454B5">
        <w:rPr>
          <w:rFonts w:ascii="Arial" w:hAnsi="Arial" w:cs="Arial"/>
          <w:sz w:val="22"/>
        </w:rPr>
        <w:t>To</w:t>
      </w:r>
      <w:r w:rsidRPr="006454B5">
        <w:rPr>
          <w:rFonts w:ascii="Arial" w:hAnsi="Arial" w:cs="Arial"/>
          <w:sz w:val="22"/>
        </w:rPr>
        <w:t xml:space="preserve"> provide consistency with extant literature (namely, </w:t>
      </w:r>
      <w:proofErr w:type="spellStart"/>
      <w:r w:rsidRPr="006454B5">
        <w:rPr>
          <w:rFonts w:ascii="Arial" w:hAnsi="Arial" w:cs="Arial"/>
          <w:sz w:val="22"/>
        </w:rPr>
        <w:t>Hohl</w:t>
      </w:r>
      <w:proofErr w:type="spellEnd"/>
      <w:r w:rsidRPr="006454B5">
        <w:rPr>
          <w:rFonts w:ascii="Arial" w:hAnsi="Arial" w:cs="Arial"/>
          <w:sz w:val="22"/>
        </w:rPr>
        <w:t xml:space="preserve"> and </w:t>
      </w:r>
      <w:proofErr w:type="spellStart"/>
      <w:r w:rsidRPr="006454B5">
        <w:rPr>
          <w:rFonts w:ascii="Arial" w:hAnsi="Arial" w:cs="Arial"/>
          <w:sz w:val="22"/>
        </w:rPr>
        <w:t>Stanko</w:t>
      </w:r>
      <w:proofErr w:type="spellEnd"/>
      <w:r w:rsidRPr="006454B5">
        <w:rPr>
          <w:rFonts w:ascii="Arial" w:hAnsi="Arial" w:cs="Arial"/>
          <w:sz w:val="22"/>
        </w:rPr>
        <w:t xml:space="preserve"> 2015), Table 5 provides outcome percentages when victim withdrawals are removed. After the removal of these, 31% of cases </w:t>
      </w:r>
      <w:r w:rsidR="004A0E83" w:rsidRPr="006454B5">
        <w:rPr>
          <w:rFonts w:ascii="Arial" w:hAnsi="Arial" w:cs="Arial"/>
          <w:sz w:val="22"/>
        </w:rPr>
        <w:t xml:space="preserve">were </w:t>
      </w:r>
      <w:r w:rsidRPr="006454B5">
        <w:rPr>
          <w:rFonts w:ascii="Arial" w:hAnsi="Arial" w:cs="Arial"/>
          <w:sz w:val="22"/>
        </w:rPr>
        <w:t>not classified as a crime, almost 50% of cases receive</w:t>
      </w:r>
      <w:r w:rsidR="004A0E83" w:rsidRPr="006454B5">
        <w:rPr>
          <w:rFonts w:ascii="Arial" w:hAnsi="Arial" w:cs="Arial"/>
          <w:sz w:val="22"/>
        </w:rPr>
        <w:t>d</w:t>
      </w:r>
      <w:r w:rsidRPr="006454B5">
        <w:rPr>
          <w:rFonts w:ascii="Arial" w:hAnsi="Arial" w:cs="Arial"/>
          <w:sz w:val="22"/>
        </w:rPr>
        <w:t xml:space="preserve"> a ‘no further action’ decision, and 21% of cases receive</w:t>
      </w:r>
      <w:r w:rsidR="004A0E83" w:rsidRPr="006454B5">
        <w:rPr>
          <w:rFonts w:ascii="Arial" w:hAnsi="Arial" w:cs="Arial"/>
          <w:sz w:val="22"/>
        </w:rPr>
        <w:t>d</w:t>
      </w:r>
      <w:r w:rsidRPr="006454B5">
        <w:rPr>
          <w:rFonts w:ascii="Arial" w:hAnsi="Arial" w:cs="Arial"/>
          <w:sz w:val="22"/>
        </w:rPr>
        <w:t xml:space="preserve"> a referral to the CPS.</w:t>
      </w:r>
      <w:r w:rsidR="001055E9" w:rsidRPr="006454B5">
        <w:rPr>
          <w:rFonts w:ascii="Arial" w:hAnsi="Arial" w:cs="Arial"/>
          <w:sz w:val="22"/>
        </w:rPr>
        <w:t xml:space="preserve"> No differences </w:t>
      </w:r>
      <w:r w:rsidR="00EA23D3">
        <w:rPr>
          <w:rFonts w:ascii="Arial" w:hAnsi="Arial" w:cs="Arial"/>
          <w:sz w:val="22"/>
        </w:rPr>
        <w:t>were found between the frequencies</w:t>
      </w:r>
      <w:r w:rsidR="001055E9" w:rsidRPr="006454B5">
        <w:rPr>
          <w:rFonts w:ascii="Arial" w:hAnsi="Arial" w:cs="Arial"/>
          <w:sz w:val="22"/>
        </w:rPr>
        <w:t xml:space="preserve"> of case outcomes for ‘child’ versus ‘adult’ cases.</w:t>
      </w:r>
    </w:p>
    <w:p w14:paraId="47453A84" w14:textId="64AF5A6E" w:rsidR="009F4F9E" w:rsidRPr="006454B5" w:rsidRDefault="009F4F9E" w:rsidP="000C7544">
      <w:pPr>
        <w:spacing w:before="120" w:after="120"/>
        <w:contextualSpacing/>
        <w:jc w:val="center"/>
        <w:rPr>
          <w:rFonts w:ascii="Arial" w:hAnsi="Arial" w:cs="Arial"/>
          <w:sz w:val="22"/>
        </w:rPr>
      </w:pPr>
      <w:r w:rsidRPr="006454B5">
        <w:rPr>
          <w:rFonts w:ascii="Arial" w:hAnsi="Arial" w:cs="Arial"/>
          <w:sz w:val="22"/>
        </w:rPr>
        <w:t>[Insert Table 5 about here]</w:t>
      </w:r>
    </w:p>
    <w:p w14:paraId="45E2A721" w14:textId="4BF48204" w:rsidR="009F4F9E" w:rsidRPr="006454B5" w:rsidRDefault="007002F3" w:rsidP="000C7544">
      <w:pPr>
        <w:spacing w:before="120" w:after="120"/>
        <w:contextualSpacing/>
        <w:rPr>
          <w:rFonts w:ascii="Arial" w:hAnsi="Arial" w:cs="Arial"/>
          <w:b/>
          <w:bCs/>
          <w:sz w:val="22"/>
        </w:rPr>
      </w:pPr>
      <w:r w:rsidRPr="006454B5">
        <w:rPr>
          <w:rFonts w:ascii="Arial" w:hAnsi="Arial" w:cs="Arial"/>
          <w:b/>
          <w:bCs/>
          <w:sz w:val="22"/>
        </w:rPr>
        <w:t xml:space="preserve">Aim 3 - </w:t>
      </w:r>
      <w:r w:rsidR="009F4F9E" w:rsidRPr="006454B5">
        <w:rPr>
          <w:rFonts w:ascii="Arial" w:hAnsi="Arial" w:cs="Arial"/>
          <w:b/>
          <w:bCs/>
          <w:sz w:val="22"/>
        </w:rPr>
        <w:t>Inferential Analyses</w:t>
      </w:r>
    </w:p>
    <w:p w14:paraId="1AD6456C" w14:textId="079D3D9F" w:rsidR="00B12961" w:rsidRPr="006454B5" w:rsidRDefault="00B12961" w:rsidP="00686C40">
      <w:pPr>
        <w:pStyle w:val="BodyText"/>
        <w:kinsoku w:val="0"/>
        <w:overflowPunct w:val="0"/>
        <w:spacing w:before="120" w:after="120" w:line="480" w:lineRule="auto"/>
        <w:ind w:left="0" w:firstLine="719"/>
        <w:contextualSpacing/>
        <w:rPr>
          <w:rFonts w:ascii="Arial" w:hAnsi="Arial" w:cs="Arial"/>
          <w:sz w:val="22"/>
          <w:szCs w:val="22"/>
        </w:rPr>
      </w:pPr>
      <w:r w:rsidRPr="006454B5">
        <w:rPr>
          <w:rFonts w:ascii="Arial" w:hAnsi="Arial" w:cs="Arial"/>
          <w:sz w:val="22"/>
          <w:szCs w:val="22"/>
        </w:rPr>
        <w:t>For this section, we excluded cases that were</w:t>
      </w:r>
      <w:r w:rsidR="00A115EC" w:rsidRPr="006454B5">
        <w:rPr>
          <w:rFonts w:ascii="Arial" w:hAnsi="Arial" w:cs="Arial"/>
          <w:sz w:val="22"/>
          <w:szCs w:val="22"/>
        </w:rPr>
        <w:t xml:space="preserve"> </w:t>
      </w:r>
      <w:r w:rsidR="00686C40" w:rsidRPr="006454B5">
        <w:rPr>
          <w:rFonts w:ascii="Arial" w:hAnsi="Arial" w:cs="Arial"/>
          <w:sz w:val="22"/>
          <w:szCs w:val="22"/>
        </w:rPr>
        <w:t>identified as</w:t>
      </w:r>
      <w:r w:rsidR="00A115EC" w:rsidRPr="006454B5">
        <w:rPr>
          <w:rFonts w:ascii="Arial" w:hAnsi="Arial" w:cs="Arial"/>
          <w:sz w:val="22"/>
          <w:szCs w:val="22"/>
        </w:rPr>
        <w:t xml:space="preserve"> false allegations (n=</w:t>
      </w:r>
      <w:r w:rsidR="00476C9D" w:rsidRPr="006454B5">
        <w:rPr>
          <w:rFonts w:ascii="Arial" w:hAnsi="Arial" w:cs="Arial"/>
          <w:sz w:val="22"/>
          <w:szCs w:val="22"/>
        </w:rPr>
        <w:t>51</w:t>
      </w:r>
      <w:r w:rsidR="00A115EC" w:rsidRPr="006454B5">
        <w:rPr>
          <w:rFonts w:ascii="Arial" w:hAnsi="Arial" w:cs="Arial"/>
          <w:sz w:val="22"/>
          <w:szCs w:val="22"/>
        </w:rPr>
        <w:t>) and cases where the suspect was not identified by police (n=1</w:t>
      </w:r>
      <w:r w:rsidR="00476C9D" w:rsidRPr="006454B5">
        <w:rPr>
          <w:rFonts w:ascii="Arial" w:hAnsi="Arial" w:cs="Arial"/>
          <w:sz w:val="22"/>
          <w:szCs w:val="22"/>
        </w:rPr>
        <w:t>42</w:t>
      </w:r>
      <w:r w:rsidR="00A115EC" w:rsidRPr="006454B5">
        <w:rPr>
          <w:rFonts w:ascii="Arial" w:hAnsi="Arial" w:cs="Arial"/>
          <w:sz w:val="22"/>
          <w:szCs w:val="22"/>
        </w:rPr>
        <w:t>)</w:t>
      </w:r>
      <w:r w:rsidR="00476C9D" w:rsidRPr="006454B5">
        <w:rPr>
          <w:rFonts w:ascii="Arial" w:hAnsi="Arial" w:cs="Arial"/>
          <w:sz w:val="22"/>
          <w:szCs w:val="22"/>
        </w:rPr>
        <w:t>.</w:t>
      </w:r>
      <w:r w:rsidR="00A115EC" w:rsidRPr="006454B5">
        <w:rPr>
          <w:rFonts w:ascii="Arial" w:hAnsi="Arial" w:cs="Arial"/>
          <w:sz w:val="22"/>
          <w:szCs w:val="22"/>
        </w:rPr>
        <w:t xml:space="preserve"> </w:t>
      </w:r>
      <w:r w:rsidR="00476C9D" w:rsidRPr="006454B5">
        <w:rPr>
          <w:rFonts w:ascii="Arial" w:hAnsi="Arial" w:cs="Arial"/>
          <w:sz w:val="22"/>
          <w:szCs w:val="22"/>
        </w:rPr>
        <w:t>R</w:t>
      </w:r>
      <w:r w:rsidRPr="006454B5">
        <w:rPr>
          <w:rFonts w:ascii="Arial" w:hAnsi="Arial" w:cs="Arial"/>
          <w:sz w:val="22"/>
          <w:szCs w:val="22"/>
        </w:rPr>
        <w:t xml:space="preserve">emoving these cases eliminated all but 12 instances of </w:t>
      </w:r>
      <w:r w:rsidR="00476C9D" w:rsidRPr="006454B5">
        <w:rPr>
          <w:rFonts w:ascii="Arial" w:hAnsi="Arial" w:cs="Arial"/>
          <w:sz w:val="22"/>
          <w:szCs w:val="22"/>
        </w:rPr>
        <w:t xml:space="preserve">the outcome </w:t>
      </w:r>
      <w:r w:rsidRPr="006454B5">
        <w:rPr>
          <w:rFonts w:ascii="Arial" w:hAnsi="Arial" w:cs="Arial"/>
          <w:sz w:val="22"/>
          <w:szCs w:val="22"/>
        </w:rPr>
        <w:t>‘</w:t>
      </w:r>
      <w:r w:rsidR="00476C9D" w:rsidRPr="006454B5">
        <w:rPr>
          <w:rFonts w:ascii="Arial" w:hAnsi="Arial" w:cs="Arial"/>
          <w:sz w:val="22"/>
          <w:szCs w:val="22"/>
        </w:rPr>
        <w:t>not classified as a crime’</w:t>
      </w:r>
      <w:r w:rsidR="00C93333" w:rsidRPr="006454B5">
        <w:rPr>
          <w:rFonts w:ascii="Arial" w:hAnsi="Arial" w:cs="Arial"/>
          <w:sz w:val="22"/>
          <w:szCs w:val="22"/>
        </w:rPr>
        <w:t xml:space="preserve"> – these cases, after all, were characterised by lack of victim identification, and contradictory evidence refuting the claim – and</w:t>
      </w:r>
      <w:r w:rsidR="00476C9D" w:rsidRPr="006454B5">
        <w:rPr>
          <w:rFonts w:ascii="Arial" w:hAnsi="Arial" w:cs="Arial"/>
          <w:sz w:val="22"/>
          <w:szCs w:val="22"/>
        </w:rPr>
        <w:t xml:space="preserve"> we were therefore unable to include this case outcome in the subsequent analyses. The final sample consisted </w:t>
      </w:r>
      <w:r w:rsidRPr="006454B5">
        <w:rPr>
          <w:rFonts w:ascii="Arial" w:hAnsi="Arial" w:cs="Arial"/>
          <w:sz w:val="22"/>
          <w:szCs w:val="22"/>
        </w:rPr>
        <w:t>of 241 cases (see Table 5</w:t>
      </w:r>
      <w:r w:rsidR="00ED434C" w:rsidRPr="006454B5">
        <w:rPr>
          <w:rFonts w:ascii="Arial" w:hAnsi="Arial" w:cs="Arial"/>
          <w:sz w:val="22"/>
          <w:szCs w:val="22"/>
        </w:rPr>
        <w:t xml:space="preserve"> for the distribution of case outcomes after these exclusions were made</w:t>
      </w:r>
      <w:r w:rsidRPr="006454B5">
        <w:rPr>
          <w:rFonts w:ascii="Arial" w:hAnsi="Arial" w:cs="Arial"/>
          <w:sz w:val="22"/>
          <w:szCs w:val="22"/>
        </w:rPr>
        <w:t>). The dependent variable for these analyses was</w:t>
      </w:r>
      <w:r w:rsidRPr="006454B5">
        <w:rPr>
          <w:rFonts w:ascii="Arial" w:hAnsi="Arial" w:cs="Arial"/>
          <w:w w:val="99"/>
          <w:sz w:val="22"/>
          <w:szCs w:val="22"/>
        </w:rPr>
        <w:t xml:space="preserve"> </w:t>
      </w:r>
      <w:r w:rsidRPr="006454B5">
        <w:rPr>
          <w:rFonts w:ascii="Arial" w:hAnsi="Arial" w:cs="Arial"/>
          <w:sz w:val="22"/>
          <w:szCs w:val="22"/>
        </w:rPr>
        <w:t>comprised of three possible case outcomes: victim withdrawal, police NFA, and referral to CPS.</w:t>
      </w:r>
      <w:r w:rsidR="005C7BE4" w:rsidRPr="006454B5">
        <w:rPr>
          <w:rFonts w:ascii="Arial" w:hAnsi="Arial" w:cs="Arial"/>
          <w:sz w:val="22"/>
          <w:szCs w:val="22"/>
        </w:rPr>
        <w:t xml:space="preserve"> Unfortunately, </w:t>
      </w:r>
      <w:r w:rsidR="00A6156B" w:rsidRPr="006454B5">
        <w:rPr>
          <w:rFonts w:ascii="Arial" w:hAnsi="Arial" w:cs="Arial"/>
          <w:sz w:val="22"/>
          <w:szCs w:val="22"/>
        </w:rPr>
        <w:t>child victim sample sizes are t</w:t>
      </w:r>
      <w:r w:rsidR="008800BC" w:rsidRPr="006454B5">
        <w:rPr>
          <w:rFonts w:ascii="Arial" w:hAnsi="Arial" w:cs="Arial"/>
          <w:sz w:val="22"/>
          <w:szCs w:val="22"/>
        </w:rPr>
        <w:t>o</w:t>
      </w:r>
      <w:r w:rsidR="00A6156B" w:rsidRPr="006454B5">
        <w:rPr>
          <w:rFonts w:ascii="Arial" w:hAnsi="Arial" w:cs="Arial"/>
          <w:sz w:val="22"/>
          <w:szCs w:val="22"/>
        </w:rPr>
        <w:t>o small for meaningful predictive analyses in isolation.</w:t>
      </w:r>
    </w:p>
    <w:p w14:paraId="6289AEBD" w14:textId="10B42ECF" w:rsidR="009F4F9E" w:rsidRPr="006454B5" w:rsidRDefault="009F4F9E" w:rsidP="000C7544">
      <w:pPr>
        <w:spacing w:before="120" w:after="120"/>
        <w:ind w:firstLine="720"/>
        <w:contextualSpacing/>
        <w:rPr>
          <w:rFonts w:ascii="Arial" w:hAnsi="Arial" w:cs="Arial"/>
          <w:sz w:val="22"/>
        </w:rPr>
      </w:pPr>
      <w:r w:rsidRPr="006454B5">
        <w:rPr>
          <w:rFonts w:ascii="Arial" w:hAnsi="Arial" w:cs="Arial"/>
          <w:sz w:val="22"/>
        </w:rPr>
        <w:lastRenderedPageBreak/>
        <w:t xml:space="preserve">We estimated a series of multi-variate multinomial logistic regression models to assess the influence of case characteristics on case outcome. Unlike simple logistic regression, multinomial models allow for the comparison of more than two outcomes (in the current study, there are three). The analysis was conducted in two stages. First, we examined the four categories of case characteristics, and their conceptual sub-groups, separately. </w:t>
      </w:r>
      <w:r w:rsidR="005D07AF" w:rsidRPr="006454B5">
        <w:rPr>
          <w:rFonts w:ascii="Arial" w:hAnsi="Arial" w:cs="Arial"/>
          <w:sz w:val="22"/>
        </w:rPr>
        <w:t>Prior to analysis, we removed any case characteristics with low frequencies (e.g. we removed the variable ‘sex worker’ because it was only present in 11 cases) and those that suffered from multi-collinearity (e.g. we removed the variable ‘requires interpreter’ because it was highly correlated with ‘English not first language’. A list of the variables removed</w:t>
      </w:r>
      <w:r w:rsidR="00AC6CD1" w:rsidRPr="006454B5">
        <w:rPr>
          <w:rFonts w:ascii="Arial" w:hAnsi="Arial" w:cs="Arial"/>
          <w:sz w:val="22"/>
        </w:rPr>
        <w:t xml:space="preserve"> for each characteristic grouping, along with the individual regression output tables</w:t>
      </w:r>
      <w:r w:rsidR="005D07AF" w:rsidRPr="006454B5">
        <w:rPr>
          <w:rFonts w:ascii="Arial" w:hAnsi="Arial" w:cs="Arial"/>
          <w:sz w:val="22"/>
        </w:rPr>
        <w:t xml:space="preserve"> can be</w:t>
      </w:r>
      <w:r w:rsidR="00AC6CD1" w:rsidRPr="006454B5">
        <w:rPr>
          <w:rFonts w:ascii="Arial" w:hAnsi="Arial" w:cs="Arial"/>
          <w:sz w:val="22"/>
        </w:rPr>
        <w:t xml:space="preserve"> obtained by contacting the corresponding author</w:t>
      </w:r>
      <w:r w:rsidR="005D07AF" w:rsidRPr="006454B5">
        <w:rPr>
          <w:rFonts w:ascii="Arial" w:hAnsi="Arial" w:cs="Arial"/>
          <w:sz w:val="22"/>
        </w:rPr>
        <w:t xml:space="preserve">. </w:t>
      </w:r>
      <w:r w:rsidRPr="006454B5">
        <w:rPr>
          <w:rFonts w:ascii="Arial" w:hAnsi="Arial" w:cs="Arial"/>
          <w:sz w:val="22"/>
        </w:rPr>
        <w:t>Second, we combined the significant predictors into an overall model</w:t>
      </w:r>
      <w:r w:rsidR="00AC6CD1" w:rsidRPr="006454B5">
        <w:rPr>
          <w:rFonts w:ascii="Arial" w:hAnsi="Arial" w:cs="Arial"/>
          <w:sz w:val="22"/>
        </w:rPr>
        <w:t xml:space="preserve"> (see table 6)</w:t>
      </w:r>
      <w:r w:rsidRPr="006454B5">
        <w:rPr>
          <w:rFonts w:ascii="Arial" w:hAnsi="Arial" w:cs="Arial"/>
          <w:sz w:val="22"/>
        </w:rPr>
        <w:t>. This process meant we could determine the relative contribution of each category of case characteristic (i.e., are victim characteristics more important than characteristics of the offence in predicting case outcome?)</w:t>
      </w:r>
      <w:r w:rsidR="00C93333" w:rsidRPr="006454B5">
        <w:rPr>
          <w:rFonts w:ascii="Arial" w:hAnsi="Arial" w:cs="Arial"/>
          <w:sz w:val="22"/>
        </w:rPr>
        <w:t>, along with reducing the large number of independent variables</w:t>
      </w:r>
      <w:r w:rsidRPr="006454B5">
        <w:rPr>
          <w:rFonts w:ascii="Arial" w:hAnsi="Arial" w:cs="Arial"/>
          <w:sz w:val="22"/>
        </w:rPr>
        <w:t xml:space="preserve">. In all models, submission to CPS was chosen as the reference category, meaning the results can be interpreted as whether case characteristics predict victim withdrawal and police NFA </w:t>
      </w:r>
      <w:r w:rsidRPr="006454B5">
        <w:rPr>
          <w:rFonts w:ascii="Arial" w:hAnsi="Arial" w:cs="Arial"/>
          <w:i/>
          <w:iCs/>
          <w:sz w:val="22"/>
        </w:rPr>
        <w:t>compared to</w:t>
      </w:r>
      <w:r w:rsidRPr="006454B5">
        <w:rPr>
          <w:rFonts w:ascii="Arial" w:hAnsi="Arial" w:cs="Arial"/>
          <w:sz w:val="22"/>
        </w:rPr>
        <w:t xml:space="preserve"> CPS submission.</w:t>
      </w:r>
    </w:p>
    <w:p w14:paraId="5701644C" w14:textId="77777777" w:rsidR="009F4F9E" w:rsidRPr="006454B5" w:rsidRDefault="009F4F9E" w:rsidP="000C7544">
      <w:pPr>
        <w:spacing w:before="120" w:after="120"/>
        <w:contextualSpacing/>
        <w:rPr>
          <w:rFonts w:ascii="Arial" w:hAnsi="Arial" w:cs="Arial"/>
          <w:b/>
          <w:bCs/>
          <w:i/>
          <w:iCs/>
          <w:sz w:val="22"/>
        </w:rPr>
      </w:pPr>
      <w:r w:rsidRPr="006454B5">
        <w:rPr>
          <w:rFonts w:ascii="Arial" w:hAnsi="Arial" w:cs="Arial"/>
          <w:b/>
          <w:bCs/>
          <w:i/>
          <w:iCs/>
          <w:sz w:val="22"/>
        </w:rPr>
        <w:t>Victim Characteristics</w:t>
      </w:r>
    </w:p>
    <w:p w14:paraId="6B719711" w14:textId="29992C02" w:rsidR="009F4F9E" w:rsidRPr="006454B5" w:rsidRDefault="00AC6CD1" w:rsidP="000C7544">
      <w:pPr>
        <w:spacing w:before="120" w:after="120"/>
        <w:ind w:firstLine="720"/>
        <w:contextualSpacing/>
        <w:rPr>
          <w:rFonts w:ascii="Arial" w:hAnsi="Arial" w:cs="Arial"/>
          <w:sz w:val="22"/>
        </w:rPr>
      </w:pPr>
      <w:r w:rsidRPr="006454B5">
        <w:rPr>
          <w:rFonts w:ascii="Arial" w:hAnsi="Arial" w:cs="Arial"/>
          <w:sz w:val="22"/>
        </w:rPr>
        <w:t>In t</w:t>
      </w:r>
      <w:r w:rsidR="009F4F9E" w:rsidRPr="006454B5">
        <w:rPr>
          <w:rFonts w:ascii="Arial" w:hAnsi="Arial" w:cs="Arial"/>
          <w:sz w:val="22"/>
        </w:rPr>
        <w:t xml:space="preserve">he regression model for victim characteristics; each </w:t>
      </w:r>
      <w:r w:rsidR="009302D4" w:rsidRPr="006454B5">
        <w:rPr>
          <w:rFonts w:ascii="Arial" w:hAnsi="Arial" w:cs="Arial"/>
          <w:sz w:val="22"/>
        </w:rPr>
        <w:t xml:space="preserve">conceptual </w:t>
      </w:r>
      <w:r w:rsidR="009F4F9E" w:rsidRPr="006454B5">
        <w:rPr>
          <w:rFonts w:ascii="Arial" w:hAnsi="Arial" w:cs="Arial"/>
          <w:sz w:val="22"/>
        </w:rPr>
        <w:t>sub-group (e.g., demographics, needs or vulnerabilities, and prior history with police) was examined in a separ</w:t>
      </w:r>
      <w:r w:rsidRPr="006454B5">
        <w:rPr>
          <w:rFonts w:ascii="Arial" w:hAnsi="Arial" w:cs="Arial"/>
          <w:sz w:val="22"/>
        </w:rPr>
        <w:t>ate model. T</w:t>
      </w:r>
      <w:r w:rsidR="009F4F9E" w:rsidRPr="006454B5">
        <w:rPr>
          <w:rFonts w:ascii="Arial" w:hAnsi="Arial" w:cs="Arial"/>
          <w:sz w:val="22"/>
        </w:rPr>
        <w:t>wo victim characteristics significant predicted case outcomes. First, victims who were aged under 16 years at the time of the offence had 4 times lower odds of withdrawal, compared to CPS submission. Second, victims who were reported to have mental health issues had 2.7 times higher odds of withdrawal and 3.4 times higher odds of police NFA, compared to CPS submission. No other victim characteristics were significant at the p&lt;.05 level.</w:t>
      </w:r>
      <w:r w:rsidRPr="006454B5">
        <w:rPr>
          <w:rFonts w:ascii="Arial" w:hAnsi="Arial" w:cs="Arial"/>
          <w:sz w:val="22"/>
        </w:rPr>
        <w:t xml:space="preserve"> A full table of this material is available from the corresponding author.</w:t>
      </w:r>
    </w:p>
    <w:p w14:paraId="1CCFAD0B" w14:textId="77777777" w:rsidR="009F4F9E" w:rsidRPr="006454B5" w:rsidRDefault="009F4F9E" w:rsidP="000C7544">
      <w:pPr>
        <w:spacing w:before="120" w:after="120"/>
        <w:contextualSpacing/>
        <w:rPr>
          <w:rFonts w:ascii="Arial" w:hAnsi="Arial" w:cs="Arial"/>
          <w:b/>
          <w:bCs/>
          <w:i/>
          <w:iCs/>
          <w:sz w:val="22"/>
        </w:rPr>
      </w:pPr>
      <w:r w:rsidRPr="006454B5">
        <w:rPr>
          <w:rFonts w:ascii="Arial" w:hAnsi="Arial" w:cs="Arial"/>
          <w:b/>
          <w:bCs/>
          <w:i/>
          <w:iCs/>
          <w:sz w:val="22"/>
        </w:rPr>
        <w:t>Suspect Characteristics</w:t>
      </w:r>
    </w:p>
    <w:p w14:paraId="18D9B506" w14:textId="28E11A92" w:rsidR="009F4F9E" w:rsidRPr="006454B5" w:rsidRDefault="009F4F9E" w:rsidP="00AC6CD1">
      <w:pPr>
        <w:spacing w:before="120" w:after="120"/>
        <w:ind w:firstLine="720"/>
        <w:contextualSpacing/>
        <w:rPr>
          <w:rFonts w:ascii="Arial" w:hAnsi="Arial" w:cs="Arial"/>
          <w:sz w:val="22"/>
        </w:rPr>
      </w:pPr>
      <w:r w:rsidRPr="006454B5">
        <w:rPr>
          <w:rFonts w:ascii="Arial" w:hAnsi="Arial" w:cs="Arial"/>
          <w:sz w:val="22"/>
        </w:rPr>
        <w:lastRenderedPageBreak/>
        <w:t>Neither the demographics of suspects, their needs or vulnerabilities, or their prior history with pol</w:t>
      </w:r>
      <w:r w:rsidR="00AC6CD1" w:rsidRPr="006454B5">
        <w:rPr>
          <w:rFonts w:ascii="Arial" w:hAnsi="Arial" w:cs="Arial"/>
          <w:sz w:val="22"/>
        </w:rPr>
        <w:t>ice predicted case outcome (full table available from the corresponding author</w:t>
      </w:r>
      <w:r w:rsidRPr="006454B5">
        <w:rPr>
          <w:rFonts w:ascii="Arial" w:hAnsi="Arial" w:cs="Arial"/>
          <w:sz w:val="22"/>
        </w:rPr>
        <w:t>). However, the relationship between the victim and suspect was a significant predictor of victim withdrawal. In cases where the suspect was an intimate partner of the victim, the odds of withdrawal were 2.4 times higher. Conversely, in cases where the suspect was a family member of the victim, the odds of wi</w:t>
      </w:r>
      <w:r w:rsidR="00AC6CD1" w:rsidRPr="006454B5">
        <w:rPr>
          <w:rFonts w:ascii="Arial" w:hAnsi="Arial" w:cs="Arial"/>
          <w:sz w:val="22"/>
        </w:rPr>
        <w:t xml:space="preserve">thdrawal were 3.2 times lower. </w:t>
      </w:r>
    </w:p>
    <w:p w14:paraId="7302648B" w14:textId="77777777" w:rsidR="009F4F9E" w:rsidRPr="006454B5" w:rsidRDefault="009F4F9E" w:rsidP="000C7544">
      <w:pPr>
        <w:spacing w:before="120" w:after="120"/>
        <w:contextualSpacing/>
        <w:rPr>
          <w:rFonts w:ascii="Arial" w:hAnsi="Arial" w:cs="Arial"/>
          <w:b/>
          <w:bCs/>
          <w:i/>
          <w:iCs/>
          <w:sz w:val="22"/>
        </w:rPr>
      </w:pPr>
      <w:r w:rsidRPr="006454B5">
        <w:rPr>
          <w:rFonts w:ascii="Arial" w:hAnsi="Arial" w:cs="Arial"/>
          <w:b/>
          <w:bCs/>
          <w:i/>
          <w:iCs/>
          <w:sz w:val="22"/>
        </w:rPr>
        <w:t>Offence Characteristics</w:t>
      </w:r>
    </w:p>
    <w:p w14:paraId="3DD81FA2" w14:textId="25E20AA3" w:rsidR="009F4F9E" w:rsidRPr="006454B5" w:rsidRDefault="009F4F9E" w:rsidP="00AC6CD1">
      <w:pPr>
        <w:spacing w:before="120" w:after="120"/>
        <w:ind w:firstLine="720"/>
        <w:contextualSpacing/>
        <w:rPr>
          <w:rFonts w:ascii="Arial" w:hAnsi="Arial" w:cs="Arial"/>
          <w:sz w:val="22"/>
        </w:rPr>
      </w:pPr>
      <w:r w:rsidRPr="006454B5">
        <w:rPr>
          <w:rFonts w:ascii="Arial" w:hAnsi="Arial" w:cs="Arial"/>
          <w:sz w:val="22"/>
        </w:rPr>
        <w:t>Two offence characteristics were significant predictors of victim withdrawal; no offence characteristics predicted police NFA (</w:t>
      </w:r>
      <w:r w:rsidR="00AC6CD1" w:rsidRPr="006454B5">
        <w:rPr>
          <w:rFonts w:ascii="Arial" w:hAnsi="Arial" w:cs="Arial"/>
          <w:sz w:val="22"/>
        </w:rPr>
        <w:t>full table available from the corresponding author</w:t>
      </w:r>
      <w:r w:rsidRPr="006454B5">
        <w:rPr>
          <w:rFonts w:ascii="Arial" w:hAnsi="Arial" w:cs="Arial"/>
          <w:sz w:val="22"/>
        </w:rPr>
        <w:t>). First, if the offence was related to domestic violence, the case had 3.3 times higher odds of victim withdrawal, compared to CPS submission. Second, if the victim sustained an injury during the incident, the odds of victim withdrawal were 2.4 times lower.</w:t>
      </w:r>
    </w:p>
    <w:p w14:paraId="37E35B64" w14:textId="77777777" w:rsidR="009F4F9E" w:rsidRPr="006454B5" w:rsidRDefault="009F4F9E" w:rsidP="000C7544">
      <w:pPr>
        <w:spacing w:before="120" w:after="120"/>
        <w:contextualSpacing/>
        <w:rPr>
          <w:rFonts w:ascii="Arial" w:hAnsi="Arial" w:cs="Arial"/>
          <w:b/>
          <w:bCs/>
          <w:i/>
          <w:iCs/>
          <w:sz w:val="22"/>
        </w:rPr>
      </w:pPr>
      <w:r w:rsidRPr="006454B5">
        <w:rPr>
          <w:rFonts w:ascii="Arial" w:hAnsi="Arial" w:cs="Arial"/>
          <w:b/>
          <w:bCs/>
          <w:i/>
          <w:iCs/>
          <w:sz w:val="22"/>
        </w:rPr>
        <w:t>Procedural characteristics</w:t>
      </w:r>
    </w:p>
    <w:p w14:paraId="2835CA58" w14:textId="021DDC68" w:rsidR="009F4F9E" w:rsidRPr="006454B5" w:rsidRDefault="00AC6CD1" w:rsidP="00AC6CD1">
      <w:pPr>
        <w:spacing w:before="120" w:after="120"/>
        <w:ind w:firstLine="720"/>
        <w:contextualSpacing/>
        <w:rPr>
          <w:rFonts w:ascii="Arial" w:hAnsi="Arial" w:cs="Arial"/>
          <w:sz w:val="22"/>
        </w:rPr>
      </w:pPr>
      <w:r w:rsidRPr="006454B5">
        <w:rPr>
          <w:rFonts w:ascii="Arial" w:hAnsi="Arial" w:cs="Arial"/>
          <w:sz w:val="22"/>
        </w:rPr>
        <w:t>P</w:t>
      </w:r>
      <w:r w:rsidR="009F4F9E" w:rsidRPr="006454B5">
        <w:rPr>
          <w:rFonts w:ascii="Arial" w:hAnsi="Arial" w:cs="Arial"/>
          <w:sz w:val="22"/>
        </w:rPr>
        <w:t>rocedural characteristics</w:t>
      </w:r>
      <w:r w:rsidRPr="006454B5">
        <w:rPr>
          <w:rFonts w:ascii="Arial" w:hAnsi="Arial" w:cs="Arial"/>
          <w:sz w:val="22"/>
        </w:rPr>
        <w:t xml:space="preserve"> are also examined</w:t>
      </w:r>
      <w:r w:rsidR="009F4F9E" w:rsidRPr="006454B5">
        <w:rPr>
          <w:rFonts w:ascii="Arial" w:hAnsi="Arial" w:cs="Arial"/>
          <w:sz w:val="22"/>
        </w:rPr>
        <w:t xml:space="preserve">. First, looking at reporting, the method of reporting was a significant predictor of victim withdrawal: victims who reported their rape in response to the DASH questions asked when police attend a domestic abuse call had 6.4 times higher odds of withdrawal than CPS submission (a finding in line with the intimate partner and domestic violence predictors above). The timing of reporting was not significantly related to case outcome, although victims who reported within 24 hours had significantly lower odds of withdrawal at the p&lt;.10 level. </w:t>
      </w:r>
    </w:p>
    <w:p w14:paraId="32A06298" w14:textId="1192BC14" w:rsidR="009F4F9E" w:rsidRPr="006454B5" w:rsidRDefault="009F4F9E" w:rsidP="000C7544">
      <w:pPr>
        <w:spacing w:before="120" w:after="120"/>
        <w:ind w:firstLine="720"/>
        <w:contextualSpacing/>
        <w:rPr>
          <w:rFonts w:ascii="Arial" w:hAnsi="Arial" w:cs="Arial"/>
          <w:sz w:val="22"/>
        </w:rPr>
      </w:pPr>
      <w:r w:rsidRPr="006454B5">
        <w:rPr>
          <w:rFonts w:ascii="Arial" w:hAnsi="Arial" w:cs="Arial"/>
          <w:sz w:val="22"/>
        </w:rPr>
        <w:t xml:space="preserve">Turning to the evidential factors, several were predictive of victim withdrawal. If the victim participated in a video recorded interview (VRI), the odds of withdrawal was 3.1 times lower than CPS submission, and in cases where the victim’s technology was </w:t>
      </w:r>
      <w:r w:rsidR="004B3C26" w:rsidRPr="006454B5">
        <w:rPr>
          <w:rFonts w:ascii="Arial" w:hAnsi="Arial" w:cs="Arial"/>
          <w:sz w:val="22"/>
        </w:rPr>
        <w:t>obtained</w:t>
      </w:r>
      <w:r w:rsidRPr="006454B5">
        <w:rPr>
          <w:rFonts w:ascii="Arial" w:hAnsi="Arial" w:cs="Arial"/>
          <w:sz w:val="22"/>
        </w:rPr>
        <w:t xml:space="preserve"> by police, 3.7 times lower. Furthermore, cases where the suspect denied intercourse or sexual contact had occurred and cases where third party material (such as information from social services) was requested, also had significantly lower odds of withdrawal. </w:t>
      </w:r>
    </w:p>
    <w:p w14:paraId="4DF325C7" w14:textId="77777777" w:rsidR="009F4F9E" w:rsidRPr="006454B5" w:rsidRDefault="009F4F9E" w:rsidP="000C7544">
      <w:pPr>
        <w:spacing w:before="120" w:after="120"/>
        <w:ind w:firstLine="720"/>
        <w:contextualSpacing/>
        <w:rPr>
          <w:rFonts w:ascii="Arial" w:hAnsi="Arial" w:cs="Arial"/>
          <w:sz w:val="22"/>
        </w:rPr>
      </w:pPr>
      <w:r w:rsidRPr="006454B5">
        <w:rPr>
          <w:rFonts w:ascii="Arial" w:hAnsi="Arial" w:cs="Arial"/>
          <w:sz w:val="22"/>
        </w:rPr>
        <w:t xml:space="preserve">A different set of evidential factors were significant predictors of police NFA. First, cases where the victim gave an inconsistent account had 9 times higher odds of police NFA, </w:t>
      </w:r>
      <w:r w:rsidRPr="006454B5">
        <w:rPr>
          <w:rFonts w:ascii="Arial" w:hAnsi="Arial" w:cs="Arial"/>
          <w:sz w:val="22"/>
        </w:rPr>
        <w:lastRenderedPageBreak/>
        <w:t xml:space="preserve">and if the suspect claimed consent, the odds of police NFA was 4.2 times higher. Second, in cases where no forensic opportunities were available, and other evidence cast doubt on the case, the odds of NFA was significantly higher, at 6.3 and 8.3 times, respectively. </w:t>
      </w:r>
    </w:p>
    <w:p w14:paraId="217B85B4" w14:textId="77777777" w:rsidR="009F4F9E" w:rsidRPr="006454B5" w:rsidRDefault="009F4F9E" w:rsidP="000C7544">
      <w:pPr>
        <w:spacing w:before="120" w:after="120"/>
        <w:ind w:firstLine="720"/>
        <w:contextualSpacing/>
        <w:rPr>
          <w:rFonts w:ascii="Arial" w:hAnsi="Arial" w:cs="Arial"/>
          <w:sz w:val="22"/>
        </w:rPr>
      </w:pPr>
      <w:r w:rsidRPr="006454B5">
        <w:rPr>
          <w:rFonts w:ascii="Arial" w:hAnsi="Arial" w:cs="Arial"/>
          <w:sz w:val="22"/>
        </w:rPr>
        <w:t xml:space="preserve">Factors related to the police investigation were also important for predicting case outcomes. If the police had made notes about their perceptions of the chance of conviction, the odds of police NFA was 5.5 times higher. In cases where the victim was noted to be difficult to contact, there was 3.9 times higher odds of victim withdrawal. Lastly, if there was reference in the case file about delays to the investigation due to workload, the odds of withdrawal were 6.7 times lower and the odds of police NFA was 3.4 times lower. </w:t>
      </w:r>
    </w:p>
    <w:p w14:paraId="1AC5214F" w14:textId="77777777" w:rsidR="009F4F9E" w:rsidRPr="006454B5" w:rsidRDefault="009F4F9E" w:rsidP="000C7544">
      <w:pPr>
        <w:spacing w:before="120" w:after="120"/>
        <w:contextualSpacing/>
        <w:rPr>
          <w:rFonts w:ascii="Arial" w:hAnsi="Arial" w:cs="Arial"/>
          <w:b/>
          <w:bCs/>
          <w:i/>
          <w:iCs/>
          <w:sz w:val="22"/>
        </w:rPr>
      </w:pPr>
      <w:r w:rsidRPr="006454B5">
        <w:rPr>
          <w:rFonts w:ascii="Arial" w:hAnsi="Arial" w:cs="Arial"/>
          <w:b/>
          <w:bCs/>
          <w:i/>
          <w:iCs/>
          <w:sz w:val="22"/>
        </w:rPr>
        <w:t>Final Multivariate Model</w:t>
      </w:r>
    </w:p>
    <w:p w14:paraId="179BA227" w14:textId="14EBB1E7" w:rsidR="009F4F9E" w:rsidRPr="006454B5" w:rsidRDefault="00424E51" w:rsidP="000C7544">
      <w:pPr>
        <w:spacing w:before="120" w:after="120"/>
        <w:ind w:firstLine="720"/>
        <w:contextualSpacing/>
        <w:rPr>
          <w:rFonts w:ascii="Arial" w:hAnsi="Arial" w:cs="Arial"/>
          <w:sz w:val="22"/>
        </w:rPr>
      </w:pPr>
      <w:r>
        <w:rPr>
          <w:rFonts w:ascii="Arial" w:hAnsi="Arial" w:cs="Arial"/>
          <w:sz w:val="22"/>
        </w:rPr>
        <w:t>Table 6</w:t>
      </w:r>
      <w:r w:rsidR="009F4F9E" w:rsidRPr="006454B5">
        <w:rPr>
          <w:rFonts w:ascii="Arial" w:hAnsi="Arial" w:cs="Arial"/>
          <w:sz w:val="22"/>
        </w:rPr>
        <w:t xml:space="preserve"> presents the findings from a final multi-variate multinomial logistic regression model with all categories of case characteristics included together in the model. This analysis was used to determine the relative contribution of each category to predicting case outcomes</w:t>
      </w:r>
      <w:r w:rsidR="009302D4" w:rsidRPr="006454B5">
        <w:rPr>
          <w:rFonts w:ascii="Arial" w:hAnsi="Arial" w:cs="Arial"/>
          <w:sz w:val="22"/>
        </w:rPr>
        <w:t xml:space="preserve"> (see Figure 1)</w:t>
      </w:r>
      <w:r w:rsidR="009F4F9E" w:rsidRPr="006454B5">
        <w:rPr>
          <w:rFonts w:ascii="Arial" w:hAnsi="Arial" w:cs="Arial"/>
          <w:sz w:val="22"/>
        </w:rPr>
        <w:t>. As can be seen by</w:t>
      </w:r>
      <w:r>
        <w:rPr>
          <w:rFonts w:ascii="Arial" w:hAnsi="Arial" w:cs="Arial"/>
          <w:sz w:val="22"/>
        </w:rPr>
        <w:t xml:space="preserve"> the figures in bold in Table 6</w:t>
      </w:r>
      <w:r w:rsidR="009F4F9E" w:rsidRPr="006454B5">
        <w:rPr>
          <w:rFonts w:ascii="Arial" w:hAnsi="Arial" w:cs="Arial"/>
          <w:sz w:val="22"/>
        </w:rPr>
        <w:t xml:space="preserve">, three procedural characteristics were significant independent predictors of victim withdrawal in the overall model: the victim’s technology being </w:t>
      </w:r>
      <w:r w:rsidR="004B3C26" w:rsidRPr="006454B5">
        <w:rPr>
          <w:rFonts w:ascii="Arial" w:hAnsi="Arial" w:cs="Arial"/>
          <w:sz w:val="22"/>
        </w:rPr>
        <w:t>obtaine</w:t>
      </w:r>
      <w:r w:rsidR="009F4F9E" w:rsidRPr="006454B5">
        <w:rPr>
          <w:rFonts w:ascii="Arial" w:hAnsi="Arial" w:cs="Arial"/>
          <w:sz w:val="22"/>
        </w:rPr>
        <w:t>d related to lower odds of withdrawal; and no forensic opportunities and reporting via DASH related to higher odds of withdrawal. The relationship between the victim and suspect was no longer a significant predictor of withdrawal; however, victims under 16 years had lower odds of withdrawal after taking the other variables into account. Similarly, accounting for the other variables, if the victim was injured during the offence, the odds of withdrawal remained significantly lower.</w:t>
      </w:r>
    </w:p>
    <w:p w14:paraId="48A86C76" w14:textId="6B7D38A0" w:rsidR="009F4F9E" w:rsidRPr="006454B5" w:rsidRDefault="009F4F9E" w:rsidP="000C7544">
      <w:pPr>
        <w:spacing w:before="120" w:after="120"/>
        <w:ind w:firstLine="720"/>
        <w:contextualSpacing/>
        <w:rPr>
          <w:rFonts w:ascii="Arial" w:hAnsi="Arial" w:cs="Arial"/>
          <w:sz w:val="22"/>
        </w:rPr>
      </w:pPr>
      <w:r w:rsidRPr="006454B5">
        <w:rPr>
          <w:rFonts w:ascii="Arial" w:hAnsi="Arial" w:cs="Arial"/>
          <w:sz w:val="22"/>
        </w:rPr>
        <w:t xml:space="preserve">Procedural characteristics – particularly those relating to evidence – were the most important predictors of police NFA; victim, suspect and offence characteristics were no longer significant in the overall model. If the victim gave an inconsistent account and if the case lacked forensic opportunities, the odds of police NFA was higher; conversely, if the victim’s technology was </w:t>
      </w:r>
      <w:r w:rsidR="004B3C26" w:rsidRPr="006454B5">
        <w:rPr>
          <w:rFonts w:ascii="Arial" w:hAnsi="Arial" w:cs="Arial"/>
          <w:sz w:val="22"/>
        </w:rPr>
        <w:t>o</w:t>
      </w:r>
      <w:r w:rsidR="007642B7" w:rsidRPr="006454B5">
        <w:rPr>
          <w:rFonts w:ascii="Arial" w:hAnsi="Arial" w:cs="Arial"/>
          <w:sz w:val="22"/>
        </w:rPr>
        <w:t>bt</w:t>
      </w:r>
      <w:r w:rsidR="004B3C26" w:rsidRPr="006454B5">
        <w:rPr>
          <w:rFonts w:ascii="Arial" w:hAnsi="Arial" w:cs="Arial"/>
          <w:sz w:val="22"/>
        </w:rPr>
        <w:t>aine</w:t>
      </w:r>
      <w:r w:rsidRPr="006454B5">
        <w:rPr>
          <w:rFonts w:ascii="Arial" w:hAnsi="Arial" w:cs="Arial"/>
          <w:sz w:val="22"/>
        </w:rPr>
        <w:t xml:space="preserve">d by police, the odds of police NFA was lower. Police perceptions about the chance of a conviction in court remained a significant predictor, as did any reference to delays due to workload. </w:t>
      </w:r>
    </w:p>
    <w:p w14:paraId="0055D0D9" w14:textId="59544CD0" w:rsidR="009F4F9E" w:rsidRPr="006454B5" w:rsidRDefault="007D0C8F" w:rsidP="000C7544">
      <w:pPr>
        <w:spacing w:before="120" w:after="120"/>
        <w:contextualSpacing/>
        <w:jc w:val="center"/>
        <w:rPr>
          <w:rFonts w:ascii="Arial" w:hAnsi="Arial" w:cs="Arial"/>
          <w:sz w:val="22"/>
        </w:rPr>
      </w:pPr>
      <w:r w:rsidRPr="006454B5">
        <w:rPr>
          <w:rFonts w:ascii="Arial" w:hAnsi="Arial" w:cs="Arial"/>
          <w:sz w:val="22"/>
        </w:rPr>
        <w:lastRenderedPageBreak/>
        <w:t>[Insert Table 6</w:t>
      </w:r>
      <w:r w:rsidR="009F4F9E" w:rsidRPr="006454B5">
        <w:rPr>
          <w:rFonts w:ascii="Arial" w:hAnsi="Arial" w:cs="Arial"/>
          <w:sz w:val="22"/>
        </w:rPr>
        <w:t xml:space="preserve"> here]</w:t>
      </w:r>
    </w:p>
    <w:p w14:paraId="7FFFA246" w14:textId="3451F4BE" w:rsidR="009F4F9E" w:rsidRPr="006454B5" w:rsidRDefault="009F4F9E" w:rsidP="000C7544">
      <w:pPr>
        <w:spacing w:before="120" w:after="120"/>
        <w:contextualSpacing/>
        <w:jc w:val="center"/>
        <w:rPr>
          <w:rFonts w:ascii="Arial" w:hAnsi="Arial" w:cs="Arial"/>
          <w:b/>
          <w:bCs/>
          <w:sz w:val="22"/>
        </w:rPr>
      </w:pPr>
      <w:r w:rsidRPr="006454B5">
        <w:rPr>
          <w:rFonts w:ascii="Arial" w:hAnsi="Arial" w:cs="Arial"/>
          <w:b/>
          <w:bCs/>
          <w:sz w:val="22"/>
        </w:rPr>
        <w:t>Discussion</w:t>
      </w:r>
    </w:p>
    <w:p w14:paraId="0D014A73" w14:textId="717EE008" w:rsidR="009F4F9E" w:rsidRPr="006454B5" w:rsidRDefault="009F4F9E" w:rsidP="000C7544">
      <w:pPr>
        <w:spacing w:before="120" w:after="120"/>
        <w:ind w:firstLine="720"/>
        <w:contextualSpacing/>
        <w:rPr>
          <w:rFonts w:ascii="Arial" w:hAnsi="Arial" w:cs="Arial"/>
          <w:sz w:val="22"/>
        </w:rPr>
      </w:pPr>
      <w:r w:rsidRPr="006454B5">
        <w:rPr>
          <w:rFonts w:ascii="Arial" w:hAnsi="Arial" w:cs="Arial"/>
          <w:sz w:val="22"/>
        </w:rPr>
        <w:t>The current study presents a contemporary profile of male-on-female rape cases recorded in London</w:t>
      </w:r>
      <w:r w:rsidR="009302D4" w:rsidRPr="006454B5">
        <w:rPr>
          <w:rFonts w:ascii="Arial" w:hAnsi="Arial" w:cs="Arial"/>
          <w:sz w:val="22"/>
        </w:rPr>
        <w:t xml:space="preserve"> in April 2016</w:t>
      </w:r>
      <w:r w:rsidRPr="006454B5">
        <w:rPr>
          <w:rFonts w:ascii="Arial" w:hAnsi="Arial" w:cs="Arial"/>
          <w:sz w:val="22"/>
        </w:rPr>
        <w:t xml:space="preserve">. </w:t>
      </w:r>
      <w:r w:rsidR="009302D4" w:rsidRPr="006454B5">
        <w:rPr>
          <w:rFonts w:ascii="Arial" w:hAnsi="Arial" w:cs="Arial"/>
          <w:sz w:val="22"/>
        </w:rPr>
        <w:t>We comprehensively examined</w:t>
      </w:r>
      <w:r w:rsidRPr="006454B5">
        <w:rPr>
          <w:rFonts w:ascii="Arial" w:hAnsi="Arial" w:cs="Arial"/>
          <w:sz w:val="22"/>
        </w:rPr>
        <w:t xml:space="preserve"> the victim, suspect, offence, and procedural characteristics of cases, </w:t>
      </w:r>
      <w:r w:rsidR="009302D4" w:rsidRPr="006454B5">
        <w:rPr>
          <w:rFonts w:ascii="Arial" w:hAnsi="Arial" w:cs="Arial"/>
          <w:sz w:val="22"/>
        </w:rPr>
        <w:t>and assessed their</w:t>
      </w:r>
      <w:r w:rsidRPr="006454B5">
        <w:rPr>
          <w:rFonts w:ascii="Arial" w:hAnsi="Arial" w:cs="Arial"/>
          <w:sz w:val="22"/>
        </w:rPr>
        <w:t xml:space="preserve"> relationship</w:t>
      </w:r>
      <w:r w:rsidR="009302D4" w:rsidRPr="006454B5">
        <w:rPr>
          <w:rFonts w:ascii="Arial" w:hAnsi="Arial" w:cs="Arial"/>
          <w:sz w:val="22"/>
        </w:rPr>
        <w:t xml:space="preserve"> with case outcomes</w:t>
      </w:r>
      <w:r w:rsidRPr="006454B5">
        <w:rPr>
          <w:rFonts w:ascii="Arial" w:hAnsi="Arial" w:cs="Arial"/>
          <w:sz w:val="22"/>
        </w:rPr>
        <w:t xml:space="preserve">. At present, </w:t>
      </w:r>
      <w:r w:rsidR="009302D4" w:rsidRPr="006454B5">
        <w:rPr>
          <w:rFonts w:ascii="Arial" w:hAnsi="Arial" w:cs="Arial"/>
          <w:sz w:val="22"/>
        </w:rPr>
        <w:t>our study is</w:t>
      </w:r>
      <w:r w:rsidRPr="006454B5">
        <w:rPr>
          <w:rFonts w:ascii="Arial" w:hAnsi="Arial" w:cs="Arial"/>
          <w:sz w:val="22"/>
        </w:rPr>
        <w:t xml:space="preserve"> unique in its use of recent, real case data held by the Metropolitan Police Service, to provide insight into the attrition avenues of rape cases within the </w:t>
      </w:r>
      <w:r w:rsidR="00FF0B95" w:rsidRPr="006454B5">
        <w:rPr>
          <w:rFonts w:ascii="Arial" w:hAnsi="Arial" w:cs="Arial"/>
          <w:sz w:val="22"/>
        </w:rPr>
        <w:t xml:space="preserve">England and Wales </w:t>
      </w:r>
      <w:r w:rsidRPr="006454B5">
        <w:rPr>
          <w:rFonts w:ascii="Arial" w:hAnsi="Arial" w:cs="Arial"/>
          <w:sz w:val="22"/>
        </w:rPr>
        <w:t xml:space="preserve">justice system. Additionally, </w:t>
      </w:r>
      <w:r w:rsidR="00D41616" w:rsidRPr="006454B5">
        <w:rPr>
          <w:rFonts w:ascii="Arial" w:hAnsi="Arial" w:cs="Arial"/>
          <w:sz w:val="22"/>
        </w:rPr>
        <w:t>our study</w:t>
      </w:r>
      <w:r w:rsidRPr="006454B5">
        <w:rPr>
          <w:rFonts w:ascii="Arial" w:hAnsi="Arial" w:cs="Arial"/>
          <w:sz w:val="22"/>
        </w:rPr>
        <w:t xml:space="preserve"> applies a more comprehensive coding framework than previous reviews</w:t>
      </w:r>
      <w:r w:rsidR="00D41616" w:rsidRPr="006454B5">
        <w:rPr>
          <w:rFonts w:ascii="Arial" w:hAnsi="Arial" w:cs="Arial"/>
          <w:sz w:val="22"/>
        </w:rPr>
        <w:t xml:space="preserve"> and</w:t>
      </w:r>
      <w:r w:rsidRPr="006454B5">
        <w:rPr>
          <w:rFonts w:ascii="Arial" w:hAnsi="Arial" w:cs="Arial"/>
          <w:sz w:val="22"/>
        </w:rPr>
        <w:t xml:space="preserve"> includ</w:t>
      </w:r>
      <w:r w:rsidR="00D41616" w:rsidRPr="006454B5">
        <w:rPr>
          <w:rFonts w:ascii="Arial" w:hAnsi="Arial" w:cs="Arial"/>
          <w:sz w:val="22"/>
        </w:rPr>
        <w:t>es</w:t>
      </w:r>
      <w:r w:rsidRPr="006454B5">
        <w:rPr>
          <w:rFonts w:ascii="Arial" w:hAnsi="Arial" w:cs="Arial"/>
          <w:sz w:val="22"/>
        </w:rPr>
        <w:t xml:space="preserve"> </w:t>
      </w:r>
      <w:r w:rsidR="00D41616" w:rsidRPr="006454B5">
        <w:rPr>
          <w:rFonts w:ascii="Arial" w:hAnsi="Arial" w:cs="Arial"/>
          <w:sz w:val="22"/>
        </w:rPr>
        <w:t xml:space="preserve">specific variables </w:t>
      </w:r>
      <w:r w:rsidRPr="006454B5">
        <w:rPr>
          <w:rFonts w:ascii="Arial" w:hAnsi="Arial" w:cs="Arial"/>
          <w:sz w:val="22"/>
        </w:rPr>
        <w:t>related to changes in policy (</w:t>
      </w:r>
      <w:r w:rsidR="00D41616" w:rsidRPr="006454B5">
        <w:rPr>
          <w:rFonts w:ascii="Arial" w:hAnsi="Arial" w:cs="Arial"/>
          <w:sz w:val="22"/>
        </w:rPr>
        <w:t xml:space="preserve">i.e., </w:t>
      </w:r>
      <w:r w:rsidRPr="006454B5">
        <w:rPr>
          <w:rFonts w:ascii="Arial" w:hAnsi="Arial" w:cs="Arial"/>
          <w:sz w:val="22"/>
        </w:rPr>
        <w:t xml:space="preserve">requests for victim technology). </w:t>
      </w:r>
      <w:r w:rsidR="00D41616" w:rsidRPr="006454B5">
        <w:rPr>
          <w:rFonts w:ascii="Arial" w:hAnsi="Arial" w:cs="Arial"/>
          <w:sz w:val="22"/>
        </w:rPr>
        <w:t>Our findings</w:t>
      </w:r>
      <w:r w:rsidRPr="006454B5">
        <w:rPr>
          <w:rFonts w:ascii="Arial" w:hAnsi="Arial" w:cs="Arial"/>
          <w:sz w:val="22"/>
        </w:rPr>
        <w:t>, discussed in detail below, therefore contribute valuable insight into the process of rape investigation, and identify important avenues for improvement in the wake of several significant policy, procedure, and practice changes.</w:t>
      </w:r>
    </w:p>
    <w:p w14:paraId="214B1FBC" w14:textId="3D3AFD30" w:rsidR="000018C3" w:rsidRPr="006454B5" w:rsidRDefault="000018C3" w:rsidP="000C7544">
      <w:pPr>
        <w:spacing w:before="120" w:after="120"/>
        <w:contextualSpacing/>
        <w:rPr>
          <w:rFonts w:ascii="Arial" w:hAnsi="Arial" w:cs="Arial"/>
          <w:b/>
          <w:bCs/>
          <w:sz w:val="22"/>
        </w:rPr>
      </w:pPr>
      <w:r w:rsidRPr="006454B5">
        <w:rPr>
          <w:rFonts w:ascii="Arial" w:hAnsi="Arial" w:cs="Arial"/>
          <w:b/>
          <w:bCs/>
          <w:sz w:val="22"/>
        </w:rPr>
        <w:t>Change and Continuity in the Profile of Rape Cases</w:t>
      </w:r>
      <w:r w:rsidR="00A85C84" w:rsidRPr="006454B5">
        <w:rPr>
          <w:rFonts w:ascii="Arial" w:hAnsi="Arial" w:cs="Arial"/>
          <w:b/>
          <w:bCs/>
          <w:sz w:val="22"/>
        </w:rPr>
        <w:t xml:space="preserve"> </w:t>
      </w:r>
    </w:p>
    <w:p w14:paraId="0591CA5D" w14:textId="1D9083C5" w:rsidR="009F4F9E" w:rsidRPr="006454B5" w:rsidRDefault="009F4F9E" w:rsidP="000C7544">
      <w:pPr>
        <w:spacing w:before="120" w:after="120"/>
        <w:ind w:firstLine="720"/>
        <w:contextualSpacing/>
        <w:rPr>
          <w:rFonts w:ascii="Arial" w:hAnsi="Arial" w:cs="Arial"/>
          <w:sz w:val="22"/>
        </w:rPr>
      </w:pPr>
      <w:r w:rsidRPr="006454B5">
        <w:rPr>
          <w:rFonts w:ascii="Arial" w:hAnsi="Arial" w:cs="Arial"/>
          <w:sz w:val="22"/>
        </w:rPr>
        <w:t xml:space="preserve">The principal point of comparison for </w:t>
      </w:r>
      <w:r w:rsidR="000018C3" w:rsidRPr="006454B5">
        <w:rPr>
          <w:rFonts w:ascii="Arial" w:hAnsi="Arial" w:cs="Arial"/>
          <w:sz w:val="22"/>
        </w:rPr>
        <w:t>our findings is</w:t>
      </w:r>
      <w:r w:rsidRPr="006454B5">
        <w:rPr>
          <w:rFonts w:ascii="Arial" w:hAnsi="Arial" w:cs="Arial"/>
          <w:sz w:val="22"/>
        </w:rPr>
        <w:t xml:space="preserve"> </w:t>
      </w:r>
      <w:proofErr w:type="spellStart"/>
      <w:r w:rsidRPr="006454B5">
        <w:rPr>
          <w:rFonts w:ascii="Arial" w:hAnsi="Arial" w:cs="Arial"/>
          <w:sz w:val="22"/>
        </w:rPr>
        <w:t>Hohl</w:t>
      </w:r>
      <w:proofErr w:type="spellEnd"/>
      <w:r w:rsidRPr="006454B5">
        <w:rPr>
          <w:rFonts w:ascii="Arial" w:hAnsi="Arial" w:cs="Arial"/>
          <w:sz w:val="22"/>
        </w:rPr>
        <w:t xml:space="preserve"> and </w:t>
      </w:r>
      <w:proofErr w:type="spellStart"/>
      <w:r w:rsidRPr="006454B5">
        <w:rPr>
          <w:rFonts w:ascii="Arial" w:hAnsi="Arial" w:cs="Arial"/>
          <w:sz w:val="22"/>
        </w:rPr>
        <w:t>Stanko</w:t>
      </w:r>
      <w:proofErr w:type="spellEnd"/>
      <w:r w:rsidRPr="006454B5">
        <w:rPr>
          <w:rFonts w:ascii="Arial" w:hAnsi="Arial" w:cs="Arial"/>
          <w:sz w:val="22"/>
        </w:rPr>
        <w:t xml:space="preserve"> (2015), for several reasons. First, their study was based on coded </w:t>
      </w:r>
      <w:r w:rsidR="00FF0B95" w:rsidRPr="006454B5">
        <w:rPr>
          <w:rFonts w:ascii="Arial" w:hAnsi="Arial" w:cs="Arial"/>
          <w:sz w:val="22"/>
        </w:rPr>
        <w:t xml:space="preserve">data </w:t>
      </w:r>
      <w:r w:rsidRPr="006454B5">
        <w:rPr>
          <w:rFonts w:ascii="Arial" w:hAnsi="Arial" w:cs="Arial"/>
          <w:sz w:val="22"/>
        </w:rPr>
        <w:t xml:space="preserve">gathered in the same geographical area, using a similar procedure; second, their study is the most recent substantial case review; and third, their study acts as the most useful point of comparison for </w:t>
      </w:r>
      <w:r w:rsidR="00D41616" w:rsidRPr="006454B5">
        <w:rPr>
          <w:rFonts w:ascii="Arial" w:hAnsi="Arial" w:cs="Arial"/>
          <w:sz w:val="22"/>
        </w:rPr>
        <w:t>examining</w:t>
      </w:r>
      <w:r w:rsidRPr="006454B5">
        <w:rPr>
          <w:rFonts w:ascii="Arial" w:hAnsi="Arial" w:cs="Arial"/>
          <w:sz w:val="22"/>
        </w:rPr>
        <w:t xml:space="preserve"> </w:t>
      </w:r>
      <w:r w:rsidR="00D41616" w:rsidRPr="006454B5">
        <w:rPr>
          <w:rFonts w:ascii="Arial" w:hAnsi="Arial" w:cs="Arial"/>
          <w:sz w:val="22"/>
        </w:rPr>
        <w:t xml:space="preserve">the </w:t>
      </w:r>
      <w:r w:rsidRPr="006454B5">
        <w:rPr>
          <w:rFonts w:ascii="Arial" w:hAnsi="Arial" w:cs="Arial"/>
          <w:sz w:val="22"/>
        </w:rPr>
        <w:t xml:space="preserve">impact of several key policy changes, including the use of ‘no crime’ classifications, Operation </w:t>
      </w:r>
      <w:proofErr w:type="spellStart"/>
      <w:r w:rsidRPr="006454B5">
        <w:rPr>
          <w:rFonts w:ascii="Arial" w:hAnsi="Arial" w:cs="Arial"/>
          <w:sz w:val="22"/>
        </w:rPr>
        <w:t>Yewtree</w:t>
      </w:r>
      <w:proofErr w:type="spellEnd"/>
      <w:r w:rsidRPr="006454B5">
        <w:rPr>
          <w:rFonts w:ascii="Arial" w:hAnsi="Arial" w:cs="Arial"/>
          <w:sz w:val="22"/>
        </w:rPr>
        <w:t xml:space="preserve">, and the 2015 Dame </w:t>
      </w:r>
      <w:proofErr w:type="spellStart"/>
      <w:r w:rsidRPr="006454B5">
        <w:rPr>
          <w:rFonts w:ascii="Arial" w:hAnsi="Arial" w:cs="Arial"/>
          <w:sz w:val="22"/>
        </w:rPr>
        <w:t>Eilish</w:t>
      </w:r>
      <w:proofErr w:type="spellEnd"/>
      <w:r w:rsidRPr="006454B5">
        <w:rPr>
          <w:rFonts w:ascii="Arial" w:hAnsi="Arial" w:cs="Arial"/>
          <w:sz w:val="22"/>
        </w:rPr>
        <w:t xml:space="preserve"> </w:t>
      </w:r>
      <w:proofErr w:type="spellStart"/>
      <w:r w:rsidRPr="006454B5">
        <w:rPr>
          <w:rFonts w:ascii="Arial" w:hAnsi="Arial" w:cs="Arial"/>
          <w:sz w:val="22"/>
        </w:rPr>
        <w:t>Angiolini</w:t>
      </w:r>
      <w:proofErr w:type="spellEnd"/>
      <w:r w:rsidRPr="006454B5">
        <w:rPr>
          <w:rFonts w:ascii="Arial" w:hAnsi="Arial" w:cs="Arial"/>
          <w:sz w:val="22"/>
        </w:rPr>
        <w:t xml:space="preserve"> Independent Review into the Investigation and Prosecution of Rape in London (</w:t>
      </w:r>
      <w:proofErr w:type="spellStart"/>
      <w:r w:rsidRPr="006454B5">
        <w:rPr>
          <w:rFonts w:ascii="Arial" w:hAnsi="Arial" w:cs="Arial"/>
          <w:sz w:val="22"/>
        </w:rPr>
        <w:t>Angiolini</w:t>
      </w:r>
      <w:proofErr w:type="spellEnd"/>
      <w:r w:rsidRPr="006454B5">
        <w:rPr>
          <w:rFonts w:ascii="Arial" w:hAnsi="Arial" w:cs="Arial"/>
          <w:sz w:val="22"/>
        </w:rPr>
        <w:t>, 2015). It should be noted</w:t>
      </w:r>
      <w:r w:rsidR="00C93333" w:rsidRPr="006454B5">
        <w:rPr>
          <w:rFonts w:ascii="Arial" w:hAnsi="Arial" w:cs="Arial"/>
          <w:sz w:val="22"/>
        </w:rPr>
        <w:t>, however,</w:t>
      </w:r>
      <w:r w:rsidRPr="006454B5">
        <w:rPr>
          <w:rFonts w:ascii="Arial" w:hAnsi="Arial" w:cs="Arial"/>
          <w:sz w:val="22"/>
        </w:rPr>
        <w:t xml:space="preserve"> that the present study examined only those cases in which a decision had been made, while </w:t>
      </w:r>
      <w:proofErr w:type="spellStart"/>
      <w:r w:rsidRPr="006454B5">
        <w:rPr>
          <w:rFonts w:ascii="Arial" w:hAnsi="Arial" w:cs="Arial"/>
          <w:sz w:val="22"/>
        </w:rPr>
        <w:t>Hohl</w:t>
      </w:r>
      <w:proofErr w:type="spellEnd"/>
      <w:r w:rsidRPr="006454B5">
        <w:rPr>
          <w:rFonts w:ascii="Arial" w:hAnsi="Arial" w:cs="Arial"/>
          <w:sz w:val="22"/>
        </w:rPr>
        <w:t xml:space="preserve"> and </w:t>
      </w:r>
      <w:proofErr w:type="spellStart"/>
      <w:r w:rsidRPr="006454B5">
        <w:rPr>
          <w:rFonts w:ascii="Arial" w:hAnsi="Arial" w:cs="Arial"/>
          <w:sz w:val="22"/>
        </w:rPr>
        <w:t>Stanko</w:t>
      </w:r>
      <w:proofErr w:type="spellEnd"/>
      <w:r w:rsidRPr="006454B5">
        <w:rPr>
          <w:rFonts w:ascii="Arial" w:hAnsi="Arial" w:cs="Arial"/>
          <w:sz w:val="22"/>
        </w:rPr>
        <w:t xml:space="preserve"> (2015) identified 22% of cases as ongoing. Therefore, comparative frequencies</w:t>
      </w:r>
      <w:r w:rsidR="00A85C84" w:rsidRPr="006454B5">
        <w:rPr>
          <w:rFonts w:ascii="Arial" w:hAnsi="Arial" w:cs="Arial"/>
          <w:sz w:val="22"/>
        </w:rPr>
        <w:t xml:space="preserve"> from </w:t>
      </w:r>
      <w:proofErr w:type="spellStart"/>
      <w:r w:rsidR="00A85C84" w:rsidRPr="006454B5">
        <w:rPr>
          <w:rFonts w:ascii="Arial" w:hAnsi="Arial" w:cs="Arial"/>
          <w:sz w:val="22"/>
        </w:rPr>
        <w:t>Hohl</w:t>
      </w:r>
      <w:proofErr w:type="spellEnd"/>
      <w:r w:rsidR="00A85C84" w:rsidRPr="006454B5">
        <w:rPr>
          <w:rFonts w:ascii="Arial" w:hAnsi="Arial" w:cs="Arial"/>
          <w:sz w:val="22"/>
        </w:rPr>
        <w:t xml:space="preserve"> and </w:t>
      </w:r>
      <w:proofErr w:type="spellStart"/>
      <w:r w:rsidR="00A85C84" w:rsidRPr="006454B5">
        <w:rPr>
          <w:rFonts w:ascii="Arial" w:hAnsi="Arial" w:cs="Arial"/>
          <w:sz w:val="22"/>
        </w:rPr>
        <w:t>Stanko</w:t>
      </w:r>
      <w:proofErr w:type="spellEnd"/>
      <w:r w:rsidR="00A85C84" w:rsidRPr="006454B5">
        <w:rPr>
          <w:rFonts w:ascii="Arial" w:hAnsi="Arial" w:cs="Arial"/>
          <w:sz w:val="22"/>
        </w:rPr>
        <w:t xml:space="preserve"> on case outcomes,</w:t>
      </w:r>
      <w:r w:rsidRPr="006454B5">
        <w:rPr>
          <w:rFonts w:ascii="Arial" w:hAnsi="Arial" w:cs="Arial"/>
          <w:sz w:val="22"/>
        </w:rPr>
        <w:t xml:space="preserve"> provided below</w:t>
      </w:r>
      <w:r w:rsidR="00A85C84" w:rsidRPr="006454B5">
        <w:rPr>
          <w:rFonts w:ascii="Arial" w:hAnsi="Arial" w:cs="Arial"/>
          <w:sz w:val="22"/>
        </w:rPr>
        <w:t>,</w:t>
      </w:r>
      <w:r w:rsidRPr="006454B5">
        <w:rPr>
          <w:rFonts w:ascii="Arial" w:hAnsi="Arial" w:cs="Arial"/>
          <w:sz w:val="22"/>
        </w:rPr>
        <w:t xml:space="preserve"> have been calculated with such cases removed. </w:t>
      </w:r>
    </w:p>
    <w:p w14:paraId="356BEEFC" w14:textId="77777777" w:rsidR="00863BEF" w:rsidRPr="006454B5" w:rsidRDefault="00863BEF" w:rsidP="000C7544">
      <w:pPr>
        <w:spacing w:before="120" w:after="120"/>
        <w:contextualSpacing/>
        <w:rPr>
          <w:rFonts w:ascii="Arial" w:hAnsi="Arial" w:cs="Arial"/>
          <w:b/>
          <w:bCs/>
          <w:sz w:val="22"/>
        </w:rPr>
      </w:pPr>
      <w:r w:rsidRPr="006454B5">
        <w:rPr>
          <w:rFonts w:ascii="Arial" w:hAnsi="Arial" w:cs="Arial"/>
          <w:b/>
          <w:bCs/>
          <w:sz w:val="22"/>
        </w:rPr>
        <w:t>Victim Characteristics</w:t>
      </w:r>
    </w:p>
    <w:p w14:paraId="08BC0920" w14:textId="727E09C2" w:rsidR="00863BEF" w:rsidRPr="006454B5" w:rsidRDefault="00863BEF" w:rsidP="001E04FA">
      <w:pPr>
        <w:spacing w:before="120" w:after="120"/>
        <w:ind w:firstLine="720"/>
        <w:contextualSpacing/>
        <w:rPr>
          <w:rFonts w:ascii="Arial" w:hAnsi="Arial" w:cs="Arial"/>
          <w:sz w:val="22"/>
        </w:rPr>
      </w:pPr>
      <w:r w:rsidRPr="006454B5">
        <w:rPr>
          <w:rFonts w:ascii="Arial" w:hAnsi="Arial" w:cs="Arial"/>
          <w:sz w:val="22"/>
        </w:rPr>
        <w:t>Victim characteristics, where comparable, were largely consistent with previous literature (</w:t>
      </w:r>
      <w:proofErr w:type="spellStart"/>
      <w:r w:rsidRPr="006454B5">
        <w:rPr>
          <w:rFonts w:ascii="Arial" w:hAnsi="Arial" w:cs="Arial"/>
          <w:sz w:val="22"/>
        </w:rPr>
        <w:t>Hohl</w:t>
      </w:r>
      <w:proofErr w:type="spellEnd"/>
      <w:r w:rsidRPr="006454B5">
        <w:rPr>
          <w:rFonts w:ascii="Arial" w:hAnsi="Arial" w:cs="Arial"/>
          <w:sz w:val="22"/>
        </w:rPr>
        <w:t xml:space="preserve"> &amp; </w:t>
      </w:r>
      <w:proofErr w:type="spellStart"/>
      <w:r w:rsidRPr="006454B5">
        <w:rPr>
          <w:rFonts w:ascii="Arial" w:hAnsi="Arial" w:cs="Arial"/>
          <w:sz w:val="22"/>
        </w:rPr>
        <w:t>Stanko</w:t>
      </w:r>
      <w:proofErr w:type="spellEnd"/>
      <w:r w:rsidRPr="006454B5">
        <w:rPr>
          <w:rFonts w:ascii="Arial" w:hAnsi="Arial" w:cs="Arial"/>
          <w:sz w:val="22"/>
        </w:rPr>
        <w:t xml:space="preserve">, 2015) and broader national trends (Home Office, 2019). Results </w:t>
      </w:r>
      <w:r w:rsidRPr="006454B5">
        <w:rPr>
          <w:rFonts w:ascii="Arial" w:hAnsi="Arial" w:cs="Arial"/>
          <w:sz w:val="22"/>
        </w:rPr>
        <w:lastRenderedPageBreak/>
        <w:t>support a general consensus that the highest risk of rape victimisation is present for those at a younger age (Cashmore</w:t>
      </w:r>
      <w:r w:rsidR="008800BC" w:rsidRPr="006454B5">
        <w:rPr>
          <w:rFonts w:ascii="Arial" w:hAnsi="Arial" w:cs="Arial"/>
          <w:sz w:val="22"/>
        </w:rPr>
        <w:t xml:space="preserve"> et al.</w:t>
      </w:r>
      <w:r w:rsidRPr="006454B5">
        <w:rPr>
          <w:rFonts w:ascii="Arial" w:hAnsi="Arial" w:cs="Arial"/>
          <w:sz w:val="22"/>
        </w:rPr>
        <w:t xml:space="preserve">, 2020; Daly &amp; </w:t>
      </w:r>
      <w:proofErr w:type="spellStart"/>
      <w:r w:rsidRPr="006454B5">
        <w:rPr>
          <w:rFonts w:ascii="Arial" w:hAnsi="Arial" w:cs="Arial"/>
          <w:sz w:val="22"/>
        </w:rPr>
        <w:t>Bouhours</w:t>
      </w:r>
      <w:proofErr w:type="spellEnd"/>
      <w:r w:rsidRPr="006454B5">
        <w:rPr>
          <w:rFonts w:ascii="Arial" w:hAnsi="Arial" w:cs="Arial"/>
          <w:sz w:val="22"/>
        </w:rPr>
        <w:t>, 2010; Lea et al., 2003), and, according to the Office for National Statistics (ONS), that there is a disproportionate likelihood of victimisation of sexual assault between the ages of 10 and 19 years (ONS, 2018). Consistent with previous research (</w:t>
      </w:r>
      <w:proofErr w:type="spellStart"/>
      <w:r w:rsidRPr="006454B5">
        <w:rPr>
          <w:rFonts w:ascii="Arial" w:hAnsi="Arial" w:cs="Arial"/>
          <w:sz w:val="22"/>
        </w:rPr>
        <w:t>Hohl</w:t>
      </w:r>
      <w:proofErr w:type="spellEnd"/>
      <w:r w:rsidRPr="006454B5">
        <w:rPr>
          <w:rFonts w:ascii="Arial" w:hAnsi="Arial" w:cs="Arial"/>
          <w:sz w:val="22"/>
        </w:rPr>
        <w:t xml:space="preserve"> </w:t>
      </w:r>
      <w:r w:rsidR="009E4421" w:rsidRPr="006454B5">
        <w:rPr>
          <w:rFonts w:ascii="Arial" w:hAnsi="Arial" w:cs="Arial"/>
          <w:sz w:val="22"/>
        </w:rPr>
        <w:t>&amp;</w:t>
      </w:r>
      <w:r w:rsidRPr="006454B5">
        <w:rPr>
          <w:rFonts w:ascii="Arial" w:hAnsi="Arial" w:cs="Arial"/>
          <w:sz w:val="22"/>
        </w:rPr>
        <w:t xml:space="preserve"> </w:t>
      </w:r>
      <w:proofErr w:type="spellStart"/>
      <w:r w:rsidRPr="006454B5">
        <w:rPr>
          <w:rFonts w:ascii="Arial" w:hAnsi="Arial" w:cs="Arial"/>
          <w:sz w:val="22"/>
        </w:rPr>
        <w:t>Stanko</w:t>
      </w:r>
      <w:proofErr w:type="spellEnd"/>
      <w:r w:rsidRPr="006454B5">
        <w:rPr>
          <w:rFonts w:ascii="Arial" w:hAnsi="Arial" w:cs="Arial"/>
          <w:sz w:val="22"/>
        </w:rPr>
        <w:t xml:space="preserve">, 2015), we found that cases involving victims under the age of consent (16 years) had lower rates of withdrawal and were more likely to be referred to prosecutors. A victim under the age of 16 is likely to be </w:t>
      </w:r>
      <w:r w:rsidR="00FF0B95" w:rsidRPr="006454B5">
        <w:rPr>
          <w:rFonts w:ascii="Arial" w:hAnsi="Arial" w:cs="Arial"/>
          <w:sz w:val="22"/>
        </w:rPr>
        <w:t xml:space="preserve">extensively </w:t>
      </w:r>
      <w:r w:rsidRPr="006454B5">
        <w:rPr>
          <w:rFonts w:ascii="Arial" w:hAnsi="Arial" w:cs="Arial"/>
          <w:sz w:val="22"/>
        </w:rPr>
        <w:t>supported by family and may even lack the capacity to withdraw their claim. Indeed, they may have little self-determination in the process overall</w:t>
      </w:r>
      <w:r w:rsidR="00FF0B95" w:rsidRPr="006454B5">
        <w:rPr>
          <w:rFonts w:ascii="Arial" w:hAnsi="Arial" w:cs="Arial"/>
          <w:sz w:val="22"/>
        </w:rPr>
        <w:t xml:space="preserve"> as </w:t>
      </w:r>
      <w:r w:rsidRPr="006454B5">
        <w:rPr>
          <w:rFonts w:ascii="Arial" w:hAnsi="Arial" w:cs="Arial"/>
          <w:sz w:val="22"/>
        </w:rPr>
        <w:t xml:space="preserve">issues surrounding the presence/absence of consent are much more clearly defined when the victim is under </w:t>
      </w:r>
      <w:r w:rsidR="00FF0B95" w:rsidRPr="006454B5">
        <w:rPr>
          <w:rFonts w:ascii="Arial" w:hAnsi="Arial" w:cs="Arial"/>
          <w:sz w:val="22"/>
        </w:rPr>
        <w:t>16 years of age</w:t>
      </w:r>
      <w:r w:rsidRPr="006454B5">
        <w:rPr>
          <w:rFonts w:ascii="Arial" w:hAnsi="Arial" w:cs="Arial"/>
          <w:sz w:val="22"/>
        </w:rPr>
        <w:t xml:space="preserve">. </w:t>
      </w:r>
      <w:r w:rsidR="000D2AA8" w:rsidRPr="006454B5">
        <w:rPr>
          <w:rFonts w:ascii="Arial" w:hAnsi="Arial" w:cs="Arial"/>
          <w:sz w:val="22"/>
        </w:rPr>
        <w:t>This is</w:t>
      </w:r>
      <w:r w:rsidR="001E04FA" w:rsidRPr="006454B5">
        <w:rPr>
          <w:rFonts w:ascii="Arial" w:hAnsi="Arial" w:cs="Arial"/>
          <w:sz w:val="22"/>
        </w:rPr>
        <w:t xml:space="preserve"> further supported by the significantly greater l</w:t>
      </w:r>
      <w:r w:rsidR="000D2AA8" w:rsidRPr="006454B5">
        <w:rPr>
          <w:rFonts w:ascii="Arial" w:hAnsi="Arial" w:cs="Arial"/>
          <w:sz w:val="22"/>
        </w:rPr>
        <w:t xml:space="preserve">ikelihood that the case is reported by a third-party </w:t>
      </w:r>
      <w:r w:rsidR="005B76EC" w:rsidRPr="006454B5">
        <w:rPr>
          <w:rFonts w:ascii="Arial" w:hAnsi="Arial" w:cs="Arial"/>
          <w:sz w:val="22"/>
        </w:rPr>
        <w:t>in child cases</w:t>
      </w:r>
      <w:r w:rsidR="000D2AA8" w:rsidRPr="006454B5">
        <w:rPr>
          <w:rFonts w:ascii="Arial" w:hAnsi="Arial" w:cs="Arial"/>
          <w:sz w:val="22"/>
        </w:rPr>
        <w:t xml:space="preserve">. </w:t>
      </w:r>
      <w:r w:rsidRPr="006454B5">
        <w:rPr>
          <w:rFonts w:ascii="Arial" w:hAnsi="Arial" w:cs="Arial"/>
          <w:sz w:val="22"/>
        </w:rPr>
        <w:t>Additionally, claims from victims under 16 may bring about a more visceral public, institutional, media, and governmental response (Davidson, 2008),</w:t>
      </w:r>
      <w:r w:rsidR="007F459F" w:rsidRPr="006454B5">
        <w:rPr>
          <w:rFonts w:ascii="Arial" w:hAnsi="Arial" w:cs="Arial"/>
          <w:sz w:val="22"/>
        </w:rPr>
        <w:t xml:space="preserve"> </w:t>
      </w:r>
      <w:r w:rsidRPr="006454B5">
        <w:rPr>
          <w:rFonts w:ascii="Arial" w:hAnsi="Arial" w:cs="Arial"/>
          <w:sz w:val="22"/>
        </w:rPr>
        <w:t>potentially provid</w:t>
      </w:r>
      <w:r w:rsidR="000D2AA8" w:rsidRPr="006454B5">
        <w:rPr>
          <w:rFonts w:ascii="Arial" w:hAnsi="Arial" w:cs="Arial"/>
          <w:sz w:val="22"/>
        </w:rPr>
        <w:t xml:space="preserve">ing </w:t>
      </w:r>
      <w:r w:rsidRPr="006454B5">
        <w:rPr>
          <w:rFonts w:ascii="Arial" w:hAnsi="Arial" w:cs="Arial"/>
          <w:sz w:val="22"/>
        </w:rPr>
        <w:t xml:space="preserve">a more supportive societal narrative. Like male victims of rape, the legal and societal context of child sexual abuse </w:t>
      </w:r>
      <w:r w:rsidR="00C93333" w:rsidRPr="006454B5">
        <w:rPr>
          <w:rFonts w:ascii="Arial" w:hAnsi="Arial" w:cs="Arial"/>
          <w:sz w:val="22"/>
        </w:rPr>
        <w:t xml:space="preserve">may </w:t>
      </w:r>
      <w:r w:rsidRPr="006454B5">
        <w:rPr>
          <w:rFonts w:ascii="Arial" w:hAnsi="Arial" w:cs="Arial"/>
          <w:sz w:val="22"/>
        </w:rPr>
        <w:t>justify a</w:t>
      </w:r>
      <w:r w:rsidR="00FF0B95" w:rsidRPr="006454B5">
        <w:rPr>
          <w:rFonts w:ascii="Arial" w:hAnsi="Arial" w:cs="Arial"/>
          <w:sz w:val="22"/>
        </w:rPr>
        <w:t xml:space="preserve">dditional </w:t>
      </w:r>
      <w:r w:rsidRPr="006454B5">
        <w:rPr>
          <w:rFonts w:ascii="Arial" w:hAnsi="Arial" w:cs="Arial"/>
          <w:sz w:val="22"/>
        </w:rPr>
        <w:t>avenue</w:t>
      </w:r>
      <w:r w:rsidR="00FF0B95" w:rsidRPr="006454B5">
        <w:rPr>
          <w:rFonts w:ascii="Arial" w:hAnsi="Arial" w:cs="Arial"/>
          <w:sz w:val="22"/>
        </w:rPr>
        <w:t>s</w:t>
      </w:r>
      <w:r w:rsidRPr="006454B5">
        <w:rPr>
          <w:rFonts w:ascii="Arial" w:hAnsi="Arial" w:cs="Arial"/>
          <w:sz w:val="22"/>
        </w:rPr>
        <w:t xml:space="preserve"> of inquiry</w:t>
      </w:r>
      <w:r w:rsidR="00FF0B95" w:rsidRPr="006454B5">
        <w:rPr>
          <w:rFonts w:ascii="Arial" w:hAnsi="Arial" w:cs="Arial"/>
          <w:sz w:val="22"/>
        </w:rPr>
        <w:t xml:space="preserve"> in the future</w:t>
      </w:r>
      <w:r w:rsidRPr="006454B5">
        <w:rPr>
          <w:rFonts w:ascii="Arial" w:hAnsi="Arial" w:cs="Arial"/>
          <w:sz w:val="22"/>
        </w:rPr>
        <w:t xml:space="preserve">, similar to </w:t>
      </w:r>
      <w:r w:rsidR="00FF0B95" w:rsidRPr="006454B5">
        <w:rPr>
          <w:rFonts w:ascii="Arial" w:hAnsi="Arial" w:cs="Arial"/>
          <w:sz w:val="22"/>
        </w:rPr>
        <w:t xml:space="preserve">those </w:t>
      </w:r>
      <w:r w:rsidRPr="006454B5">
        <w:rPr>
          <w:rFonts w:ascii="Arial" w:hAnsi="Arial" w:cs="Arial"/>
          <w:sz w:val="22"/>
        </w:rPr>
        <w:t>conducted by Cashmore and colleagues (2020).</w:t>
      </w:r>
      <w:r w:rsidR="007F459F" w:rsidRPr="006454B5">
        <w:rPr>
          <w:rFonts w:ascii="Arial" w:hAnsi="Arial" w:cs="Arial"/>
          <w:sz w:val="22"/>
        </w:rPr>
        <w:t xml:space="preserve"> </w:t>
      </w:r>
    </w:p>
    <w:p w14:paraId="30B6C05B" w14:textId="0E892FDF" w:rsidR="00863BEF" w:rsidRPr="006454B5" w:rsidRDefault="00FF0B95" w:rsidP="00AC3B55">
      <w:pPr>
        <w:spacing w:before="120" w:after="120"/>
        <w:ind w:firstLine="720"/>
        <w:contextualSpacing/>
        <w:rPr>
          <w:rFonts w:ascii="Arial" w:hAnsi="Arial" w:cs="Arial"/>
          <w:sz w:val="22"/>
        </w:rPr>
      </w:pPr>
      <w:r w:rsidRPr="006454B5">
        <w:rPr>
          <w:rFonts w:ascii="Arial" w:hAnsi="Arial" w:cs="Arial"/>
          <w:sz w:val="22"/>
        </w:rPr>
        <w:t>The present study also captures</w:t>
      </w:r>
      <w:r w:rsidR="002C1812" w:rsidRPr="006454B5">
        <w:rPr>
          <w:rFonts w:ascii="Arial" w:hAnsi="Arial" w:cs="Arial"/>
          <w:sz w:val="22"/>
        </w:rPr>
        <w:t xml:space="preserve"> a</w:t>
      </w:r>
      <w:r w:rsidR="00863BEF" w:rsidRPr="006454B5">
        <w:rPr>
          <w:rFonts w:ascii="Arial" w:hAnsi="Arial" w:cs="Arial"/>
          <w:sz w:val="22"/>
        </w:rPr>
        <w:t xml:space="preserve"> more comprehensive array of victim vulnerabilities</w:t>
      </w:r>
      <w:r w:rsidR="002C1812" w:rsidRPr="006454B5">
        <w:rPr>
          <w:rFonts w:ascii="Arial" w:hAnsi="Arial" w:cs="Arial"/>
          <w:sz w:val="22"/>
        </w:rPr>
        <w:t xml:space="preserve"> compared to previous</w:t>
      </w:r>
      <w:r w:rsidR="00F405F1" w:rsidRPr="006454B5">
        <w:rPr>
          <w:rFonts w:ascii="Arial" w:hAnsi="Arial" w:cs="Arial"/>
          <w:sz w:val="22"/>
        </w:rPr>
        <w:t xml:space="preserve"> research, with almost all </w:t>
      </w:r>
      <w:r w:rsidR="00863BEF" w:rsidRPr="006454B5">
        <w:rPr>
          <w:rFonts w:ascii="Arial" w:hAnsi="Arial" w:cs="Arial"/>
          <w:sz w:val="22"/>
        </w:rPr>
        <w:t xml:space="preserve">vulnerabilities </w:t>
      </w:r>
      <w:r w:rsidR="00F405F1" w:rsidRPr="006454B5">
        <w:rPr>
          <w:rFonts w:ascii="Arial" w:hAnsi="Arial" w:cs="Arial"/>
          <w:sz w:val="22"/>
        </w:rPr>
        <w:t xml:space="preserve">presenting at a </w:t>
      </w:r>
      <w:r w:rsidR="00863BEF" w:rsidRPr="006454B5">
        <w:rPr>
          <w:rFonts w:ascii="Arial" w:hAnsi="Arial" w:cs="Arial"/>
          <w:sz w:val="22"/>
        </w:rPr>
        <w:t>disproportionate</w:t>
      </w:r>
      <w:r w:rsidR="00F405F1" w:rsidRPr="006454B5">
        <w:rPr>
          <w:rFonts w:ascii="Arial" w:hAnsi="Arial" w:cs="Arial"/>
          <w:sz w:val="22"/>
        </w:rPr>
        <w:t>ly higher</w:t>
      </w:r>
      <w:r w:rsidR="00863BEF" w:rsidRPr="006454B5">
        <w:rPr>
          <w:rFonts w:ascii="Arial" w:hAnsi="Arial" w:cs="Arial"/>
          <w:sz w:val="22"/>
        </w:rPr>
        <w:t xml:space="preserve"> </w:t>
      </w:r>
      <w:r w:rsidR="00F405F1" w:rsidRPr="006454B5">
        <w:rPr>
          <w:rFonts w:ascii="Arial" w:hAnsi="Arial" w:cs="Arial"/>
          <w:sz w:val="22"/>
        </w:rPr>
        <w:t xml:space="preserve">rate than </w:t>
      </w:r>
      <w:r w:rsidR="00863BEF" w:rsidRPr="006454B5">
        <w:rPr>
          <w:rFonts w:ascii="Arial" w:hAnsi="Arial" w:cs="Arial"/>
          <w:sz w:val="22"/>
        </w:rPr>
        <w:t xml:space="preserve">their prevalence in society (ONS, 2018). Mental health issues were the most prevalent need, demonstrating a </w:t>
      </w:r>
      <w:r w:rsidR="009E4421" w:rsidRPr="006454B5">
        <w:rPr>
          <w:rFonts w:ascii="Arial" w:hAnsi="Arial" w:cs="Arial"/>
          <w:sz w:val="22"/>
        </w:rPr>
        <w:t>17-percentage</w:t>
      </w:r>
      <w:r w:rsidR="005E66F0" w:rsidRPr="006454B5">
        <w:rPr>
          <w:rFonts w:ascii="Arial" w:hAnsi="Arial" w:cs="Arial"/>
          <w:sz w:val="22"/>
        </w:rPr>
        <w:t xml:space="preserve"> point</w:t>
      </w:r>
      <w:r w:rsidR="00863BEF" w:rsidRPr="006454B5">
        <w:rPr>
          <w:rFonts w:ascii="Arial" w:hAnsi="Arial" w:cs="Arial"/>
          <w:sz w:val="22"/>
        </w:rPr>
        <w:t xml:space="preserve"> increase from 2012 data (</w:t>
      </w:r>
      <w:proofErr w:type="spellStart"/>
      <w:r w:rsidR="00863BEF" w:rsidRPr="006454B5">
        <w:rPr>
          <w:rFonts w:ascii="Arial" w:hAnsi="Arial" w:cs="Arial"/>
          <w:sz w:val="22"/>
        </w:rPr>
        <w:t>Hohl</w:t>
      </w:r>
      <w:proofErr w:type="spellEnd"/>
      <w:r w:rsidR="00863BEF" w:rsidRPr="006454B5">
        <w:rPr>
          <w:rFonts w:ascii="Arial" w:hAnsi="Arial" w:cs="Arial"/>
          <w:sz w:val="22"/>
        </w:rPr>
        <w:t xml:space="preserve"> </w:t>
      </w:r>
      <w:r w:rsidR="009E4421" w:rsidRPr="006454B5">
        <w:rPr>
          <w:rFonts w:ascii="Arial" w:hAnsi="Arial" w:cs="Arial"/>
          <w:sz w:val="22"/>
        </w:rPr>
        <w:t>&amp;</w:t>
      </w:r>
      <w:r w:rsidR="00863BEF" w:rsidRPr="006454B5">
        <w:rPr>
          <w:rFonts w:ascii="Arial" w:hAnsi="Arial" w:cs="Arial"/>
          <w:sz w:val="22"/>
        </w:rPr>
        <w:t xml:space="preserve"> </w:t>
      </w:r>
      <w:proofErr w:type="spellStart"/>
      <w:r w:rsidR="00863BEF" w:rsidRPr="006454B5">
        <w:rPr>
          <w:rFonts w:ascii="Arial" w:hAnsi="Arial" w:cs="Arial"/>
          <w:sz w:val="22"/>
        </w:rPr>
        <w:t>Stanko</w:t>
      </w:r>
      <w:proofErr w:type="spellEnd"/>
      <w:r w:rsidR="00863BEF" w:rsidRPr="006454B5">
        <w:rPr>
          <w:rFonts w:ascii="Arial" w:hAnsi="Arial" w:cs="Arial"/>
          <w:sz w:val="22"/>
        </w:rPr>
        <w:t>, 2015). In cases where the victim had mental health issues, withdrawal and police NFA were significantly more likely, compared to CPS referral</w:t>
      </w:r>
      <w:r w:rsidR="00F405F1" w:rsidRPr="006454B5">
        <w:rPr>
          <w:rFonts w:ascii="Arial" w:hAnsi="Arial" w:cs="Arial"/>
          <w:sz w:val="22"/>
        </w:rPr>
        <w:t>, echoing results from</w:t>
      </w:r>
      <w:r w:rsidR="00863BEF" w:rsidRPr="006454B5">
        <w:rPr>
          <w:rFonts w:ascii="Arial" w:hAnsi="Arial" w:cs="Arial"/>
          <w:sz w:val="22"/>
        </w:rPr>
        <w:t xml:space="preserve"> </w:t>
      </w:r>
      <w:proofErr w:type="spellStart"/>
      <w:r w:rsidR="00863BEF" w:rsidRPr="006454B5">
        <w:rPr>
          <w:rFonts w:ascii="Arial" w:hAnsi="Arial" w:cs="Arial"/>
          <w:sz w:val="22"/>
        </w:rPr>
        <w:t>Hohl</w:t>
      </w:r>
      <w:proofErr w:type="spellEnd"/>
      <w:r w:rsidR="00863BEF" w:rsidRPr="006454B5">
        <w:rPr>
          <w:rFonts w:ascii="Arial" w:hAnsi="Arial" w:cs="Arial"/>
          <w:sz w:val="22"/>
        </w:rPr>
        <w:t xml:space="preserve"> and </w:t>
      </w:r>
      <w:proofErr w:type="spellStart"/>
      <w:r w:rsidR="00863BEF" w:rsidRPr="006454B5">
        <w:rPr>
          <w:rFonts w:ascii="Arial" w:hAnsi="Arial" w:cs="Arial"/>
          <w:sz w:val="22"/>
        </w:rPr>
        <w:t>Stanko</w:t>
      </w:r>
      <w:proofErr w:type="spellEnd"/>
      <w:r w:rsidR="00863BEF" w:rsidRPr="006454B5">
        <w:rPr>
          <w:rFonts w:ascii="Arial" w:hAnsi="Arial" w:cs="Arial"/>
          <w:sz w:val="22"/>
        </w:rPr>
        <w:t xml:space="preserve"> (2015)</w:t>
      </w:r>
      <w:r w:rsidR="00F405F1" w:rsidRPr="006454B5">
        <w:rPr>
          <w:rFonts w:ascii="Arial" w:hAnsi="Arial" w:cs="Arial"/>
          <w:sz w:val="22"/>
        </w:rPr>
        <w:t>,</w:t>
      </w:r>
      <w:r w:rsidR="00863BEF" w:rsidRPr="006454B5">
        <w:rPr>
          <w:rFonts w:ascii="Arial" w:hAnsi="Arial" w:cs="Arial"/>
          <w:sz w:val="22"/>
        </w:rPr>
        <w:t xml:space="preserve"> an</w:t>
      </w:r>
      <w:r w:rsidR="00F405F1" w:rsidRPr="006454B5">
        <w:rPr>
          <w:rFonts w:ascii="Arial" w:hAnsi="Arial" w:cs="Arial"/>
          <w:sz w:val="22"/>
        </w:rPr>
        <w:t>d</w:t>
      </w:r>
      <w:r w:rsidR="00863BEF" w:rsidRPr="006454B5">
        <w:rPr>
          <w:rFonts w:ascii="Arial" w:hAnsi="Arial" w:cs="Arial"/>
          <w:sz w:val="22"/>
        </w:rPr>
        <w:t xml:space="preserve"> consistent with observations that such cases may involve narrative challenges for prosecution (Lea et al., 2003). </w:t>
      </w:r>
      <w:r w:rsidR="00F405F1" w:rsidRPr="006454B5">
        <w:rPr>
          <w:rFonts w:ascii="Arial" w:hAnsi="Arial" w:cs="Arial"/>
          <w:sz w:val="22"/>
        </w:rPr>
        <w:t xml:space="preserve">Such results could also represent the often </w:t>
      </w:r>
      <w:r w:rsidR="00863BEF" w:rsidRPr="006454B5">
        <w:rPr>
          <w:rFonts w:ascii="Arial" w:hAnsi="Arial" w:cs="Arial"/>
          <w:sz w:val="22"/>
        </w:rPr>
        <w:t>burdensome and distressing</w:t>
      </w:r>
      <w:r w:rsidR="00992EEC" w:rsidRPr="006454B5">
        <w:rPr>
          <w:rFonts w:ascii="Arial" w:hAnsi="Arial" w:cs="Arial"/>
          <w:sz w:val="22"/>
        </w:rPr>
        <w:t xml:space="preserve"> nature of the </w:t>
      </w:r>
      <w:r w:rsidR="00F405F1" w:rsidRPr="006454B5">
        <w:rPr>
          <w:rFonts w:ascii="Arial" w:hAnsi="Arial" w:cs="Arial"/>
          <w:sz w:val="22"/>
        </w:rPr>
        <w:t xml:space="preserve">investigative </w:t>
      </w:r>
      <w:r w:rsidR="00992EEC" w:rsidRPr="006454B5">
        <w:rPr>
          <w:rFonts w:ascii="Arial" w:hAnsi="Arial" w:cs="Arial"/>
          <w:sz w:val="22"/>
        </w:rPr>
        <w:t>process</w:t>
      </w:r>
      <w:r w:rsidR="00863BEF" w:rsidRPr="006454B5">
        <w:rPr>
          <w:rFonts w:ascii="Arial" w:hAnsi="Arial" w:cs="Arial"/>
          <w:sz w:val="22"/>
        </w:rPr>
        <w:t xml:space="preserve"> (Jordan, 2001, 2011). In addition, UK media coverage of negative experiences of the criminal justice response to rape, such as those following the 2019 Home Office statistics, may impact willingness to engage</w:t>
      </w:r>
      <w:r w:rsidRPr="006454B5">
        <w:rPr>
          <w:rFonts w:ascii="Arial" w:hAnsi="Arial" w:cs="Arial"/>
          <w:sz w:val="22"/>
        </w:rPr>
        <w:t>, especially for those with additional needs</w:t>
      </w:r>
      <w:r w:rsidR="00863BEF" w:rsidRPr="006454B5">
        <w:rPr>
          <w:rFonts w:ascii="Arial" w:hAnsi="Arial" w:cs="Arial"/>
          <w:sz w:val="22"/>
        </w:rPr>
        <w:t xml:space="preserve">. Whatever the reason, our </w:t>
      </w:r>
      <w:r w:rsidR="00863BEF" w:rsidRPr="006454B5">
        <w:rPr>
          <w:rFonts w:ascii="Arial" w:hAnsi="Arial" w:cs="Arial"/>
          <w:sz w:val="22"/>
        </w:rPr>
        <w:lastRenderedPageBreak/>
        <w:t xml:space="preserve">findings show that victims with mental health issues are a group at risk of multiple attrition avenues, who may benefit from additional support throughout the investigative process. Furthermore, results </w:t>
      </w:r>
      <w:r w:rsidR="00F405F1" w:rsidRPr="006454B5">
        <w:rPr>
          <w:rFonts w:ascii="Arial" w:hAnsi="Arial" w:cs="Arial"/>
          <w:sz w:val="22"/>
        </w:rPr>
        <w:t xml:space="preserve">also highlight susceptibility to </w:t>
      </w:r>
      <w:r w:rsidR="00BF2DDF" w:rsidRPr="006454B5">
        <w:rPr>
          <w:rFonts w:ascii="Arial" w:hAnsi="Arial" w:cs="Arial"/>
          <w:sz w:val="22"/>
        </w:rPr>
        <w:t xml:space="preserve">cumulative vulnerabilities </w:t>
      </w:r>
      <w:r w:rsidR="00F405F1" w:rsidRPr="006454B5">
        <w:rPr>
          <w:rFonts w:ascii="Arial" w:hAnsi="Arial" w:cs="Arial"/>
          <w:sz w:val="22"/>
        </w:rPr>
        <w:t>in rape cases</w:t>
      </w:r>
      <w:r w:rsidR="00863BEF" w:rsidRPr="006454B5">
        <w:rPr>
          <w:rFonts w:ascii="Arial" w:hAnsi="Arial" w:cs="Arial"/>
          <w:sz w:val="22"/>
        </w:rPr>
        <w:t xml:space="preserve">, and that rape may indeed be a significant risk factor for those with a broader ecology of overall </w:t>
      </w:r>
      <w:r w:rsidR="00992EEC" w:rsidRPr="006454B5">
        <w:rPr>
          <w:rFonts w:ascii="Arial" w:hAnsi="Arial" w:cs="Arial"/>
          <w:sz w:val="22"/>
        </w:rPr>
        <w:t>vulnerability</w:t>
      </w:r>
      <w:r w:rsidR="00863BEF" w:rsidRPr="006454B5">
        <w:rPr>
          <w:rFonts w:ascii="Arial" w:hAnsi="Arial" w:cs="Arial"/>
          <w:sz w:val="22"/>
        </w:rPr>
        <w:t xml:space="preserve">. </w:t>
      </w:r>
      <w:r w:rsidR="00F405F1" w:rsidRPr="006454B5">
        <w:rPr>
          <w:rFonts w:ascii="Arial" w:hAnsi="Arial" w:cs="Arial"/>
          <w:sz w:val="22"/>
        </w:rPr>
        <w:t xml:space="preserve">Such results </w:t>
      </w:r>
      <w:r w:rsidR="00863BEF" w:rsidRPr="006454B5">
        <w:rPr>
          <w:rFonts w:ascii="Arial" w:hAnsi="Arial" w:cs="Arial"/>
          <w:sz w:val="22"/>
        </w:rPr>
        <w:t>provide a useful opportunity to consider the role of trauma-informed policing as a response to sexual assault, as well as enhancing and evaluating how officers operate within this paradigm (Lathan</w:t>
      </w:r>
      <w:r w:rsidR="00AC3B55" w:rsidRPr="006454B5">
        <w:rPr>
          <w:rFonts w:ascii="Arial" w:hAnsi="Arial" w:cs="Arial"/>
          <w:sz w:val="22"/>
        </w:rPr>
        <w:t xml:space="preserve"> et al.</w:t>
      </w:r>
      <w:r w:rsidR="00863BEF" w:rsidRPr="006454B5">
        <w:rPr>
          <w:rFonts w:ascii="Arial" w:hAnsi="Arial" w:cs="Arial"/>
          <w:sz w:val="22"/>
        </w:rPr>
        <w:t xml:space="preserve">, 2019; Rich, 2019). </w:t>
      </w:r>
      <w:r w:rsidR="008171E4" w:rsidRPr="006454B5">
        <w:rPr>
          <w:rFonts w:ascii="Arial" w:hAnsi="Arial" w:cs="Arial"/>
          <w:sz w:val="22"/>
        </w:rPr>
        <w:t>They also suggest that training for officers on both the stigma and occupational hazards surrounding such vulnerabilities,</w:t>
      </w:r>
      <w:r w:rsidRPr="006454B5">
        <w:rPr>
          <w:rFonts w:ascii="Arial" w:hAnsi="Arial" w:cs="Arial"/>
          <w:sz w:val="22"/>
        </w:rPr>
        <w:t xml:space="preserve"> for example</w:t>
      </w:r>
      <w:r w:rsidR="008171E4" w:rsidRPr="006454B5">
        <w:rPr>
          <w:rFonts w:ascii="Arial" w:hAnsi="Arial" w:cs="Arial"/>
          <w:sz w:val="22"/>
        </w:rPr>
        <w:t xml:space="preserve"> mental health</w:t>
      </w:r>
      <w:r w:rsidRPr="006454B5">
        <w:rPr>
          <w:rFonts w:ascii="Arial" w:hAnsi="Arial" w:cs="Arial"/>
          <w:sz w:val="22"/>
        </w:rPr>
        <w:t xml:space="preserve"> issues</w:t>
      </w:r>
      <w:r w:rsidR="008171E4" w:rsidRPr="006454B5">
        <w:rPr>
          <w:rFonts w:ascii="Arial" w:hAnsi="Arial" w:cs="Arial"/>
          <w:sz w:val="22"/>
        </w:rPr>
        <w:t>, is critical.</w:t>
      </w:r>
    </w:p>
    <w:p w14:paraId="6DFE3195" w14:textId="77777777" w:rsidR="00863BEF" w:rsidRPr="006454B5" w:rsidRDefault="00863BEF" w:rsidP="000C7544">
      <w:pPr>
        <w:spacing w:before="120" w:after="120"/>
        <w:contextualSpacing/>
        <w:rPr>
          <w:rFonts w:ascii="Arial" w:hAnsi="Arial" w:cs="Arial"/>
          <w:b/>
          <w:bCs/>
          <w:sz w:val="22"/>
        </w:rPr>
      </w:pPr>
      <w:r w:rsidRPr="006454B5">
        <w:rPr>
          <w:rFonts w:ascii="Arial" w:hAnsi="Arial" w:cs="Arial"/>
          <w:b/>
          <w:bCs/>
          <w:sz w:val="22"/>
        </w:rPr>
        <w:t xml:space="preserve">Suspect Characteristics </w:t>
      </w:r>
    </w:p>
    <w:p w14:paraId="4BC108C1" w14:textId="06F8C943" w:rsidR="00863BEF" w:rsidRPr="006454B5" w:rsidRDefault="00863BEF" w:rsidP="00F13C13">
      <w:pPr>
        <w:spacing w:before="120" w:after="120"/>
        <w:ind w:firstLine="720"/>
        <w:contextualSpacing/>
        <w:rPr>
          <w:rFonts w:ascii="Arial" w:hAnsi="Arial" w:cs="Arial"/>
          <w:sz w:val="22"/>
        </w:rPr>
      </w:pPr>
      <w:r w:rsidRPr="006454B5">
        <w:rPr>
          <w:rFonts w:ascii="Arial" w:hAnsi="Arial" w:cs="Arial"/>
          <w:sz w:val="22"/>
        </w:rPr>
        <w:t>Turning to suspect characteristics, there are fewer points of comparison against previous research; however, compared to 2012, a markedly smaller percentage of suspects were identified as ‘non-white’ (</w:t>
      </w:r>
      <w:proofErr w:type="spellStart"/>
      <w:r w:rsidRPr="006454B5">
        <w:rPr>
          <w:rFonts w:ascii="Arial" w:hAnsi="Arial" w:cs="Arial"/>
          <w:sz w:val="22"/>
        </w:rPr>
        <w:t>Hohl</w:t>
      </w:r>
      <w:proofErr w:type="spellEnd"/>
      <w:r w:rsidRPr="006454B5">
        <w:rPr>
          <w:rFonts w:ascii="Arial" w:hAnsi="Arial" w:cs="Arial"/>
          <w:sz w:val="22"/>
        </w:rPr>
        <w:t xml:space="preserve"> &amp; </w:t>
      </w:r>
      <w:proofErr w:type="spellStart"/>
      <w:r w:rsidRPr="006454B5">
        <w:rPr>
          <w:rFonts w:ascii="Arial" w:hAnsi="Arial" w:cs="Arial"/>
          <w:sz w:val="22"/>
        </w:rPr>
        <w:t>Stanko</w:t>
      </w:r>
      <w:proofErr w:type="spellEnd"/>
      <w:r w:rsidRPr="006454B5">
        <w:rPr>
          <w:rFonts w:ascii="Arial" w:hAnsi="Arial" w:cs="Arial"/>
          <w:sz w:val="22"/>
        </w:rPr>
        <w:t>, 2015), and there was also a decrease in the percentage of suspects who had a prior police record and a previous history of sexual assault (</w:t>
      </w:r>
      <w:proofErr w:type="spellStart"/>
      <w:r w:rsidRPr="006454B5">
        <w:rPr>
          <w:rFonts w:ascii="Arial" w:hAnsi="Arial" w:cs="Arial"/>
          <w:sz w:val="22"/>
        </w:rPr>
        <w:t>Hohl</w:t>
      </w:r>
      <w:proofErr w:type="spellEnd"/>
      <w:r w:rsidRPr="006454B5">
        <w:rPr>
          <w:rFonts w:ascii="Arial" w:hAnsi="Arial" w:cs="Arial"/>
          <w:sz w:val="22"/>
        </w:rPr>
        <w:t xml:space="preserve"> &amp; </w:t>
      </w:r>
      <w:proofErr w:type="spellStart"/>
      <w:r w:rsidRPr="006454B5">
        <w:rPr>
          <w:rFonts w:ascii="Arial" w:hAnsi="Arial" w:cs="Arial"/>
          <w:sz w:val="22"/>
        </w:rPr>
        <w:t>Stanko</w:t>
      </w:r>
      <w:proofErr w:type="spellEnd"/>
      <w:r w:rsidRPr="006454B5">
        <w:rPr>
          <w:rFonts w:ascii="Arial" w:hAnsi="Arial" w:cs="Arial"/>
          <w:sz w:val="22"/>
        </w:rPr>
        <w:t>, 2015). The relationship between the victim and suspect also indicates some interesting trends. For example, recorded rapes committed by complete strangers and those known to the victim for less than 24 hours have decreased by almost 15 percentage points compared to 2012 data (</w:t>
      </w:r>
      <w:proofErr w:type="spellStart"/>
      <w:r w:rsidRPr="006454B5">
        <w:rPr>
          <w:rFonts w:ascii="Arial" w:hAnsi="Arial" w:cs="Arial"/>
          <w:sz w:val="22"/>
        </w:rPr>
        <w:t>Hohl</w:t>
      </w:r>
      <w:proofErr w:type="spellEnd"/>
      <w:r w:rsidRPr="006454B5">
        <w:rPr>
          <w:rFonts w:ascii="Arial" w:hAnsi="Arial" w:cs="Arial"/>
          <w:sz w:val="22"/>
        </w:rPr>
        <w:t xml:space="preserve"> &amp; </w:t>
      </w:r>
      <w:proofErr w:type="spellStart"/>
      <w:r w:rsidRPr="006454B5">
        <w:rPr>
          <w:rFonts w:ascii="Arial" w:hAnsi="Arial" w:cs="Arial"/>
          <w:sz w:val="22"/>
        </w:rPr>
        <w:t>Stanko</w:t>
      </w:r>
      <w:proofErr w:type="spellEnd"/>
      <w:r w:rsidRPr="006454B5">
        <w:rPr>
          <w:rFonts w:ascii="Arial" w:hAnsi="Arial" w:cs="Arial"/>
          <w:sz w:val="22"/>
        </w:rPr>
        <w:t>, 2015). Contrastingly, cases involving current or previous intimate partners occurred almost 10</w:t>
      </w:r>
      <w:r w:rsidR="005E66F0" w:rsidRPr="006454B5">
        <w:rPr>
          <w:rFonts w:ascii="Arial" w:hAnsi="Arial" w:cs="Arial"/>
          <w:sz w:val="22"/>
        </w:rPr>
        <w:t xml:space="preserve"> percentage points</w:t>
      </w:r>
      <w:r w:rsidRPr="006454B5">
        <w:rPr>
          <w:rFonts w:ascii="Arial" w:hAnsi="Arial" w:cs="Arial"/>
          <w:sz w:val="22"/>
        </w:rPr>
        <w:t xml:space="preserve"> more frequently in the current sample (and one third were coded as being related to domestic violence). </w:t>
      </w:r>
      <w:r w:rsidR="008828C2" w:rsidRPr="006454B5">
        <w:rPr>
          <w:rFonts w:ascii="Arial" w:hAnsi="Arial" w:cs="Arial"/>
          <w:sz w:val="22"/>
        </w:rPr>
        <w:t>Examining child cases in isolation</w:t>
      </w:r>
      <w:r w:rsidR="001E04FA" w:rsidRPr="006454B5">
        <w:rPr>
          <w:rFonts w:ascii="Arial" w:hAnsi="Arial" w:cs="Arial"/>
          <w:sz w:val="22"/>
        </w:rPr>
        <w:t>, there appears to be a significantly greater likelihood that the suspect is not a stranger (i.e., family member or friend/acquaintance), coupled with the decreased likelihoo</w:t>
      </w:r>
      <w:r w:rsidR="00F13C13" w:rsidRPr="006454B5">
        <w:rPr>
          <w:rFonts w:ascii="Arial" w:hAnsi="Arial" w:cs="Arial"/>
          <w:sz w:val="22"/>
        </w:rPr>
        <w:t>d they are an intimate partner</w:t>
      </w:r>
      <w:r w:rsidR="00850551" w:rsidRPr="006454B5">
        <w:rPr>
          <w:rFonts w:ascii="Arial" w:hAnsi="Arial" w:cs="Arial"/>
          <w:sz w:val="22"/>
        </w:rPr>
        <w:t>, and a larger age difference between victim and suspects as compared to adult cases</w:t>
      </w:r>
      <w:r w:rsidR="00F13C13" w:rsidRPr="006454B5">
        <w:rPr>
          <w:rFonts w:ascii="Arial" w:hAnsi="Arial" w:cs="Arial"/>
          <w:sz w:val="22"/>
        </w:rPr>
        <w:t>. This may support</w:t>
      </w:r>
      <w:r w:rsidR="001E04FA" w:rsidRPr="006454B5">
        <w:rPr>
          <w:rFonts w:ascii="Arial" w:hAnsi="Arial" w:cs="Arial"/>
          <w:sz w:val="22"/>
        </w:rPr>
        <w:t xml:space="preserve"> significant roles for familiarity, trust, and/or grooming in child cases </w:t>
      </w:r>
      <w:r w:rsidR="008828C2" w:rsidRPr="006454B5">
        <w:rPr>
          <w:rFonts w:ascii="Arial" w:hAnsi="Arial" w:cs="Arial"/>
          <w:sz w:val="22"/>
        </w:rPr>
        <w:t>(</w:t>
      </w:r>
      <w:proofErr w:type="spellStart"/>
      <w:r w:rsidR="008828C2" w:rsidRPr="006454B5">
        <w:rPr>
          <w:rFonts w:ascii="Arial" w:hAnsi="Arial" w:cs="Arial"/>
          <w:sz w:val="22"/>
        </w:rPr>
        <w:t>Lundrigen</w:t>
      </w:r>
      <w:proofErr w:type="spellEnd"/>
      <w:r w:rsidR="008828C2" w:rsidRPr="006454B5">
        <w:rPr>
          <w:rFonts w:ascii="Arial" w:hAnsi="Arial" w:cs="Arial"/>
          <w:sz w:val="22"/>
        </w:rPr>
        <w:t xml:space="preserve"> et al., 2020; Snyder, 2006)</w:t>
      </w:r>
      <w:r w:rsidR="001E04FA" w:rsidRPr="006454B5">
        <w:rPr>
          <w:rFonts w:ascii="Arial" w:hAnsi="Arial" w:cs="Arial"/>
          <w:sz w:val="22"/>
        </w:rPr>
        <w:t>, where technology may add an additi</w:t>
      </w:r>
      <w:r w:rsidR="006454B5" w:rsidRPr="006454B5">
        <w:rPr>
          <w:rFonts w:ascii="Arial" w:hAnsi="Arial" w:cs="Arial"/>
          <w:sz w:val="22"/>
        </w:rPr>
        <w:t>onal layer of complexity</w:t>
      </w:r>
      <w:r w:rsidR="001E04FA" w:rsidRPr="006454B5">
        <w:rPr>
          <w:rFonts w:ascii="Arial" w:hAnsi="Arial" w:cs="Arial"/>
          <w:sz w:val="22"/>
        </w:rPr>
        <w:t>.</w:t>
      </w:r>
      <w:r w:rsidR="00850551" w:rsidRPr="006454B5">
        <w:rPr>
          <w:rFonts w:ascii="Arial" w:hAnsi="Arial" w:cs="Arial"/>
          <w:sz w:val="22"/>
        </w:rPr>
        <w:t xml:space="preserve"> Such results suggest that the aetiology, context and profile of violence in cases involving children, as </w:t>
      </w:r>
      <w:r w:rsidR="00850551" w:rsidRPr="006454B5">
        <w:rPr>
          <w:rFonts w:ascii="Arial" w:hAnsi="Arial" w:cs="Arial"/>
          <w:sz w:val="22"/>
        </w:rPr>
        <w:lastRenderedPageBreak/>
        <w:t xml:space="preserve">explored by </w:t>
      </w:r>
      <w:proofErr w:type="spellStart"/>
      <w:r w:rsidR="00850551" w:rsidRPr="006454B5">
        <w:rPr>
          <w:rFonts w:ascii="Arial" w:hAnsi="Arial" w:cs="Arial"/>
          <w:sz w:val="22"/>
        </w:rPr>
        <w:t>Brouillette-Alarie</w:t>
      </w:r>
      <w:proofErr w:type="spellEnd"/>
      <w:r w:rsidR="00850551" w:rsidRPr="006454B5">
        <w:rPr>
          <w:rFonts w:ascii="Arial" w:hAnsi="Arial" w:cs="Arial"/>
          <w:sz w:val="22"/>
        </w:rPr>
        <w:t xml:space="preserve"> and </w:t>
      </w:r>
      <w:proofErr w:type="spellStart"/>
      <w:r w:rsidR="00850551" w:rsidRPr="006454B5">
        <w:rPr>
          <w:rFonts w:ascii="Arial" w:hAnsi="Arial" w:cs="Arial"/>
          <w:sz w:val="22"/>
        </w:rPr>
        <w:t>Proulx</w:t>
      </w:r>
      <w:proofErr w:type="spellEnd"/>
      <w:r w:rsidR="00850551" w:rsidRPr="006454B5">
        <w:rPr>
          <w:rFonts w:ascii="Arial" w:hAnsi="Arial" w:cs="Arial"/>
          <w:sz w:val="22"/>
        </w:rPr>
        <w:t xml:space="preserve"> (2019) is worthy of further investigation</w:t>
      </w:r>
      <w:r w:rsidR="006454B5" w:rsidRPr="006454B5">
        <w:rPr>
          <w:rFonts w:ascii="Arial" w:hAnsi="Arial" w:cs="Arial"/>
          <w:sz w:val="22"/>
        </w:rPr>
        <w:t xml:space="preserve"> as a standalone inquiry</w:t>
      </w:r>
      <w:r w:rsidR="00850551" w:rsidRPr="006454B5">
        <w:rPr>
          <w:rFonts w:ascii="Arial" w:hAnsi="Arial" w:cs="Arial"/>
          <w:sz w:val="22"/>
        </w:rPr>
        <w:t>.</w:t>
      </w:r>
    </w:p>
    <w:p w14:paraId="4779B60B" w14:textId="21EA7E4A" w:rsidR="00863BEF" w:rsidRPr="006454B5" w:rsidRDefault="00863BEF" w:rsidP="008828C2">
      <w:pPr>
        <w:spacing w:before="120" w:after="120"/>
        <w:ind w:firstLine="720"/>
        <w:contextualSpacing/>
        <w:rPr>
          <w:rFonts w:ascii="Arial" w:hAnsi="Arial" w:cs="Arial"/>
          <w:sz w:val="22"/>
        </w:rPr>
      </w:pPr>
      <w:r w:rsidRPr="006454B5">
        <w:rPr>
          <w:rFonts w:ascii="Arial" w:hAnsi="Arial" w:cs="Arial"/>
          <w:sz w:val="22"/>
        </w:rPr>
        <w:t xml:space="preserve">The relationship between the victim and suspect was </w:t>
      </w:r>
      <w:r w:rsidR="00FF0B95" w:rsidRPr="006454B5">
        <w:rPr>
          <w:rFonts w:ascii="Arial" w:hAnsi="Arial" w:cs="Arial"/>
          <w:sz w:val="22"/>
        </w:rPr>
        <w:t xml:space="preserve">also </w:t>
      </w:r>
      <w:r w:rsidRPr="006454B5">
        <w:rPr>
          <w:rFonts w:ascii="Arial" w:hAnsi="Arial" w:cs="Arial"/>
          <w:sz w:val="22"/>
        </w:rPr>
        <w:t xml:space="preserve">an important predictor of case outcomes. Increases in victim withdrawal in cases of intimate partner rape </w:t>
      </w:r>
      <w:r w:rsidR="009A4251" w:rsidRPr="006454B5">
        <w:rPr>
          <w:rFonts w:ascii="Arial" w:hAnsi="Arial" w:cs="Arial"/>
          <w:sz w:val="22"/>
        </w:rPr>
        <w:t>are consistent with</w:t>
      </w:r>
      <w:r w:rsidRPr="006454B5">
        <w:rPr>
          <w:rFonts w:ascii="Arial" w:hAnsi="Arial" w:cs="Arial"/>
          <w:sz w:val="22"/>
        </w:rPr>
        <w:t xml:space="preserve"> previous </w:t>
      </w:r>
      <w:r w:rsidR="009A4251" w:rsidRPr="006454B5">
        <w:rPr>
          <w:rFonts w:ascii="Arial" w:hAnsi="Arial" w:cs="Arial"/>
          <w:sz w:val="22"/>
        </w:rPr>
        <w:t xml:space="preserve">research </w:t>
      </w:r>
      <w:r w:rsidRPr="006454B5">
        <w:rPr>
          <w:rFonts w:ascii="Arial" w:hAnsi="Arial" w:cs="Arial"/>
          <w:sz w:val="22"/>
        </w:rPr>
        <w:t>(Gregory &amp; Lees</w:t>
      </w:r>
      <w:r w:rsidR="00AC3B55" w:rsidRPr="006454B5">
        <w:rPr>
          <w:rFonts w:ascii="Arial" w:hAnsi="Arial" w:cs="Arial"/>
          <w:sz w:val="22"/>
        </w:rPr>
        <w:t>, 1996</w:t>
      </w:r>
      <w:r w:rsidRPr="006454B5">
        <w:rPr>
          <w:rFonts w:ascii="Arial" w:hAnsi="Arial" w:cs="Arial"/>
          <w:sz w:val="22"/>
        </w:rPr>
        <w:t xml:space="preserve">; </w:t>
      </w:r>
      <w:proofErr w:type="spellStart"/>
      <w:r w:rsidRPr="006454B5">
        <w:rPr>
          <w:rFonts w:ascii="Arial" w:hAnsi="Arial" w:cs="Arial"/>
          <w:sz w:val="22"/>
        </w:rPr>
        <w:t>Hohl</w:t>
      </w:r>
      <w:proofErr w:type="spellEnd"/>
      <w:r w:rsidRPr="006454B5">
        <w:rPr>
          <w:rFonts w:ascii="Arial" w:hAnsi="Arial" w:cs="Arial"/>
          <w:sz w:val="22"/>
        </w:rPr>
        <w:t xml:space="preserve"> &amp; </w:t>
      </w:r>
      <w:proofErr w:type="spellStart"/>
      <w:r w:rsidRPr="006454B5">
        <w:rPr>
          <w:rFonts w:ascii="Arial" w:hAnsi="Arial" w:cs="Arial"/>
          <w:sz w:val="22"/>
        </w:rPr>
        <w:t>Stanko</w:t>
      </w:r>
      <w:proofErr w:type="spellEnd"/>
      <w:r w:rsidRPr="006454B5">
        <w:rPr>
          <w:rFonts w:ascii="Arial" w:hAnsi="Arial" w:cs="Arial"/>
          <w:sz w:val="22"/>
        </w:rPr>
        <w:t>, 2015). Explanations for this finding include the idea that the more proximal the relationship between victim and perpetrator, the greater opportunity there is for the perpetrator to exert pressure on the victim to withdraw the complaint (Gregory &amp; Lees, 1996)</w:t>
      </w:r>
      <w:r w:rsidR="005E66F0" w:rsidRPr="006454B5">
        <w:rPr>
          <w:rFonts w:ascii="Arial" w:hAnsi="Arial" w:cs="Arial"/>
          <w:sz w:val="22"/>
        </w:rPr>
        <w:t>. V</w:t>
      </w:r>
      <w:r w:rsidRPr="006454B5">
        <w:rPr>
          <w:rFonts w:ascii="Arial" w:hAnsi="Arial" w:cs="Arial"/>
          <w:sz w:val="22"/>
        </w:rPr>
        <w:t xml:space="preserve">ictims may </w:t>
      </w:r>
      <w:r w:rsidR="00907378" w:rsidRPr="006454B5">
        <w:rPr>
          <w:rFonts w:ascii="Arial" w:hAnsi="Arial" w:cs="Arial"/>
          <w:sz w:val="22"/>
        </w:rPr>
        <w:t xml:space="preserve">also </w:t>
      </w:r>
      <w:r w:rsidRPr="006454B5">
        <w:rPr>
          <w:rFonts w:ascii="Arial" w:hAnsi="Arial" w:cs="Arial"/>
          <w:sz w:val="22"/>
        </w:rPr>
        <w:t xml:space="preserve">wish to protect their partner, particularly in cases where children are involved, and in some cases victims’ own rape myths may lead to </w:t>
      </w:r>
      <w:r w:rsidR="00FF0B95" w:rsidRPr="006454B5">
        <w:rPr>
          <w:rFonts w:ascii="Arial" w:hAnsi="Arial" w:cs="Arial"/>
          <w:sz w:val="22"/>
        </w:rPr>
        <w:t xml:space="preserve">the </w:t>
      </w:r>
      <w:r w:rsidRPr="006454B5">
        <w:rPr>
          <w:rFonts w:ascii="Arial" w:hAnsi="Arial" w:cs="Arial"/>
          <w:sz w:val="22"/>
        </w:rPr>
        <w:t xml:space="preserve">downplaying </w:t>
      </w:r>
      <w:r w:rsidR="00FF0B95" w:rsidRPr="006454B5">
        <w:rPr>
          <w:rFonts w:ascii="Arial" w:hAnsi="Arial" w:cs="Arial"/>
          <w:sz w:val="22"/>
        </w:rPr>
        <w:t xml:space="preserve">of their experience </w:t>
      </w:r>
      <w:r w:rsidRPr="006454B5">
        <w:rPr>
          <w:rFonts w:ascii="Arial" w:hAnsi="Arial" w:cs="Arial"/>
          <w:sz w:val="22"/>
        </w:rPr>
        <w:t xml:space="preserve">or </w:t>
      </w:r>
      <w:r w:rsidR="003539DD" w:rsidRPr="006454B5">
        <w:rPr>
          <w:rFonts w:ascii="Arial" w:hAnsi="Arial" w:cs="Arial"/>
          <w:sz w:val="22"/>
        </w:rPr>
        <w:t xml:space="preserve">increases in </w:t>
      </w:r>
      <w:r w:rsidRPr="006454B5">
        <w:rPr>
          <w:rFonts w:ascii="Arial" w:hAnsi="Arial" w:cs="Arial"/>
          <w:sz w:val="22"/>
        </w:rPr>
        <w:t>self-blam</w:t>
      </w:r>
      <w:r w:rsidR="00FF0B95" w:rsidRPr="006454B5">
        <w:rPr>
          <w:rFonts w:ascii="Arial" w:hAnsi="Arial" w:cs="Arial"/>
          <w:sz w:val="22"/>
        </w:rPr>
        <w:t>e</w:t>
      </w:r>
      <w:r w:rsidRPr="006454B5">
        <w:rPr>
          <w:rFonts w:ascii="Arial" w:hAnsi="Arial" w:cs="Arial"/>
          <w:sz w:val="22"/>
        </w:rPr>
        <w:t>. Furthermore, cases that were coded as being related to domestic violence, and</w:t>
      </w:r>
      <w:r w:rsidRPr="006454B5">
        <w:rPr>
          <w:rFonts w:ascii="Arial" w:hAnsi="Arial" w:cs="Arial"/>
          <w:spacing w:val="-4"/>
          <w:sz w:val="22"/>
        </w:rPr>
        <w:t xml:space="preserve"> </w:t>
      </w:r>
      <w:r w:rsidRPr="006454B5">
        <w:rPr>
          <w:rFonts w:ascii="Arial" w:hAnsi="Arial" w:cs="Arial"/>
          <w:spacing w:val="-1"/>
          <w:sz w:val="22"/>
        </w:rPr>
        <w:t>where</w:t>
      </w:r>
      <w:r w:rsidRPr="006454B5">
        <w:rPr>
          <w:rFonts w:ascii="Arial" w:hAnsi="Arial" w:cs="Arial"/>
          <w:spacing w:val="-5"/>
          <w:sz w:val="22"/>
        </w:rPr>
        <w:t xml:space="preserve"> </w:t>
      </w:r>
      <w:r w:rsidRPr="006454B5">
        <w:rPr>
          <w:rFonts w:ascii="Arial" w:hAnsi="Arial" w:cs="Arial"/>
          <w:sz w:val="22"/>
        </w:rPr>
        <w:t>the</w:t>
      </w:r>
      <w:r w:rsidRPr="006454B5">
        <w:rPr>
          <w:rFonts w:ascii="Arial" w:hAnsi="Arial" w:cs="Arial"/>
          <w:spacing w:val="-3"/>
          <w:sz w:val="22"/>
        </w:rPr>
        <w:t xml:space="preserve"> </w:t>
      </w:r>
      <w:r w:rsidRPr="006454B5">
        <w:rPr>
          <w:rFonts w:ascii="Arial" w:hAnsi="Arial" w:cs="Arial"/>
          <w:spacing w:val="-1"/>
          <w:sz w:val="22"/>
        </w:rPr>
        <w:t>rape</w:t>
      </w:r>
      <w:r w:rsidRPr="006454B5">
        <w:rPr>
          <w:rFonts w:ascii="Arial" w:hAnsi="Arial" w:cs="Arial"/>
          <w:spacing w:val="-5"/>
          <w:sz w:val="22"/>
        </w:rPr>
        <w:t xml:space="preserve"> </w:t>
      </w:r>
      <w:r w:rsidRPr="006454B5">
        <w:rPr>
          <w:rFonts w:ascii="Arial" w:hAnsi="Arial" w:cs="Arial"/>
          <w:sz w:val="22"/>
        </w:rPr>
        <w:t>was</w:t>
      </w:r>
      <w:r w:rsidRPr="006454B5">
        <w:rPr>
          <w:rFonts w:ascii="Arial" w:hAnsi="Arial" w:cs="Arial"/>
          <w:spacing w:val="-3"/>
          <w:sz w:val="22"/>
        </w:rPr>
        <w:t xml:space="preserve"> </w:t>
      </w:r>
      <w:r w:rsidRPr="006454B5">
        <w:rPr>
          <w:rFonts w:ascii="Arial" w:hAnsi="Arial" w:cs="Arial"/>
          <w:spacing w:val="-1"/>
          <w:sz w:val="22"/>
        </w:rPr>
        <w:t>reported</w:t>
      </w:r>
      <w:r w:rsidRPr="006454B5">
        <w:rPr>
          <w:rFonts w:ascii="Arial" w:hAnsi="Arial" w:cs="Arial"/>
          <w:spacing w:val="-3"/>
          <w:sz w:val="22"/>
        </w:rPr>
        <w:t xml:space="preserve"> </w:t>
      </w:r>
      <w:r w:rsidRPr="006454B5">
        <w:rPr>
          <w:rFonts w:ascii="Arial" w:hAnsi="Arial" w:cs="Arial"/>
          <w:sz w:val="22"/>
        </w:rPr>
        <w:t>through the DASH questionnaire,</w:t>
      </w:r>
      <w:r w:rsidRPr="006454B5">
        <w:rPr>
          <w:rFonts w:ascii="Arial" w:hAnsi="Arial" w:cs="Arial"/>
          <w:spacing w:val="-5"/>
          <w:sz w:val="22"/>
        </w:rPr>
        <w:t xml:space="preserve"> </w:t>
      </w:r>
      <w:r w:rsidRPr="006454B5">
        <w:rPr>
          <w:rFonts w:ascii="Arial" w:hAnsi="Arial" w:cs="Arial"/>
          <w:spacing w:val="-1"/>
          <w:sz w:val="22"/>
        </w:rPr>
        <w:t>were at</w:t>
      </w:r>
      <w:r w:rsidRPr="006454B5">
        <w:rPr>
          <w:rFonts w:ascii="Arial" w:hAnsi="Arial" w:cs="Arial"/>
          <w:spacing w:val="-5"/>
          <w:sz w:val="22"/>
        </w:rPr>
        <w:t xml:space="preserve"> </w:t>
      </w:r>
      <w:r w:rsidRPr="006454B5">
        <w:rPr>
          <w:rFonts w:ascii="Arial" w:hAnsi="Arial" w:cs="Arial"/>
          <w:spacing w:val="-1"/>
          <w:sz w:val="22"/>
        </w:rPr>
        <w:t>increased</w:t>
      </w:r>
      <w:r w:rsidRPr="006454B5">
        <w:rPr>
          <w:rFonts w:ascii="Arial" w:hAnsi="Arial" w:cs="Arial"/>
          <w:spacing w:val="-6"/>
          <w:sz w:val="22"/>
        </w:rPr>
        <w:t xml:space="preserve"> </w:t>
      </w:r>
      <w:r w:rsidRPr="006454B5">
        <w:rPr>
          <w:rFonts w:ascii="Arial" w:hAnsi="Arial" w:cs="Arial"/>
          <w:spacing w:val="-1"/>
          <w:sz w:val="22"/>
        </w:rPr>
        <w:t>risk</w:t>
      </w:r>
      <w:r w:rsidRPr="006454B5">
        <w:rPr>
          <w:rFonts w:ascii="Arial" w:hAnsi="Arial" w:cs="Arial"/>
          <w:spacing w:val="-4"/>
          <w:sz w:val="22"/>
        </w:rPr>
        <w:t xml:space="preserve"> </w:t>
      </w:r>
      <w:r w:rsidRPr="006454B5">
        <w:rPr>
          <w:rFonts w:ascii="Arial" w:hAnsi="Arial" w:cs="Arial"/>
          <w:spacing w:val="-1"/>
          <w:sz w:val="22"/>
        </w:rPr>
        <w:t>of</w:t>
      </w:r>
      <w:r w:rsidRPr="006454B5">
        <w:rPr>
          <w:rFonts w:ascii="Arial" w:hAnsi="Arial" w:cs="Arial"/>
          <w:spacing w:val="-5"/>
          <w:sz w:val="22"/>
        </w:rPr>
        <w:t xml:space="preserve"> </w:t>
      </w:r>
      <w:r w:rsidRPr="006454B5">
        <w:rPr>
          <w:rFonts w:ascii="Arial" w:hAnsi="Arial" w:cs="Arial"/>
          <w:spacing w:val="-1"/>
          <w:sz w:val="22"/>
        </w:rPr>
        <w:t>victim</w:t>
      </w:r>
      <w:r w:rsidRPr="006454B5">
        <w:rPr>
          <w:rFonts w:ascii="Arial" w:hAnsi="Arial" w:cs="Arial"/>
          <w:spacing w:val="-5"/>
          <w:sz w:val="22"/>
        </w:rPr>
        <w:t xml:space="preserve"> </w:t>
      </w:r>
      <w:r w:rsidRPr="006454B5">
        <w:rPr>
          <w:rFonts w:ascii="Arial" w:hAnsi="Arial" w:cs="Arial"/>
          <w:spacing w:val="-1"/>
          <w:sz w:val="22"/>
        </w:rPr>
        <w:t>withdrawal.</w:t>
      </w:r>
      <w:r w:rsidRPr="006454B5">
        <w:rPr>
          <w:rFonts w:ascii="Arial" w:hAnsi="Arial" w:cs="Arial"/>
          <w:spacing w:val="-2"/>
          <w:sz w:val="22"/>
        </w:rPr>
        <w:t xml:space="preserve"> </w:t>
      </w:r>
      <w:r w:rsidRPr="006454B5">
        <w:rPr>
          <w:rFonts w:ascii="Arial" w:hAnsi="Arial" w:cs="Arial"/>
          <w:spacing w:val="-1"/>
          <w:sz w:val="22"/>
        </w:rPr>
        <w:t>Hester</w:t>
      </w:r>
      <w:r w:rsidRPr="006454B5">
        <w:rPr>
          <w:rFonts w:ascii="Arial" w:hAnsi="Arial" w:cs="Arial"/>
          <w:spacing w:val="-2"/>
          <w:sz w:val="22"/>
        </w:rPr>
        <w:t xml:space="preserve"> </w:t>
      </w:r>
      <w:r w:rsidRPr="006454B5">
        <w:rPr>
          <w:rFonts w:ascii="Arial" w:hAnsi="Arial" w:cs="Arial"/>
          <w:sz w:val="22"/>
        </w:rPr>
        <w:t>and</w:t>
      </w:r>
      <w:r w:rsidRPr="006454B5">
        <w:rPr>
          <w:rFonts w:ascii="Arial" w:hAnsi="Arial" w:cs="Arial"/>
          <w:spacing w:val="-1"/>
          <w:sz w:val="22"/>
        </w:rPr>
        <w:t xml:space="preserve"> Lilley’s</w:t>
      </w:r>
      <w:r w:rsidRPr="006454B5">
        <w:rPr>
          <w:rFonts w:ascii="Arial" w:hAnsi="Arial" w:cs="Arial"/>
          <w:spacing w:val="6"/>
          <w:sz w:val="22"/>
        </w:rPr>
        <w:t xml:space="preserve"> </w:t>
      </w:r>
      <w:r w:rsidRPr="006454B5">
        <w:rPr>
          <w:rFonts w:ascii="Arial" w:hAnsi="Arial" w:cs="Arial"/>
          <w:sz w:val="22"/>
        </w:rPr>
        <w:t>(2017)</w:t>
      </w:r>
      <w:r w:rsidRPr="006454B5">
        <w:rPr>
          <w:rFonts w:ascii="Arial" w:hAnsi="Arial" w:cs="Arial"/>
          <w:spacing w:val="-1"/>
          <w:sz w:val="22"/>
        </w:rPr>
        <w:t xml:space="preserve"> work </w:t>
      </w:r>
      <w:r w:rsidRPr="006454B5">
        <w:rPr>
          <w:rFonts w:ascii="Arial" w:hAnsi="Arial" w:cs="Arial"/>
          <w:sz w:val="22"/>
        </w:rPr>
        <w:t>highlights</w:t>
      </w:r>
      <w:r w:rsidRPr="006454B5">
        <w:rPr>
          <w:rFonts w:ascii="Arial" w:hAnsi="Arial" w:cs="Arial"/>
          <w:spacing w:val="-5"/>
          <w:sz w:val="22"/>
        </w:rPr>
        <w:t xml:space="preserve"> </w:t>
      </w:r>
      <w:r w:rsidRPr="006454B5">
        <w:rPr>
          <w:rFonts w:ascii="Arial" w:hAnsi="Arial" w:cs="Arial"/>
          <w:sz w:val="22"/>
        </w:rPr>
        <w:t>that</w:t>
      </w:r>
      <w:r w:rsidRPr="006454B5">
        <w:rPr>
          <w:rFonts w:ascii="Arial" w:hAnsi="Arial" w:cs="Arial"/>
          <w:spacing w:val="-6"/>
          <w:sz w:val="22"/>
        </w:rPr>
        <w:t xml:space="preserve"> </w:t>
      </w:r>
      <w:r w:rsidRPr="006454B5">
        <w:rPr>
          <w:rFonts w:ascii="Arial" w:hAnsi="Arial" w:cs="Arial"/>
          <w:spacing w:val="-1"/>
          <w:sz w:val="22"/>
        </w:rPr>
        <w:t>DASH</w:t>
      </w:r>
      <w:r w:rsidRPr="006454B5">
        <w:rPr>
          <w:rFonts w:ascii="Arial" w:hAnsi="Arial" w:cs="Arial"/>
          <w:spacing w:val="-5"/>
          <w:sz w:val="22"/>
        </w:rPr>
        <w:t xml:space="preserve"> </w:t>
      </w:r>
      <w:r w:rsidRPr="006454B5">
        <w:rPr>
          <w:rFonts w:ascii="Arial" w:hAnsi="Arial" w:cs="Arial"/>
          <w:spacing w:val="-1"/>
          <w:sz w:val="22"/>
        </w:rPr>
        <w:t>recorded</w:t>
      </w:r>
      <w:r w:rsidRPr="006454B5">
        <w:rPr>
          <w:rFonts w:ascii="Arial" w:hAnsi="Arial" w:cs="Arial"/>
          <w:spacing w:val="-4"/>
          <w:sz w:val="22"/>
        </w:rPr>
        <w:t xml:space="preserve"> </w:t>
      </w:r>
      <w:r w:rsidRPr="006454B5">
        <w:rPr>
          <w:rFonts w:ascii="Arial" w:hAnsi="Arial" w:cs="Arial"/>
          <w:spacing w:val="-1"/>
          <w:sz w:val="22"/>
        </w:rPr>
        <w:t>rape</w:t>
      </w:r>
      <w:r w:rsidRPr="006454B5">
        <w:rPr>
          <w:rFonts w:ascii="Arial" w:hAnsi="Arial" w:cs="Arial"/>
          <w:spacing w:val="-5"/>
          <w:sz w:val="22"/>
        </w:rPr>
        <w:t xml:space="preserve"> </w:t>
      </w:r>
      <w:r w:rsidRPr="006454B5">
        <w:rPr>
          <w:rFonts w:ascii="Arial" w:hAnsi="Arial" w:cs="Arial"/>
          <w:sz w:val="22"/>
        </w:rPr>
        <w:t>cases</w:t>
      </w:r>
      <w:r w:rsidRPr="006454B5">
        <w:rPr>
          <w:rFonts w:ascii="Arial" w:hAnsi="Arial" w:cs="Arial"/>
          <w:spacing w:val="-3"/>
          <w:sz w:val="22"/>
        </w:rPr>
        <w:t xml:space="preserve"> </w:t>
      </w:r>
      <w:r w:rsidRPr="006454B5">
        <w:rPr>
          <w:rFonts w:ascii="Arial" w:hAnsi="Arial" w:cs="Arial"/>
          <w:spacing w:val="-1"/>
          <w:sz w:val="22"/>
        </w:rPr>
        <w:t>are</w:t>
      </w:r>
      <w:r w:rsidRPr="006454B5">
        <w:rPr>
          <w:rFonts w:ascii="Arial" w:hAnsi="Arial" w:cs="Arial"/>
          <w:spacing w:val="-5"/>
          <w:sz w:val="22"/>
        </w:rPr>
        <w:t xml:space="preserve"> </w:t>
      </w:r>
      <w:r w:rsidRPr="006454B5">
        <w:rPr>
          <w:rFonts w:ascii="Arial" w:hAnsi="Arial" w:cs="Arial"/>
          <w:spacing w:val="-1"/>
          <w:sz w:val="22"/>
        </w:rPr>
        <w:t>more</w:t>
      </w:r>
      <w:r w:rsidRPr="006454B5">
        <w:rPr>
          <w:rFonts w:ascii="Arial" w:hAnsi="Arial" w:cs="Arial"/>
          <w:spacing w:val="-5"/>
          <w:sz w:val="22"/>
        </w:rPr>
        <w:t xml:space="preserve"> </w:t>
      </w:r>
      <w:r w:rsidRPr="006454B5">
        <w:rPr>
          <w:rFonts w:ascii="Arial" w:hAnsi="Arial" w:cs="Arial"/>
          <w:spacing w:val="-1"/>
          <w:sz w:val="22"/>
        </w:rPr>
        <w:t>likely</w:t>
      </w:r>
      <w:r w:rsidRPr="006454B5">
        <w:rPr>
          <w:rFonts w:ascii="Arial" w:hAnsi="Arial" w:cs="Arial"/>
          <w:spacing w:val="-5"/>
          <w:sz w:val="22"/>
        </w:rPr>
        <w:t xml:space="preserve"> </w:t>
      </w:r>
      <w:r w:rsidRPr="006454B5">
        <w:rPr>
          <w:rFonts w:ascii="Arial" w:hAnsi="Arial" w:cs="Arial"/>
          <w:sz w:val="22"/>
        </w:rPr>
        <w:t>to</w:t>
      </w:r>
      <w:r w:rsidRPr="006454B5">
        <w:rPr>
          <w:rFonts w:ascii="Arial" w:hAnsi="Arial" w:cs="Arial"/>
          <w:spacing w:val="-5"/>
          <w:sz w:val="22"/>
        </w:rPr>
        <w:t xml:space="preserve"> </w:t>
      </w:r>
      <w:r w:rsidRPr="006454B5">
        <w:rPr>
          <w:rFonts w:ascii="Arial" w:hAnsi="Arial" w:cs="Arial"/>
          <w:sz w:val="22"/>
        </w:rPr>
        <w:t>involve</w:t>
      </w:r>
      <w:r w:rsidRPr="006454B5">
        <w:rPr>
          <w:rFonts w:ascii="Arial" w:hAnsi="Arial" w:cs="Arial"/>
          <w:spacing w:val="-5"/>
          <w:sz w:val="22"/>
        </w:rPr>
        <w:t xml:space="preserve"> </w:t>
      </w:r>
      <w:r w:rsidRPr="006454B5">
        <w:rPr>
          <w:rFonts w:ascii="Arial" w:hAnsi="Arial" w:cs="Arial"/>
          <w:sz w:val="22"/>
        </w:rPr>
        <w:t>a</w:t>
      </w:r>
      <w:r w:rsidRPr="006454B5">
        <w:rPr>
          <w:rFonts w:ascii="Arial" w:hAnsi="Arial" w:cs="Arial"/>
          <w:spacing w:val="-4"/>
          <w:sz w:val="22"/>
        </w:rPr>
        <w:t xml:space="preserve"> </w:t>
      </w:r>
      <w:r w:rsidRPr="006454B5">
        <w:rPr>
          <w:rFonts w:ascii="Arial" w:hAnsi="Arial" w:cs="Arial"/>
          <w:spacing w:val="-1"/>
          <w:sz w:val="22"/>
        </w:rPr>
        <w:t>current</w:t>
      </w:r>
      <w:r w:rsidRPr="006454B5">
        <w:rPr>
          <w:rFonts w:ascii="Arial" w:hAnsi="Arial" w:cs="Arial"/>
          <w:spacing w:val="-3"/>
          <w:sz w:val="22"/>
        </w:rPr>
        <w:t xml:space="preserve"> </w:t>
      </w:r>
      <w:r w:rsidRPr="006454B5">
        <w:rPr>
          <w:rFonts w:ascii="Arial" w:hAnsi="Arial" w:cs="Arial"/>
          <w:spacing w:val="-1"/>
          <w:sz w:val="22"/>
        </w:rPr>
        <w:t>or</w:t>
      </w:r>
      <w:r w:rsidRPr="006454B5">
        <w:rPr>
          <w:rFonts w:ascii="Arial" w:hAnsi="Arial" w:cs="Arial"/>
          <w:spacing w:val="-5"/>
          <w:sz w:val="22"/>
        </w:rPr>
        <w:t xml:space="preserve"> </w:t>
      </w:r>
      <w:r w:rsidRPr="006454B5">
        <w:rPr>
          <w:rFonts w:ascii="Arial" w:hAnsi="Arial" w:cs="Arial"/>
          <w:spacing w:val="-1"/>
          <w:sz w:val="22"/>
        </w:rPr>
        <w:t>former partner</w:t>
      </w:r>
      <w:r w:rsidRPr="006454B5">
        <w:rPr>
          <w:rFonts w:ascii="Arial" w:hAnsi="Arial" w:cs="Arial"/>
          <w:spacing w:val="-9"/>
          <w:sz w:val="22"/>
        </w:rPr>
        <w:t xml:space="preserve"> </w:t>
      </w:r>
      <w:r w:rsidRPr="006454B5">
        <w:rPr>
          <w:rFonts w:ascii="Arial" w:hAnsi="Arial" w:cs="Arial"/>
          <w:sz w:val="22"/>
        </w:rPr>
        <w:t>and</w:t>
      </w:r>
      <w:r w:rsidRPr="006454B5">
        <w:rPr>
          <w:rFonts w:ascii="Arial" w:hAnsi="Arial" w:cs="Arial"/>
          <w:spacing w:val="-8"/>
          <w:sz w:val="22"/>
        </w:rPr>
        <w:t xml:space="preserve"> </w:t>
      </w:r>
      <w:r w:rsidRPr="006454B5">
        <w:rPr>
          <w:rFonts w:ascii="Arial" w:hAnsi="Arial" w:cs="Arial"/>
          <w:spacing w:val="-1"/>
          <w:sz w:val="22"/>
        </w:rPr>
        <w:t>are</w:t>
      </w:r>
      <w:r w:rsidRPr="006454B5">
        <w:rPr>
          <w:rFonts w:ascii="Arial" w:hAnsi="Arial" w:cs="Arial"/>
          <w:spacing w:val="-8"/>
          <w:sz w:val="22"/>
        </w:rPr>
        <w:t xml:space="preserve"> </w:t>
      </w:r>
      <w:r w:rsidRPr="006454B5">
        <w:rPr>
          <w:rFonts w:ascii="Arial" w:hAnsi="Arial" w:cs="Arial"/>
          <w:spacing w:val="-1"/>
          <w:sz w:val="22"/>
        </w:rPr>
        <w:t>disproportionately</w:t>
      </w:r>
      <w:r w:rsidRPr="006454B5">
        <w:rPr>
          <w:rFonts w:ascii="Arial" w:hAnsi="Arial" w:cs="Arial"/>
          <w:spacing w:val="-8"/>
          <w:sz w:val="22"/>
        </w:rPr>
        <w:t xml:space="preserve"> </w:t>
      </w:r>
      <w:r w:rsidRPr="006454B5">
        <w:rPr>
          <w:rFonts w:ascii="Arial" w:hAnsi="Arial" w:cs="Arial"/>
          <w:spacing w:val="-1"/>
          <w:sz w:val="22"/>
        </w:rPr>
        <w:t>withdrawn</w:t>
      </w:r>
      <w:r w:rsidRPr="006454B5">
        <w:rPr>
          <w:rFonts w:ascii="Arial" w:hAnsi="Arial" w:cs="Arial"/>
          <w:spacing w:val="-6"/>
          <w:sz w:val="22"/>
        </w:rPr>
        <w:t xml:space="preserve"> </w:t>
      </w:r>
      <w:r w:rsidRPr="006454B5">
        <w:rPr>
          <w:rFonts w:ascii="Arial" w:hAnsi="Arial" w:cs="Arial"/>
          <w:spacing w:val="-1"/>
          <w:sz w:val="22"/>
        </w:rPr>
        <w:t>early</w:t>
      </w:r>
      <w:r w:rsidRPr="006454B5">
        <w:rPr>
          <w:rFonts w:ascii="Arial" w:hAnsi="Arial" w:cs="Arial"/>
          <w:spacing w:val="-7"/>
          <w:sz w:val="22"/>
        </w:rPr>
        <w:t xml:space="preserve"> </w:t>
      </w:r>
      <w:r w:rsidRPr="006454B5">
        <w:rPr>
          <w:rFonts w:ascii="Arial" w:hAnsi="Arial" w:cs="Arial"/>
          <w:spacing w:val="-1"/>
          <w:sz w:val="22"/>
        </w:rPr>
        <w:t>during</w:t>
      </w:r>
      <w:r w:rsidRPr="006454B5">
        <w:rPr>
          <w:rFonts w:ascii="Arial" w:hAnsi="Arial" w:cs="Arial"/>
          <w:spacing w:val="-8"/>
          <w:sz w:val="22"/>
        </w:rPr>
        <w:t xml:space="preserve"> </w:t>
      </w:r>
      <w:r w:rsidRPr="006454B5">
        <w:rPr>
          <w:rFonts w:ascii="Arial" w:hAnsi="Arial" w:cs="Arial"/>
          <w:sz w:val="22"/>
        </w:rPr>
        <w:t>the</w:t>
      </w:r>
      <w:r w:rsidRPr="006454B5">
        <w:rPr>
          <w:rFonts w:ascii="Arial" w:hAnsi="Arial" w:cs="Arial"/>
          <w:spacing w:val="-8"/>
          <w:sz w:val="22"/>
        </w:rPr>
        <w:t xml:space="preserve"> </w:t>
      </w:r>
      <w:r w:rsidRPr="006454B5">
        <w:rPr>
          <w:rFonts w:ascii="Arial" w:hAnsi="Arial" w:cs="Arial"/>
          <w:spacing w:val="-1"/>
          <w:sz w:val="22"/>
        </w:rPr>
        <w:t>investigative</w:t>
      </w:r>
      <w:r w:rsidRPr="006454B5">
        <w:rPr>
          <w:rFonts w:ascii="Arial" w:hAnsi="Arial" w:cs="Arial"/>
          <w:spacing w:val="-8"/>
          <w:sz w:val="22"/>
        </w:rPr>
        <w:t xml:space="preserve"> </w:t>
      </w:r>
      <w:r w:rsidRPr="006454B5">
        <w:rPr>
          <w:rFonts w:ascii="Arial" w:hAnsi="Arial" w:cs="Arial"/>
          <w:spacing w:val="-1"/>
          <w:sz w:val="22"/>
        </w:rPr>
        <w:t>stages.</w:t>
      </w:r>
      <w:r w:rsidRPr="006454B5">
        <w:rPr>
          <w:rFonts w:ascii="Arial" w:hAnsi="Arial" w:cs="Arial"/>
          <w:spacing w:val="-7"/>
          <w:sz w:val="22"/>
        </w:rPr>
        <w:t xml:space="preserve"> </w:t>
      </w:r>
      <w:r w:rsidR="009A4251" w:rsidRPr="006454B5">
        <w:rPr>
          <w:rFonts w:ascii="Arial" w:hAnsi="Arial" w:cs="Arial"/>
          <w:spacing w:val="-1"/>
          <w:sz w:val="22"/>
        </w:rPr>
        <w:t xml:space="preserve">The authors </w:t>
      </w:r>
      <w:r w:rsidRPr="006454B5">
        <w:rPr>
          <w:rFonts w:ascii="Arial" w:hAnsi="Arial" w:cs="Arial"/>
          <w:spacing w:val="-1"/>
          <w:sz w:val="22"/>
        </w:rPr>
        <w:t>identify</w:t>
      </w:r>
      <w:r w:rsidRPr="006454B5">
        <w:rPr>
          <w:rFonts w:ascii="Arial" w:hAnsi="Arial" w:cs="Arial"/>
          <w:spacing w:val="-4"/>
          <w:sz w:val="22"/>
        </w:rPr>
        <w:t xml:space="preserve"> </w:t>
      </w:r>
      <w:r w:rsidRPr="006454B5">
        <w:rPr>
          <w:rFonts w:ascii="Arial" w:hAnsi="Arial" w:cs="Arial"/>
          <w:sz w:val="22"/>
        </w:rPr>
        <w:t>that</w:t>
      </w:r>
      <w:r w:rsidRPr="006454B5">
        <w:rPr>
          <w:rFonts w:ascii="Arial" w:hAnsi="Arial" w:cs="Arial"/>
          <w:spacing w:val="-4"/>
          <w:sz w:val="22"/>
        </w:rPr>
        <w:t xml:space="preserve"> </w:t>
      </w:r>
      <w:r w:rsidRPr="006454B5">
        <w:rPr>
          <w:rFonts w:ascii="Arial" w:hAnsi="Arial" w:cs="Arial"/>
          <w:sz w:val="22"/>
        </w:rPr>
        <w:t>these</w:t>
      </w:r>
      <w:r w:rsidRPr="006454B5">
        <w:rPr>
          <w:rFonts w:ascii="Arial" w:hAnsi="Arial" w:cs="Arial"/>
          <w:spacing w:val="-5"/>
          <w:sz w:val="22"/>
        </w:rPr>
        <w:t xml:space="preserve"> </w:t>
      </w:r>
      <w:r w:rsidRPr="006454B5">
        <w:rPr>
          <w:rFonts w:ascii="Arial" w:hAnsi="Arial" w:cs="Arial"/>
          <w:spacing w:val="-1"/>
          <w:sz w:val="22"/>
        </w:rPr>
        <w:t>cases</w:t>
      </w:r>
      <w:r w:rsidRPr="006454B5">
        <w:rPr>
          <w:rFonts w:ascii="Arial" w:hAnsi="Arial" w:cs="Arial"/>
          <w:spacing w:val="-3"/>
          <w:sz w:val="22"/>
        </w:rPr>
        <w:t xml:space="preserve"> </w:t>
      </w:r>
      <w:r w:rsidRPr="006454B5">
        <w:rPr>
          <w:rFonts w:ascii="Arial" w:hAnsi="Arial" w:cs="Arial"/>
          <w:spacing w:val="-1"/>
          <w:sz w:val="22"/>
        </w:rPr>
        <w:t>are</w:t>
      </w:r>
      <w:r w:rsidRPr="006454B5">
        <w:rPr>
          <w:rFonts w:ascii="Arial" w:hAnsi="Arial" w:cs="Arial"/>
          <w:spacing w:val="-5"/>
          <w:sz w:val="22"/>
        </w:rPr>
        <w:t xml:space="preserve"> </w:t>
      </w:r>
      <w:r w:rsidRPr="006454B5">
        <w:rPr>
          <w:rFonts w:ascii="Arial" w:hAnsi="Arial" w:cs="Arial"/>
          <w:spacing w:val="-1"/>
          <w:sz w:val="22"/>
        </w:rPr>
        <w:t>often</w:t>
      </w:r>
      <w:r w:rsidRPr="006454B5">
        <w:rPr>
          <w:rFonts w:ascii="Arial" w:hAnsi="Arial" w:cs="Arial"/>
          <w:spacing w:val="-4"/>
          <w:sz w:val="22"/>
        </w:rPr>
        <w:t xml:space="preserve"> </w:t>
      </w:r>
      <w:r w:rsidRPr="006454B5">
        <w:rPr>
          <w:rFonts w:ascii="Arial" w:hAnsi="Arial" w:cs="Arial"/>
          <w:spacing w:val="-1"/>
          <w:sz w:val="22"/>
        </w:rPr>
        <w:t>withdrawn</w:t>
      </w:r>
      <w:r w:rsidRPr="006454B5">
        <w:rPr>
          <w:rFonts w:ascii="Arial" w:hAnsi="Arial" w:cs="Arial"/>
          <w:spacing w:val="-4"/>
          <w:sz w:val="22"/>
        </w:rPr>
        <w:t xml:space="preserve"> </w:t>
      </w:r>
      <w:r w:rsidRPr="006454B5">
        <w:rPr>
          <w:rFonts w:ascii="Arial" w:hAnsi="Arial" w:cs="Arial"/>
          <w:sz w:val="22"/>
        </w:rPr>
        <w:t>due</w:t>
      </w:r>
      <w:r w:rsidRPr="006454B5">
        <w:rPr>
          <w:rFonts w:ascii="Arial" w:hAnsi="Arial" w:cs="Arial"/>
          <w:spacing w:val="-1"/>
          <w:sz w:val="22"/>
        </w:rPr>
        <w:t xml:space="preserve"> </w:t>
      </w:r>
      <w:r w:rsidRPr="006454B5">
        <w:rPr>
          <w:rFonts w:ascii="Arial" w:hAnsi="Arial" w:cs="Arial"/>
          <w:sz w:val="22"/>
        </w:rPr>
        <w:t>to</w:t>
      </w:r>
      <w:r w:rsidRPr="006454B5">
        <w:rPr>
          <w:rFonts w:ascii="Arial" w:hAnsi="Arial" w:cs="Arial"/>
          <w:spacing w:val="-4"/>
          <w:sz w:val="22"/>
        </w:rPr>
        <w:t xml:space="preserve"> </w:t>
      </w:r>
      <w:r w:rsidRPr="006454B5">
        <w:rPr>
          <w:rFonts w:ascii="Arial" w:hAnsi="Arial" w:cs="Arial"/>
          <w:spacing w:val="-1"/>
          <w:sz w:val="22"/>
        </w:rPr>
        <w:t>fear,</w:t>
      </w:r>
      <w:r w:rsidRPr="006454B5">
        <w:rPr>
          <w:rFonts w:ascii="Arial" w:hAnsi="Arial" w:cs="Arial"/>
          <w:spacing w:val="-5"/>
          <w:sz w:val="22"/>
        </w:rPr>
        <w:t xml:space="preserve"> </w:t>
      </w:r>
      <w:r w:rsidRPr="006454B5">
        <w:rPr>
          <w:rFonts w:ascii="Arial" w:hAnsi="Arial" w:cs="Arial"/>
          <w:spacing w:val="-1"/>
          <w:sz w:val="22"/>
        </w:rPr>
        <w:t>threats,</w:t>
      </w:r>
      <w:r w:rsidRPr="006454B5">
        <w:rPr>
          <w:rFonts w:ascii="Arial" w:hAnsi="Arial" w:cs="Arial"/>
          <w:spacing w:val="-5"/>
          <w:sz w:val="22"/>
        </w:rPr>
        <w:t xml:space="preserve"> </w:t>
      </w:r>
      <w:r w:rsidRPr="006454B5">
        <w:rPr>
          <w:rFonts w:ascii="Arial" w:hAnsi="Arial" w:cs="Arial"/>
          <w:sz w:val="22"/>
        </w:rPr>
        <w:t>and</w:t>
      </w:r>
      <w:r w:rsidR="00907378" w:rsidRPr="006454B5">
        <w:rPr>
          <w:rFonts w:ascii="Arial" w:hAnsi="Arial" w:cs="Arial"/>
          <w:spacing w:val="55"/>
          <w:w w:val="99"/>
          <w:sz w:val="22"/>
        </w:rPr>
        <w:t xml:space="preserve"> </w:t>
      </w:r>
      <w:r w:rsidRPr="006454B5">
        <w:rPr>
          <w:rFonts w:ascii="Arial" w:hAnsi="Arial" w:cs="Arial"/>
          <w:spacing w:val="-1"/>
          <w:sz w:val="22"/>
        </w:rPr>
        <w:t>intimidation</w:t>
      </w:r>
      <w:r w:rsidRPr="006454B5">
        <w:rPr>
          <w:rFonts w:ascii="Arial" w:hAnsi="Arial" w:cs="Arial"/>
          <w:spacing w:val="-9"/>
          <w:sz w:val="22"/>
        </w:rPr>
        <w:t xml:space="preserve"> </w:t>
      </w:r>
      <w:r w:rsidRPr="006454B5">
        <w:rPr>
          <w:rFonts w:ascii="Arial" w:hAnsi="Arial" w:cs="Arial"/>
          <w:sz w:val="22"/>
        </w:rPr>
        <w:t>that</w:t>
      </w:r>
      <w:r w:rsidRPr="006454B5">
        <w:rPr>
          <w:rFonts w:ascii="Arial" w:hAnsi="Arial" w:cs="Arial"/>
          <w:spacing w:val="-8"/>
          <w:sz w:val="22"/>
        </w:rPr>
        <w:t xml:space="preserve"> </w:t>
      </w:r>
      <w:r w:rsidRPr="006454B5">
        <w:rPr>
          <w:rFonts w:ascii="Arial" w:hAnsi="Arial" w:cs="Arial"/>
          <w:sz w:val="22"/>
        </w:rPr>
        <w:t>victims</w:t>
      </w:r>
      <w:r w:rsidRPr="006454B5">
        <w:rPr>
          <w:rFonts w:ascii="Arial" w:hAnsi="Arial" w:cs="Arial"/>
          <w:spacing w:val="-11"/>
          <w:sz w:val="22"/>
        </w:rPr>
        <w:t xml:space="preserve"> </w:t>
      </w:r>
      <w:r w:rsidRPr="006454B5">
        <w:rPr>
          <w:rFonts w:ascii="Arial" w:hAnsi="Arial" w:cs="Arial"/>
          <w:spacing w:val="-1"/>
          <w:sz w:val="22"/>
        </w:rPr>
        <w:t>experience</w:t>
      </w:r>
      <w:r w:rsidR="00FF0B95" w:rsidRPr="006454B5">
        <w:rPr>
          <w:rFonts w:ascii="Arial" w:hAnsi="Arial" w:cs="Arial"/>
          <w:spacing w:val="-1"/>
          <w:sz w:val="22"/>
        </w:rPr>
        <w:t xml:space="preserve">, or the fact that the rape was only reported as a secondary outcome of the abuse itself, and the resultant lack of desire to pursue an investigation. </w:t>
      </w:r>
      <w:r w:rsidRPr="006454B5">
        <w:rPr>
          <w:rFonts w:ascii="Arial" w:hAnsi="Arial" w:cs="Arial"/>
          <w:sz w:val="22"/>
        </w:rPr>
        <w:t xml:space="preserve">It is less clear why there was a lower rate of victim withdrawal in cases involving family members; however, most rapes perpetrated by family members involved victims under 16 years of age. Again, issues around consent are much more clearly defined in these cases. </w:t>
      </w:r>
      <w:r w:rsidR="008171E4" w:rsidRPr="006454B5">
        <w:rPr>
          <w:rFonts w:ascii="Arial" w:hAnsi="Arial" w:cs="Arial"/>
          <w:sz w:val="22"/>
        </w:rPr>
        <w:t>Evidently, a critical awareness from officers on the potential impact victim-suspect relationship upon investigative challenges, decisions, and outcomes, is crucial.</w:t>
      </w:r>
      <w:r w:rsidR="009E549B" w:rsidRPr="006454B5">
        <w:rPr>
          <w:rFonts w:ascii="Arial" w:hAnsi="Arial" w:cs="Arial"/>
          <w:sz w:val="22"/>
        </w:rPr>
        <w:t xml:space="preserve"> </w:t>
      </w:r>
    </w:p>
    <w:p w14:paraId="2349AD59" w14:textId="77777777" w:rsidR="00863BEF" w:rsidRPr="006454B5" w:rsidRDefault="00863BEF" w:rsidP="000C7544">
      <w:pPr>
        <w:spacing w:before="120" w:after="120"/>
        <w:contextualSpacing/>
        <w:rPr>
          <w:rFonts w:ascii="Arial" w:hAnsi="Arial" w:cs="Arial"/>
          <w:b/>
          <w:bCs/>
          <w:sz w:val="22"/>
        </w:rPr>
      </w:pPr>
      <w:r w:rsidRPr="006454B5">
        <w:rPr>
          <w:rFonts w:ascii="Arial" w:hAnsi="Arial" w:cs="Arial"/>
          <w:b/>
          <w:bCs/>
          <w:sz w:val="22"/>
        </w:rPr>
        <w:t>Offence Characteristics</w:t>
      </w:r>
    </w:p>
    <w:p w14:paraId="114AD0C1" w14:textId="7CD54A45" w:rsidR="005B76EC" w:rsidRPr="006454B5" w:rsidRDefault="008171E4" w:rsidP="005B76EC">
      <w:pPr>
        <w:spacing w:before="120" w:after="120"/>
        <w:ind w:firstLine="720"/>
        <w:contextualSpacing/>
        <w:rPr>
          <w:rFonts w:ascii="Arial" w:hAnsi="Arial" w:cs="Arial"/>
          <w:sz w:val="22"/>
        </w:rPr>
      </w:pPr>
      <w:r w:rsidRPr="006454B5">
        <w:rPr>
          <w:rFonts w:ascii="Arial" w:hAnsi="Arial" w:cs="Arial"/>
          <w:sz w:val="22"/>
        </w:rPr>
        <w:t>When e</w:t>
      </w:r>
      <w:r w:rsidR="00863BEF" w:rsidRPr="006454B5">
        <w:rPr>
          <w:rFonts w:ascii="Arial" w:hAnsi="Arial" w:cs="Arial"/>
          <w:sz w:val="22"/>
        </w:rPr>
        <w:t>xamining the broad context of the offence itself, the majority of rape cases took place in a known, domestic location, contrary to many widely held beliefs about rape occurring in public places (</w:t>
      </w:r>
      <w:proofErr w:type="spellStart"/>
      <w:r w:rsidR="00863BEF" w:rsidRPr="006454B5">
        <w:rPr>
          <w:rFonts w:ascii="Arial" w:hAnsi="Arial" w:cs="Arial"/>
          <w:sz w:val="22"/>
        </w:rPr>
        <w:t>Estrich</w:t>
      </w:r>
      <w:proofErr w:type="spellEnd"/>
      <w:r w:rsidR="00863BEF" w:rsidRPr="006454B5">
        <w:rPr>
          <w:rFonts w:ascii="Arial" w:hAnsi="Arial" w:cs="Arial"/>
          <w:sz w:val="22"/>
        </w:rPr>
        <w:t xml:space="preserve">, 1987). The prevalence of victim alcohol consumption, victim drug use, use of a weapon, and the injuries sustained by the victim remain stable </w:t>
      </w:r>
      <w:r w:rsidR="00863BEF" w:rsidRPr="006454B5">
        <w:rPr>
          <w:rFonts w:ascii="Arial" w:hAnsi="Arial" w:cs="Arial"/>
          <w:sz w:val="22"/>
        </w:rPr>
        <w:lastRenderedPageBreak/>
        <w:t>compared to 2012 and a</w:t>
      </w:r>
      <w:r w:rsidR="009A4251" w:rsidRPr="006454B5">
        <w:rPr>
          <w:rFonts w:ascii="Arial" w:hAnsi="Arial" w:cs="Arial"/>
          <w:sz w:val="22"/>
        </w:rPr>
        <w:t>ppear</w:t>
      </w:r>
      <w:r w:rsidR="00863BEF" w:rsidRPr="006454B5">
        <w:rPr>
          <w:rFonts w:ascii="Arial" w:hAnsi="Arial" w:cs="Arial"/>
          <w:sz w:val="22"/>
        </w:rPr>
        <w:t xml:space="preserve"> similar to nationwide levels noted by the ONS (2018)</w:t>
      </w:r>
      <w:r w:rsidR="00FF0B95" w:rsidRPr="006454B5">
        <w:rPr>
          <w:rFonts w:ascii="Arial" w:hAnsi="Arial" w:cs="Arial"/>
          <w:sz w:val="22"/>
        </w:rPr>
        <w:t xml:space="preserve">, with </w:t>
      </w:r>
      <w:r w:rsidR="00863BEF" w:rsidRPr="006454B5">
        <w:rPr>
          <w:rFonts w:ascii="Arial" w:hAnsi="Arial" w:cs="Arial"/>
          <w:sz w:val="22"/>
        </w:rPr>
        <w:t xml:space="preserve">resistance during the incident </w:t>
      </w:r>
      <w:r w:rsidR="00FF0B95" w:rsidRPr="006454B5">
        <w:rPr>
          <w:rFonts w:ascii="Arial" w:hAnsi="Arial" w:cs="Arial"/>
          <w:sz w:val="22"/>
        </w:rPr>
        <w:t>being slightly</w:t>
      </w:r>
      <w:r w:rsidR="00863BEF" w:rsidRPr="006454B5">
        <w:rPr>
          <w:rFonts w:ascii="Arial" w:hAnsi="Arial" w:cs="Arial"/>
          <w:sz w:val="22"/>
        </w:rPr>
        <w:t xml:space="preserve"> elevated compared to </w:t>
      </w:r>
      <w:proofErr w:type="spellStart"/>
      <w:r w:rsidR="00863BEF" w:rsidRPr="006454B5">
        <w:rPr>
          <w:rFonts w:ascii="Arial" w:hAnsi="Arial" w:cs="Arial"/>
          <w:sz w:val="22"/>
        </w:rPr>
        <w:t>Hohl</w:t>
      </w:r>
      <w:proofErr w:type="spellEnd"/>
      <w:r w:rsidR="00863BEF" w:rsidRPr="006454B5">
        <w:rPr>
          <w:rFonts w:ascii="Arial" w:hAnsi="Arial" w:cs="Arial"/>
          <w:sz w:val="22"/>
        </w:rPr>
        <w:t xml:space="preserve"> </w:t>
      </w:r>
      <w:r w:rsidR="009A4251" w:rsidRPr="006454B5">
        <w:rPr>
          <w:rFonts w:ascii="Arial" w:hAnsi="Arial" w:cs="Arial"/>
          <w:sz w:val="22"/>
        </w:rPr>
        <w:t>and</w:t>
      </w:r>
      <w:r w:rsidR="00863BEF" w:rsidRPr="006454B5">
        <w:rPr>
          <w:rFonts w:ascii="Arial" w:hAnsi="Arial" w:cs="Arial"/>
          <w:sz w:val="22"/>
        </w:rPr>
        <w:t xml:space="preserve"> </w:t>
      </w:r>
      <w:proofErr w:type="spellStart"/>
      <w:r w:rsidR="00863BEF" w:rsidRPr="006454B5">
        <w:rPr>
          <w:rFonts w:ascii="Arial" w:hAnsi="Arial" w:cs="Arial"/>
          <w:sz w:val="22"/>
        </w:rPr>
        <w:t>Stan</w:t>
      </w:r>
      <w:r w:rsidR="00006245" w:rsidRPr="006454B5">
        <w:rPr>
          <w:rFonts w:ascii="Arial" w:hAnsi="Arial" w:cs="Arial"/>
          <w:sz w:val="22"/>
        </w:rPr>
        <w:t>k</w:t>
      </w:r>
      <w:r w:rsidR="009A4251" w:rsidRPr="006454B5">
        <w:rPr>
          <w:rFonts w:ascii="Arial" w:hAnsi="Arial" w:cs="Arial"/>
          <w:sz w:val="22"/>
        </w:rPr>
        <w:t>o</w:t>
      </w:r>
      <w:proofErr w:type="spellEnd"/>
      <w:r w:rsidR="009A4251" w:rsidRPr="006454B5">
        <w:rPr>
          <w:rFonts w:ascii="Arial" w:hAnsi="Arial" w:cs="Arial"/>
          <w:sz w:val="22"/>
        </w:rPr>
        <w:t xml:space="preserve"> (2015)</w:t>
      </w:r>
      <w:r w:rsidR="00863BEF" w:rsidRPr="006454B5">
        <w:rPr>
          <w:rFonts w:ascii="Arial" w:hAnsi="Arial" w:cs="Arial"/>
          <w:sz w:val="22"/>
        </w:rPr>
        <w:t xml:space="preserve">. </w:t>
      </w:r>
      <w:r w:rsidR="000C7544" w:rsidRPr="006454B5">
        <w:rPr>
          <w:rFonts w:ascii="Arial" w:hAnsi="Arial" w:cs="Arial"/>
          <w:sz w:val="22"/>
        </w:rPr>
        <w:t>When examining the impact of these factors, c</w:t>
      </w:r>
      <w:r w:rsidR="00863BEF" w:rsidRPr="006454B5">
        <w:rPr>
          <w:rFonts w:ascii="Arial" w:hAnsi="Arial" w:cs="Arial"/>
          <w:sz w:val="22"/>
        </w:rPr>
        <w:t>ases in which the victim sustained an injury during the assault were associated with a decrease in victim withdrawal compared to CPS referral, with no significant impact on NFA decisions. Such results sit in line with previous research (Du Mont et al., 2003)</w:t>
      </w:r>
      <w:r w:rsidR="000C7544" w:rsidRPr="006454B5">
        <w:rPr>
          <w:rFonts w:ascii="Arial" w:hAnsi="Arial" w:cs="Arial"/>
          <w:sz w:val="22"/>
        </w:rPr>
        <w:t xml:space="preserve">, </w:t>
      </w:r>
      <w:r w:rsidR="00863BEF" w:rsidRPr="006454B5">
        <w:rPr>
          <w:rFonts w:ascii="Arial" w:hAnsi="Arial" w:cs="Arial"/>
          <w:sz w:val="22"/>
        </w:rPr>
        <w:t>and appear to provide new evidence for the influence of this particular facet of the ‘real rape’ stereotype in case processing (</w:t>
      </w:r>
      <w:proofErr w:type="spellStart"/>
      <w:r w:rsidR="00863BEF" w:rsidRPr="006454B5">
        <w:rPr>
          <w:rFonts w:ascii="Arial" w:hAnsi="Arial" w:cs="Arial"/>
          <w:sz w:val="22"/>
        </w:rPr>
        <w:t>Estrich</w:t>
      </w:r>
      <w:proofErr w:type="spellEnd"/>
      <w:r w:rsidR="00863BEF" w:rsidRPr="006454B5">
        <w:rPr>
          <w:rFonts w:ascii="Arial" w:hAnsi="Arial" w:cs="Arial"/>
          <w:sz w:val="22"/>
        </w:rPr>
        <w:t xml:space="preserve">, 1987). </w:t>
      </w:r>
      <w:r w:rsidR="000C7544" w:rsidRPr="006454B5">
        <w:rPr>
          <w:rFonts w:ascii="Arial" w:hAnsi="Arial" w:cs="Arial"/>
          <w:sz w:val="22"/>
        </w:rPr>
        <w:t>Indeed, i</w:t>
      </w:r>
      <w:r w:rsidR="00863BEF" w:rsidRPr="006454B5">
        <w:rPr>
          <w:rFonts w:ascii="Arial" w:hAnsi="Arial" w:cs="Arial"/>
          <w:sz w:val="22"/>
        </w:rPr>
        <w:t xml:space="preserve">t would appear that myths which pair ideas of resistance with increased legitimacy are still influential, and that the presence of indicators of resistance (i.e., physical injury) may help to increase the probability of case referral, along with providing victims with reassurance about their claim. </w:t>
      </w:r>
      <w:r w:rsidR="005E66F0" w:rsidRPr="006454B5">
        <w:rPr>
          <w:rFonts w:ascii="Arial" w:hAnsi="Arial" w:cs="Arial"/>
          <w:sz w:val="22"/>
        </w:rPr>
        <w:t xml:space="preserve">These findings support </w:t>
      </w:r>
      <w:r w:rsidR="00863BEF" w:rsidRPr="006454B5">
        <w:rPr>
          <w:rFonts w:ascii="Arial" w:hAnsi="Arial" w:cs="Arial"/>
          <w:sz w:val="22"/>
        </w:rPr>
        <w:t xml:space="preserve">the idea that the overall </w:t>
      </w:r>
      <w:r w:rsidR="009A4251" w:rsidRPr="006454B5">
        <w:rPr>
          <w:rFonts w:ascii="Arial" w:hAnsi="Arial" w:cs="Arial"/>
          <w:sz w:val="22"/>
        </w:rPr>
        <w:t>offence characteristics</w:t>
      </w:r>
      <w:r w:rsidR="00863BEF" w:rsidRPr="006454B5">
        <w:rPr>
          <w:rFonts w:ascii="Arial" w:hAnsi="Arial" w:cs="Arial"/>
          <w:sz w:val="22"/>
        </w:rPr>
        <w:t xml:space="preserve"> ha</w:t>
      </w:r>
      <w:r w:rsidR="009A4251" w:rsidRPr="006454B5">
        <w:rPr>
          <w:rFonts w:ascii="Arial" w:hAnsi="Arial" w:cs="Arial"/>
          <w:sz w:val="22"/>
        </w:rPr>
        <w:t>ve</w:t>
      </w:r>
      <w:r w:rsidR="00863BEF" w:rsidRPr="006454B5">
        <w:rPr>
          <w:rFonts w:ascii="Arial" w:hAnsi="Arial" w:cs="Arial"/>
          <w:sz w:val="22"/>
        </w:rPr>
        <w:t xml:space="preserve"> not substantially changed</w:t>
      </w:r>
      <w:r w:rsidR="000A021C" w:rsidRPr="006454B5">
        <w:rPr>
          <w:rFonts w:ascii="Arial" w:hAnsi="Arial" w:cs="Arial"/>
          <w:sz w:val="22"/>
        </w:rPr>
        <w:t>, and that officers’ awareness of the potential impact of so-called ‘extra-legal’ case information may be essential for effective case management and progression.</w:t>
      </w:r>
      <w:r w:rsidR="00850551" w:rsidRPr="006454B5">
        <w:rPr>
          <w:rFonts w:ascii="Arial" w:hAnsi="Arial" w:cs="Arial"/>
          <w:sz w:val="22"/>
        </w:rPr>
        <w:t xml:space="preserve"> Interestingly, cases involving children involved less physical injury, less resistance, and less alcohol consumption,</w:t>
      </w:r>
      <w:r w:rsidR="005B76EC" w:rsidRPr="006454B5">
        <w:rPr>
          <w:rFonts w:ascii="Arial" w:hAnsi="Arial" w:cs="Arial"/>
          <w:sz w:val="22"/>
        </w:rPr>
        <w:t xml:space="preserve"> all of which are worthy of further investigation in a larger</w:t>
      </w:r>
      <w:r w:rsidR="00636355" w:rsidRPr="006454B5">
        <w:rPr>
          <w:rFonts w:ascii="Arial" w:hAnsi="Arial" w:cs="Arial"/>
          <w:sz w:val="22"/>
        </w:rPr>
        <w:t>, specified</w:t>
      </w:r>
      <w:r w:rsidR="005B76EC" w:rsidRPr="006454B5">
        <w:rPr>
          <w:rFonts w:ascii="Arial" w:hAnsi="Arial" w:cs="Arial"/>
          <w:sz w:val="22"/>
        </w:rPr>
        <w:t xml:space="preserve"> sample of child cases, in determination of their impact of case progression.</w:t>
      </w:r>
    </w:p>
    <w:p w14:paraId="7FC21743" w14:textId="77777777" w:rsidR="00863BEF" w:rsidRPr="006454B5" w:rsidRDefault="00863BEF" w:rsidP="000C7544">
      <w:pPr>
        <w:spacing w:before="120" w:after="120"/>
        <w:contextualSpacing/>
        <w:rPr>
          <w:rFonts w:ascii="Arial" w:hAnsi="Arial" w:cs="Arial"/>
          <w:b/>
          <w:bCs/>
          <w:sz w:val="22"/>
        </w:rPr>
      </w:pPr>
      <w:r w:rsidRPr="006454B5">
        <w:rPr>
          <w:rFonts w:ascii="Arial" w:hAnsi="Arial" w:cs="Arial"/>
          <w:b/>
          <w:bCs/>
          <w:sz w:val="22"/>
        </w:rPr>
        <w:t>Procedural Characteristics</w:t>
      </w:r>
    </w:p>
    <w:p w14:paraId="54035AC0" w14:textId="1812BDE3" w:rsidR="00863BEF" w:rsidRPr="006454B5" w:rsidRDefault="009A4251" w:rsidP="000C7544">
      <w:pPr>
        <w:spacing w:before="120" w:after="120"/>
        <w:ind w:firstLine="720"/>
        <w:contextualSpacing/>
        <w:rPr>
          <w:rFonts w:ascii="Arial" w:hAnsi="Arial" w:cs="Arial"/>
          <w:sz w:val="22"/>
        </w:rPr>
      </w:pPr>
      <w:r w:rsidRPr="006454B5">
        <w:rPr>
          <w:rFonts w:ascii="Arial" w:hAnsi="Arial" w:cs="Arial"/>
          <w:sz w:val="22"/>
        </w:rPr>
        <w:t>Many</w:t>
      </w:r>
      <w:r w:rsidR="00863BEF" w:rsidRPr="006454B5">
        <w:rPr>
          <w:rFonts w:ascii="Arial" w:hAnsi="Arial" w:cs="Arial"/>
          <w:sz w:val="22"/>
        </w:rPr>
        <w:t xml:space="preserve"> procedural characteristics also </w:t>
      </w:r>
      <w:r w:rsidRPr="006454B5">
        <w:rPr>
          <w:rFonts w:ascii="Arial" w:hAnsi="Arial" w:cs="Arial"/>
          <w:sz w:val="22"/>
        </w:rPr>
        <w:t xml:space="preserve">demonstrate </w:t>
      </w:r>
      <w:r w:rsidR="00863BEF" w:rsidRPr="006454B5">
        <w:rPr>
          <w:rFonts w:ascii="Arial" w:hAnsi="Arial" w:cs="Arial"/>
          <w:sz w:val="22"/>
        </w:rPr>
        <w:t xml:space="preserve">continuity with previous data. The percentage of victims reporting after one day, the number of victims providing a video recorded interview, and the percentage of victims who lack clarity on consent </w:t>
      </w:r>
      <w:r w:rsidR="000C7544" w:rsidRPr="006454B5">
        <w:rPr>
          <w:rFonts w:ascii="Arial" w:hAnsi="Arial" w:cs="Arial"/>
          <w:sz w:val="22"/>
        </w:rPr>
        <w:t xml:space="preserve">all </w:t>
      </w:r>
      <w:r w:rsidR="00863BEF" w:rsidRPr="006454B5">
        <w:rPr>
          <w:rFonts w:ascii="Arial" w:hAnsi="Arial" w:cs="Arial"/>
          <w:sz w:val="22"/>
        </w:rPr>
        <w:t xml:space="preserve">remain fairly consistent </w:t>
      </w:r>
      <w:r w:rsidR="00907378" w:rsidRPr="006454B5">
        <w:rPr>
          <w:rFonts w:ascii="Arial" w:hAnsi="Arial" w:cs="Arial"/>
          <w:sz w:val="22"/>
        </w:rPr>
        <w:t>(</w:t>
      </w:r>
      <w:proofErr w:type="spellStart"/>
      <w:r w:rsidR="00907378" w:rsidRPr="006454B5">
        <w:rPr>
          <w:rFonts w:ascii="Arial" w:hAnsi="Arial" w:cs="Arial"/>
          <w:sz w:val="22"/>
        </w:rPr>
        <w:t>Hohl</w:t>
      </w:r>
      <w:proofErr w:type="spellEnd"/>
      <w:r w:rsidR="00907378" w:rsidRPr="006454B5">
        <w:rPr>
          <w:rFonts w:ascii="Arial" w:hAnsi="Arial" w:cs="Arial"/>
          <w:sz w:val="22"/>
        </w:rPr>
        <w:t xml:space="preserve"> &amp; </w:t>
      </w:r>
      <w:proofErr w:type="spellStart"/>
      <w:r w:rsidR="00907378" w:rsidRPr="006454B5">
        <w:rPr>
          <w:rFonts w:ascii="Arial" w:hAnsi="Arial" w:cs="Arial"/>
          <w:sz w:val="22"/>
        </w:rPr>
        <w:t>Stanko</w:t>
      </w:r>
      <w:proofErr w:type="spellEnd"/>
      <w:r w:rsidR="00907378" w:rsidRPr="006454B5">
        <w:rPr>
          <w:rFonts w:ascii="Arial" w:hAnsi="Arial" w:cs="Arial"/>
          <w:sz w:val="22"/>
        </w:rPr>
        <w:t>, 2015)</w:t>
      </w:r>
      <w:r w:rsidR="00863BEF" w:rsidRPr="006454B5">
        <w:rPr>
          <w:rFonts w:ascii="Arial" w:hAnsi="Arial" w:cs="Arial"/>
          <w:sz w:val="22"/>
        </w:rPr>
        <w:t xml:space="preserve">. Participation in a video recorded interview was </w:t>
      </w:r>
      <w:r w:rsidR="000A021C" w:rsidRPr="006454B5">
        <w:rPr>
          <w:rFonts w:ascii="Arial" w:hAnsi="Arial" w:cs="Arial"/>
          <w:sz w:val="22"/>
        </w:rPr>
        <w:t xml:space="preserve">also </w:t>
      </w:r>
      <w:r w:rsidR="00863BEF" w:rsidRPr="006454B5">
        <w:rPr>
          <w:rFonts w:ascii="Arial" w:hAnsi="Arial" w:cs="Arial"/>
          <w:sz w:val="22"/>
        </w:rPr>
        <w:t xml:space="preserve">associated with decreases in victim withdrawal. These interviews are known to be lengthy and gruelling, and if a victim has provided this it would suggest that they are willing and engaged with the investigative process. Other procedural characteristics differ from previous research; for example, </w:t>
      </w:r>
      <w:r w:rsidR="00907378" w:rsidRPr="006454B5">
        <w:rPr>
          <w:rFonts w:ascii="Arial" w:hAnsi="Arial" w:cs="Arial"/>
          <w:sz w:val="22"/>
        </w:rPr>
        <w:t>there was a decrease in the amount of suspects identified and arrests made when compared to</w:t>
      </w:r>
      <w:r w:rsidR="00863BEF" w:rsidRPr="006454B5">
        <w:rPr>
          <w:rFonts w:ascii="Arial" w:hAnsi="Arial" w:cs="Arial"/>
          <w:sz w:val="22"/>
        </w:rPr>
        <w:t xml:space="preserve"> 2012 (</w:t>
      </w:r>
      <w:proofErr w:type="spellStart"/>
      <w:r w:rsidR="00863BEF" w:rsidRPr="006454B5">
        <w:rPr>
          <w:rFonts w:ascii="Arial" w:hAnsi="Arial" w:cs="Arial"/>
          <w:sz w:val="22"/>
        </w:rPr>
        <w:t>Hohl</w:t>
      </w:r>
      <w:proofErr w:type="spellEnd"/>
      <w:r w:rsidR="00863BEF" w:rsidRPr="006454B5">
        <w:rPr>
          <w:rFonts w:ascii="Arial" w:hAnsi="Arial" w:cs="Arial"/>
          <w:sz w:val="22"/>
        </w:rPr>
        <w:t xml:space="preserve"> &amp; </w:t>
      </w:r>
      <w:proofErr w:type="spellStart"/>
      <w:r w:rsidR="00863BEF" w:rsidRPr="006454B5">
        <w:rPr>
          <w:rFonts w:ascii="Arial" w:hAnsi="Arial" w:cs="Arial"/>
          <w:sz w:val="22"/>
        </w:rPr>
        <w:t>Stanko</w:t>
      </w:r>
      <w:proofErr w:type="spellEnd"/>
      <w:r w:rsidR="00863BEF" w:rsidRPr="006454B5">
        <w:rPr>
          <w:rFonts w:ascii="Arial" w:hAnsi="Arial" w:cs="Arial"/>
          <w:sz w:val="22"/>
        </w:rPr>
        <w:t>, 2015). There also appears to be a marked decrease of almost 10</w:t>
      </w:r>
      <w:r w:rsidR="005E66F0" w:rsidRPr="006454B5">
        <w:rPr>
          <w:rFonts w:ascii="Arial" w:hAnsi="Arial" w:cs="Arial"/>
          <w:sz w:val="22"/>
        </w:rPr>
        <w:t xml:space="preserve"> percentage points in</w:t>
      </w:r>
      <w:r w:rsidR="00863BEF" w:rsidRPr="006454B5">
        <w:rPr>
          <w:rFonts w:ascii="Arial" w:hAnsi="Arial" w:cs="Arial"/>
          <w:sz w:val="22"/>
        </w:rPr>
        <w:t xml:space="preserve"> cases who attended a Haven (SARC) (28% in 2012</w:t>
      </w:r>
      <w:r w:rsidRPr="006454B5" w:rsidDel="009A4251">
        <w:rPr>
          <w:rFonts w:ascii="Arial" w:hAnsi="Arial" w:cs="Arial"/>
          <w:sz w:val="22"/>
        </w:rPr>
        <w:t>)</w:t>
      </w:r>
      <w:r w:rsidRPr="006454B5">
        <w:rPr>
          <w:rFonts w:ascii="Arial" w:hAnsi="Arial" w:cs="Arial"/>
          <w:sz w:val="22"/>
        </w:rPr>
        <w:t xml:space="preserve">, </w:t>
      </w:r>
      <w:r w:rsidR="000A021C" w:rsidRPr="006454B5">
        <w:rPr>
          <w:rFonts w:ascii="Arial" w:hAnsi="Arial" w:cs="Arial"/>
          <w:sz w:val="22"/>
        </w:rPr>
        <w:t>and</w:t>
      </w:r>
      <w:r w:rsidRPr="006454B5">
        <w:rPr>
          <w:rFonts w:ascii="Arial" w:hAnsi="Arial" w:cs="Arial"/>
          <w:sz w:val="22"/>
        </w:rPr>
        <w:t xml:space="preserve"> this was isolated as a known protective factor against victim withdrawal </w:t>
      </w:r>
      <w:r w:rsidRPr="006454B5">
        <w:rPr>
          <w:rFonts w:ascii="Arial" w:hAnsi="Arial" w:cs="Arial"/>
          <w:sz w:val="22"/>
        </w:rPr>
        <w:lastRenderedPageBreak/>
        <w:t>and police NFA decisions (</w:t>
      </w:r>
      <w:proofErr w:type="spellStart"/>
      <w:r w:rsidRPr="006454B5">
        <w:rPr>
          <w:rFonts w:ascii="Arial" w:hAnsi="Arial" w:cs="Arial"/>
          <w:sz w:val="22"/>
        </w:rPr>
        <w:t>Hohl</w:t>
      </w:r>
      <w:proofErr w:type="spellEnd"/>
      <w:r w:rsidRPr="006454B5">
        <w:rPr>
          <w:rFonts w:ascii="Arial" w:hAnsi="Arial" w:cs="Arial"/>
          <w:sz w:val="22"/>
        </w:rPr>
        <w:t xml:space="preserve"> &amp; </w:t>
      </w:r>
      <w:proofErr w:type="spellStart"/>
      <w:r w:rsidRPr="006454B5">
        <w:rPr>
          <w:rFonts w:ascii="Arial" w:hAnsi="Arial" w:cs="Arial"/>
          <w:sz w:val="22"/>
        </w:rPr>
        <w:t>Stanko</w:t>
      </w:r>
      <w:proofErr w:type="spellEnd"/>
      <w:r w:rsidRPr="006454B5">
        <w:rPr>
          <w:rFonts w:ascii="Arial" w:hAnsi="Arial" w:cs="Arial"/>
          <w:sz w:val="22"/>
        </w:rPr>
        <w:t>, 2015). In addition, a</w:t>
      </w:r>
      <w:r w:rsidR="00863BEF" w:rsidRPr="006454B5">
        <w:rPr>
          <w:rFonts w:ascii="Arial" w:hAnsi="Arial" w:cs="Arial"/>
          <w:sz w:val="22"/>
        </w:rPr>
        <w:t xml:space="preserve"> sizeable increase of almost 15</w:t>
      </w:r>
      <w:r w:rsidR="005E66F0" w:rsidRPr="006454B5">
        <w:rPr>
          <w:rFonts w:ascii="Arial" w:hAnsi="Arial" w:cs="Arial"/>
          <w:sz w:val="22"/>
        </w:rPr>
        <w:t xml:space="preserve"> percentage points </w:t>
      </w:r>
      <w:r w:rsidR="00BD7C92" w:rsidRPr="006454B5">
        <w:rPr>
          <w:rFonts w:ascii="Arial" w:hAnsi="Arial" w:cs="Arial"/>
          <w:sz w:val="22"/>
        </w:rPr>
        <w:t>was found for</w:t>
      </w:r>
      <w:r w:rsidR="00863BEF" w:rsidRPr="006454B5">
        <w:rPr>
          <w:rFonts w:ascii="Arial" w:hAnsi="Arial" w:cs="Arial"/>
          <w:sz w:val="22"/>
        </w:rPr>
        <w:t xml:space="preserve"> cases where the victim account is recorded as being inconsistent in their testimony (11% in 2012)</w:t>
      </w:r>
      <w:r w:rsidRPr="006454B5">
        <w:rPr>
          <w:rFonts w:ascii="Arial" w:hAnsi="Arial" w:cs="Arial"/>
          <w:sz w:val="22"/>
        </w:rPr>
        <w:t>, which may indicate</w:t>
      </w:r>
      <w:r w:rsidR="00A915F7" w:rsidRPr="006454B5">
        <w:rPr>
          <w:rFonts w:ascii="Arial" w:hAnsi="Arial" w:cs="Arial"/>
          <w:sz w:val="22"/>
        </w:rPr>
        <w:t xml:space="preserve"> </w:t>
      </w:r>
      <w:r w:rsidRPr="006454B5">
        <w:rPr>
          <w:rFonts w:ascii="Arial" w:hAnsi="Arial" w:cs="Arial"/>
          <w:sz w:val="22"/>
        </w:rPr>
        <w:t>an increase in inconsistent testimony over time</w:t>
      </w:r>
      <w:r w:rsidR="000E7CFB" w:rsidRPr="006454B5">
        <w:rPr>
          <w:rFonts w:ascii="Arial" w:hAnsi="Arial" w:cs="Arial"/>
          <w:sz w:val="22"/>
        </w:rPr>
        <w:t>,</w:t>
      </w:r>
      <w:r w:rsidRPr="006454B5">
        <w:rPr>
          <w:rFonts w:ascii="Arial" w:hAnsi="Arial" w:cs="Arial"/>
          <w:sz w:val="22"/>
        </w:rPr>
        <w:t xml:space="preserve"> or may be indicative of a lower threshold of what constitutes inconsistency</w:t>
      </w:r>
      <w:r w:rsidR="000E7CFB" w:rsidRPr="006454B5">
        <w:rPr>
          <w:rFonts w:ascii="Arial" w:hAnsi="Arial" w:cs="Arial"/>
          <w:sz w:val="22"/>
        </w:rPr>
        <w:t xml:space="preserve"> developing over time</w:t>
      </w:r>
      <w:r w:rsidRPr="006454B5">
        <w:rPr>
          <w:rFonts w:ascii="Arial" w:hAnsi="Arial" w:cs="Arial"/>
          <w:sz w:val="22"/>
        </w:rPr>
        <w:t xml:space="preserve">. </w:t>
      </w:r>
      <w:r w:rsidR="005B76EC" w:rsidRPr="006454B5">
        <w:rPr>
          <w:rFonts w:ascii="Arial" w:hAnsi="Arial" w:cs="Arial"/>
          <w:sz w:val="22"/>
        </w:rPr>
        <w:t>In child cases, victim inconsistency was significantly lower than in adult cases, but so was attendance at a Haven and administration of an EEK, suggesting that the impact of intersecting procedural factors in child cases is worthy of further investigation.</w:t>
      </w:r>
    </w:p>
    <w:p w14:paraId="1FBD69DE" w14:textId="59BFA0AB" w:rsidR="00863BEF" w:rsidRPr="006454B5" w:rsidRDefault="00863BEF" w:rsidP="003539DD">
      <w:pPr>
        <w:spacing w:before="120" w:after="120"/>
        <w:ind w:firstLine="720"/>
        <w:contextualSpacing/>
        <w:rPr>
          <w:rFonts w:ascii="Arial" w:hAnsi="Arial" w:cs="Arial"/>
          <w:sz w:val="22"/>
        </w:rPr>
      </w:pPr>
      <w:r w:rsidRPr="006454B5">
        <w:rPr>
          <w:rFonts w:ascii="Arial" w:hAnsi="Arial" w:cs="Arial"/>
          <w:sz w:val="22"/>
        </w:rPr>
        <w:t>Importantly, police delay due to workload appears to have increased slightly, suggesting that these findings, and others,</w:t>
      </w:r>
      <w:r w:rsidR="003539DD" w:rsidRPr="006454B5">
        <w:rPr>
          <w:rFonts w:ascii="Arial" w:hAnsi="Arial" w:cs="Arial"/>
          <w:sz w:val="22"/>
        </w:rPr>
        <w:t xml:space="preserve"> may need to</w:t>
      </w:r>
      <w:r w:rsidRPr="006454B5">
        <w:rPr>
          <w:rFonts w:ascii="Arial" w:hAnsi="Arial" w:cs="Arial"/>
          <w:sz w:val="22"/>
        </w:rPr>
        <w:t xml:space="preserve"> be considered within the context of local and national police funding</w:t>
      </w:r>
      <w:r w:rsidR="003539DD" w:rsidRPr="006454B5">
        <w:rPr>
          <w:rFonts w:ascii="Arial" w:hAnsi="Arial" w:cs="Arial"/>
          <w:sz w:val="22"/>
        </w:rPr>
        <w:t xml:space="preserve"> and resourcing</w:t>
      </w:r>
      <w:r w:rsidRPr="006454B5">
        <w:rPr>
          <w:rFonts w:ascii="Arial" w:hAnsi="Arial" w:cs="Arial"/>
          <w:sz w:val="22"/>
        </w:rPr>
        <w:t xml:space="preserve"> models.</w:t>
      </w:r>
      <w:r w:rsidR="000A021C" w:rsidRPr="006454B5">
        <w:rPr>
          <w:rFonts w:ascii="Arial" w:hAnsi="Arial" w:cs="Arial"/>
          <w:sz w:val="22"/>
        </w:rPr>
        <w:t xml:space="preserve"> Indeed, </w:t>
      </w:r>
      <w:r w:rsidR="000C7544" w:rsidRPr="006454B5">
        <w:rPr>
          <w:rFonts w:ascii="Arial" w:hAnsi="Arial" w:cs="Arial"/>
          <w:sz w:val="22"/>
        </w:rPr>
        <w:t>this supports</w:t>
      </w:r>
      <w:r w:rsidR="000A021C" w:rsidRPr="006454B5">
        <w:rPr>
          <w:rFonts w:ascii="Arial" w:hAnsi="Arial" w:cs="Arial"/>
          <w:sz w:val="22"/>
        </w:rPr>
        <w:t xml:space="preserve"> observations about the crippling impact of austerity measures on the ability of officers to effectively investigate reports across all areas of crime, including rape (Millie, 2014).</w:t>
      </w:r>
      <w:r w:rsidRPr="006454B5">
        <w:rPr>
          <w:rFonts w:ascii="Arial" w:hAnsi="Arial" w:cs="Arial"/>
          <w:sz w:val="22"/>
        </w:rPr>
        <w:t xml:space="preserve"> </w:t>
      </w:r>
      <w:r w:rsidR="00CD1058" w:rsidRPr="006454B5">
        <w:rPr>
          <w:rFonts w:ascii="Arial" w:hAnsi="Arial" w:cs="Arial"/>
          <w:sz w:val="22"/>
        </w:rPr>
        <w:t>Somewhat counterintuitively, c</w:t>
      </w:r>
      <w:r w:rsidRPr="006454B5">
        <w:rPr>
          <w:rFonts w:ascii="Arial" w:hAnsi="Arial" w:cs="Arial"/>
          <w:sz w:val="22"/>
        </w:rPr>
        <w:t>ases where police reference delays were associated with decreases in victim withdrawal</w:t>
      </w:r>
      <w:r w:rsidR="00CD1058" w:rsidRPr="006454B5">
        <w:rPr>
          <w:rFonts w:ascii="Arial" w:hAnsi="Arial" w:cs="Arial"/>
          <w:sz w:val="22"/>
        </w:rPr>
        <w:t xml:space="preserve">, which </w:t>
      </w:r>
      <w:r w:rsidR="00907378" w:rsidRPr="006454B5">
        <w:rPr>
          <w:rFonts w:ascii="Arial" w:hAnsi="Arial" w:cs="Arial"/>
          <w:sz w:val="22"/>
        </w:rPr>
        <w:t>juxtaposes</w:t>
      </w:r>
      <w:r w:rsidR="00CD1058" w:rsidRPr="006454B5">
        <w:rPr>
          <w:rFonts w:ascii="Arial" w:hAnsi="Arial" w:cs="Arial"/>
          <w:sz w:val="22"/>
        </w:rPr>
        <w:t xml:space="preserve"> suggestion</w:t>
      </w:r>
      <w:r w:rsidR="00907378" w:rsidRPr="006454B5">
        <w:rPr>
          <w:rFonts w:ascii="Arial" w:hAnsi="Arial" w:cs="Arial"/>
          <w:sz w:val="22"/>
        </w:rPr>
        <w:t>s</w:t>
      </w:r>
      <w:r w:rsidR="00CD1058" w:rsidRPr="006454B5">
        <w:rPr>
          <w:rFonts w:ascii="Arial" w:hAnsi="Arial" w:cs="Arial"/>
          <w:sz w:val="22"/>
        </w:rPr>
        <w:t xml:space="preserve"> </w:t>
      </w:r>
      <w:r w:rsidRPr="006454B5">
        <w:rPr>
          <w:rFonts w:ascii="Arial" w:hAnsi="Arial" w:cs="Arial"/>
          <w:sz w:val="22"/>
        </w:rPr>
        <w:t xml:space="preserve">that delays in the investigative process </w:t>
      </w:r>
      <w:r w:rsidR="00CD1058" w:rsidRPr="006454B5">
        <w:rPr>
          <w:rFonts w:ascii="Arial" w:hAnsi="Arial" w:cs="Arial"/>
          <w:sz w:val="22"/>
        </w:rPr>
        <w:t>result in victim</w:t>
      </w:r>
      <w:r w:rsidRPr="006454B5">
        <w:rPr>
          <w:rFonts w:ascii="Arial" w:hAnsi="Arial" w:cs="Arial"/>
          <w:sz w:val="22"/>
        </w:rPr>
        <w:t xml:space="preserve"> disengage</w:t>
      </w:r>
      <w:r w:rsidR="00CD1058" w:rsidRPr="006454B5">
        <w:rPr>
          <w:rFonts w:ascii="Arial" w:hAnsi="Arial" w:cs="Arial"/>
          <w:sz w:val="22"/>
        </w:rPr>
        <w:t>ment</w:t>
      </w:r>
      <w:r w:rsidRPr="006454B5">
        <w:rPr>
          <w:rFonts w:ascii="Arial" w:hAnsi="Arial" w:cs="Arial"/>
          <w:sz w:val="22"/>
        </w:rPr>
        <w:t xml:space="preserve"> and thus withdraw</w:t>
      </w:r>
      <w:r w:rsidR="00CD1058" w:rsidRPr="006454B5">
        <w:rPr>
          <w:rFonts w:ascii="Arial" w:hAnsi="Arial" w:cs="Arial"/>
          <w:sz w:val="22"/>
        </w:rPr>
        <w:t>al</w:t>
      </w:r>
      <w:r w:rsidR="00907378" w:rsidRPr="006454B5">
        <w:rPr>
          <w:rFonts w:ascii="Arial" w:hAnsi="Arial" w:cs="Arial"/>
          <w:sz w:val="22"/>
        </w:rPr>
        <w:t>. H</w:t>
      </w:r>
      <w:r w:rsidRPr="006454B5">
        <w:rPr>
          <w:rFonts w:ascii="Arial" w:hAnsi="Arial" w:cs="Arial"/>
          <w:sz w:val="22"/>
        </w:rPr>
        <w:t>owever, it could also be the case that victims in these cases stay engaged because they are waiting to hear more about their case</w:t>
      </w:r>
      <w:r w:rsidR="00CA64F7" w:rsidRPr="006454B5">
        <w:rPr>
          <w:rFonts w:ascii="Arial" w:hAnsi="Arial" w:cs="Arial"/>
          <w:sz w:val="22"/>
        </w:rPr>
        <w:t xml:space="preserve"> or that delays are due to police having a lot of evidence, suggesting a strong case</w:t>
      </w:r>
      <w:r w:rsidR="00CD1058" w:rsidRPr="006454B5">
        <w:rPr>
          <w:rFonts w:ascii="Arial" w:hAnsi="Arial" w:cs="Arial"/>
          <w:sz w:val="22"/>
        </w:rPr>
        <w:t>. More nuanced data about follow-up phone calls would help to shed further light on the mechanisms at play here</w:t>
      </w:r>
      <w:r w:rsidRPr="006454B5">
        <w:rPr>
          <w:rFonts w:ascii="Arial" w:hAnsi="Arial" w:cs="Arial"/>
          <w:sz w:val="22"/>
        </w:rPr>
        <w:t xml:space="preserve">. </w:t>
      </w:r>
      <w:r w:rsidR="00CD1058" w:rsidRPr="006454B5">
        <w:rPr>
          <w:rFonts w:ascii="Arial" w:hAnsi="Arial" w:cs="Arial"/>
          <w:sz w:val="22"/>
        </w:rPr>
        <w:t xml:space="preserve">Additionally, </w:t>
      </w:r>
      <w:r w:rsidRPr="006454B5">
        <w:rPr>
          <w:rFonts w:ascii="Arial" w:hAnsi="Arial" w:cs="Arial"/>
          <w:sz w:val="22"/>
        </w:rPr>
        <w:t>officer attitudes are particularly intriguing</w:t>
      </w:r>
      <w:r w:rsidR="00CD1058" w:rsidRPr="006454B5">
        <w:rPr>
          <w:rFonts w:ascii="Arial" w:hAnsi="Arial" w:cs="Arial"/>
          <w:sz w:val="22"/>
        </w:rPr>
        <w:t xml:space="preserve">. While </w:t>
      </w:r>
      <w:r w:rsidRPr="006454B5">
        <w:rPr>
          <w:rFonts w:ascii="Arial" w:hAnsi="Arial" w:cs="Arial"/>
          <w:sz w:val="22"/>
        </w:rPr>
        <w:t>direct comparisons are not available due to differences in coding, it appears that officers are less likely to have noted doubts about the case and victim credibility than found in previous research</w:t>
      </w:r>
      <w:r w:rsidR="00CD1058" w:rsidRPr="006454B5">
        <w:rPr>
          <w:rFonts w:ascii="Arial" w:hAnsi="Arial" w:cs="Arial"/>
          <w:sz w:val="22"/>
        </w:rPr>
        <w:t>, even though speculation about the perceived consistency</w:t>
      </w:r>
      <w:r w:rsidR="00C47258" w:rsidRPr="006454B5">
        <w:rPr>
          <w:rFonts w:ascii="Arial" w:hAnsi="Arial" w:cs="Arial"/>
          <w:sz w:val="22"/>
        </w:rPr>
        <w:t xml:space="preserve"> of testimony appears to </w:t>
      </w:r>
      <w:r w:rsidR="00CD1058" w:rsidRPr="006454B5">
        <w:rPr>
          <w:rFonts w:ascii="Arial" w:hAnsi="Arial" w:cs="Arial"/>
          <w:sz w:val="22"/>
        </w:rPr>
        <w:t>have increased</w:t>
      </w:r>
      <w:r w:rsidRPr="006454B5">
        <w:rPr>
          <w:rFonts w:ascii="Arial" w:hAnsi="Arial" w:cs="Arial"/>
          <w:sz w:val="22"/>
        </w:rPr>
        <w:t xml:space="preserve">. This is a particularly pertinent finding considering the wealth of literature highlighting the negative impact of officer attitudes on case investigation and progression (see Hine &amp; Murphy, 2017; </w:t>
      </w:r>
      <w:proofErr w:type="spellStart"/>
      <w:r w:rsidRPr="006454B5">
        <w:rPr>
          <w:rFonts w:ascii="Arial" w:hAnsi="Arial" w:cs="Arial"/>
          <w:sz w:val="22"/>
        </w:rPr>
        <w:t>Sleath</w:t>
      </w:r>
      <w:proofErr w:type="spellEnd"/>
      <w:r w:rsidRPr="006454B5">
        <w:rPr>
          <w:rFonts w:ascii="Arial" w:hAnsi="Arial" w:cs="Arial"/>
          <w:sz w:val="22"/>
        </w:rPr>
        <w:t xml:space="preserve"> &amp; Bull, 2017) and is perhaps an indication </w:t>
      </w:r>
      <w:r w:rsidR="000A021C" w:rsidRPr="006454B5">
        <w:rPr>
          <w:rFonts w:ascii="Arial" w:hAnsi="Arial" w:cs="Arial"/>
          <w:sz w:val="22"/>
        </w:rPr>
        <w:t xml:space="preserve">that </w:t>
      </w:r>
      <w:r w:rsidR="00C47258" w:rsidRPr="006454B5">
        <w:rPr>
          <w:rFonts w:ascii="Arial" w:hAnsi="Arial" w:cs="Arial"/>
          <w:sz w:val="22"/>
        </w:rPr>
        <w:t>consistency of testimony is conceptualised separately from victim credibility</w:t>
      </w:r>
      <w:r w:rsidR="000A021C" w:rsidRPr="006454B5">
        <w:rPr>
          <w:rFonts w:ascii="Arial" w:hAnsi="Arial" w:cs="Arial"/>
          <w:sz w:val="22"/>
        </w:rPr>
        <w:t>,</w:t>
      </w:r>
      <w:r w:rsidR="00C47258" w:rsidRPr="006454B5">
        <w:rPr>
          <w:rFonts w:ascii="Arial" w:hAnsi="Arial" w:cs="Arial"/>
          <w:sz w:val="22"/>
        </w:rPr>
        <w:t xml:space="preserve"> and that </w:t>
      </w:r>
      <w:r w:rsidR="00C47258" w:rsidRPr="006454B5">
        <w:rPr>
          <w:rFonts w:ascii="Arial" w:hAnsi="Arial" w:cs="Arial"/>
          <w:sz w:val="22"/>
        </w:rPr>
        <w:lastRenderedPageBreak/>
        <w:t xml:space="preserve">training and interventions relating to subjective beliefs and discretion may </w:t>
      </w:r>
      <w:r w:rsidR="000A021C" w:rsidRPr="006454B5">
        <w:rPr>
          <w:rFonts w:ascii="Arial" w:hAnsi="Arial" w:cs="Arial"/>
          <w:sz w:val="22"/>
        </w:rPr>
        <w:t>have had some positive impact on case investigation</w:t>
      </w:r>
      <w:r w:rsidR="00C47258" w:rsidRPr="006454B5">
        <w:rPr>
          <w:rFonts w:ascii="Arial" w:hAnsi="Arial" w:cs="Arial"/>
          <w:sz w:val="22"/>
        </w:rPr>
        <w:t>.</w:t>
      </w:r>
    </w:p>
    <w:p w14:paraId="5AFF2AD0" w14:textId="43CE0BA6" w:rsidR="00BD7C92" w:rsidRPr="006454B5" w:rsidRDefault="00863BEF" w:rsidP="00AC3B55">
      <w:pPr>
        <w:spacing w:before="120" w:after="120"/>
        <w:ind w:firstLine="720"/>
        <w:contextualSpacing/>
        <w:rPr>
          <w:rFonts w:ascii="Arial" w:hAnsi="Arial" w:cs="Arial"/>
          <w:sz w:val="22"/>
        </w:rPr>
      </w:pPr>
      <w:r w:rsidRPr="006454B5">
        <w:rPr>
          <w:rFonts w:ascii="Arial" w:hAnsi="Arial" w:cs="Arial"/>
          <w:sz w:val="22"/>
        </w:rPr>
        <w:t>The capacity to request and indeed compel a victim to provide their technology is a relatively recent development in policing in the UK, so explanations for</w:t>
      </w:r>
      <w:r w:rsidR="00C47258" w:rsidRPr="006454B5">
        <w:rPr>
          <w:rFonts w:ascii="Arial" w:hAnsi="Arial" w:cs="Arial"/>
          <w:sz w:val="22"/>
        </w:rPr>
        <w:t xml:space="preserve"> the notable impact it had on victim withdrawal</w:t>
      </w:r>
      <w:r w:rsidRPr="006454B5">
        <w:rPr>
          <w:rFonts w:ascii="Arial" w:hAnsi="Arial" w:cs="Arial"/>
          <w:sz w:val="22"/>
        </w:rPr>
        <w:t xml:space="preserve"> are unclear. However, it may be the case that those victims who are willing to provide their technology are those who would remain engaged anyway. Conversely, it may also be the case that asking a victim for their technology may lead to withdrawal, due to the inconvenience and/or the implications, particularly in cases where a victim’s technology may contain sensitive material of their own. Unfortunat</w:t>
      </w:r>
      <w:r w:rsidR="00606443" w:rsidRPr="006454B5">
        <w:rPr>
          <w:rFonts w:ascii="Arial" w:hAnsi="Arial" w:cs="Arial"/>
          <w:sz w:val="22"/>
        </w:rPr>
        <w:t>ely, the coding of these data are</w:t>
      </w:r>
      <w:r w:rsidRPr="006454B5">
        <w:rPr>
          <w:rFonts w:ascii="Arial" w:hAnsi="Arial" w:cs="Arial"/>
          <w:sz w:val="22"/>
        </w:rPr>
        <w:t xml:space="preserve"> not sensitive enough to explicate this issue, as this coding only captures those victims who complied with the request for technology, potentially creating a selection effect. Coding cases where technology is requested in addition to compliance/non-compliance with this request may help to disambiguate this finding and provide valuable insight into the role of technology requests on victim experience</w:t>
      </w:r>
      <w:r w:rsidR="00C47258" w:rsidRPr="006454B5">
        <w:rPr>
          <w:rFonts w:ascii="Arial" w:hAnsi="Arial" w:cs="Arial"/>
          <w:sz w:val="22"/>
        </w:rPr>
        <w:t xml:space="preserve"> and case progression</w:t>
      </w:r>
      <w:r w:rsidRPr="006454B5">
        <w:rPr>
          <w:rFonts w:ascii="Arial" w:hAnsi="Arial" w:cs="Arial"/>
          <w:sz w:val="22"/>
        </w:rPr>
        <w:t>. Requests for third-party material may function in a similar way, in that police are likely to go to the trouble of requesting further, third-party material to strengthen the investigation</w:t>
      </w:r>
      <w:r w:rsidR="003539DD" w:rsidRPr="006454B5">
        <w:rPr>
          <w:rFonts w:ascii="Arial" w:hAnsi="Arial" w:cs="Arial"/>
          <w:sz w:val="22"/>
        </w:rPr>
        <w:t xml:space="preserve"> of cases they identify as strong enough</w:t>
      </w:r>
      <w:r w:rsidRPr="006454B5">
        <w:rPr>
          <w:rFonts w:ascii="Arial" w:hAnsi="Arial" w:cs="Arial"/>
          <w:sz w:val="22"/>
        </w:rPr>
        <w:t xml:space="preserve">, which may serve to reassure victims of progress in their case. More detailed research is needed in these areas, as the presence of technology grows within society, and becomes increasingly important in the context of rape cases (e.g., providing evidence on victim-suspect location). </w:t>
      </w:r>
      <w:r w:rsidR="000A021C" w:rsidRPr="006454B5">
        <w:rPr>
          <w:rFonts w:ascii="Arial" w:hAnsi="Arial" w:cs="Arial"/>
          <w:sz w:val="22"/>
        </w:rPr>
        <w:t>Preliminary research supports these observations and has highlighted the increasing role of technological information in both investigation and prosecution of cases (</w:t>
      </w:r>
      <w:proofErr w:type="spellStart"/>
      <w:r w:rsidR="000A021C" w:rsidRPr="006454B5">
        <w:rPr>
          <w:rFonts w:ascii="Arial" w:hAnsi="Arial" w:cs="Arial"/>
          <w:sz w:val="22"/>
        </w:rPr>
        <w:t>Rumney</w:t>
      </w:r>
      <w:proofErr w:type="spellEnd"/>
      <w:r w:rsidR="000A021C" w:rsidRPr="006454B5">
        <w:rPr>
          <w:rFonts w:ascii="Arial" w:hAnsi="Arial" w:cs="Arial"/>
          <w:sz w:val="22"/>
        </w:rPr>
        <w:t xml:space="preserve"> &amp; McPhee, 2020). Importantly, t</w:t>
      </w:r>
      <w:r w:rsidRPr="006454B5">
        <w:rPr>
          <w:rFonts w:ascii="Arial" w:hAnsi="Arial" w:cs="Arial"/>
          <w:sz w:val="22"/>
        </w:rPr>
        <w:t xml:space="preserve">echnological demands must be appreciated both in respect to the effect this has on victims, in having to surrender technology and sensitive information, but also on investigating officers and their capacity to process and explore the data provided. Evidential factors were the most important predictors of police decisions to take no further action on a case. For example, consistent with </w:t>
      </w:r>
      <w:proofErr w:type="spellStart"/>
      <w:r w:rsidRPr="006454B5">
        <w:rPr>
          <w:rFonts w:ascii="Arial" w:hAnsi="Arial" w:cs="Arial"/>
          <w:sz w:val="22"/>
        </w:rPr>
        <w:t>Hohl</w:t>
      </w:r>
      <w:proofErr w:type="spellEnd"/>
      <w:r w:rsidRPr="006454B5">
        <w:rPr>
          <w:rFonts w:ascii="Arial" w:hAnsi="Arial" w:cs="Arial"/>
          <w:sz w:val="22"/>
        </w:rPr>
        <w:t xml:space="preserve"> and </w:t>
      </w:r>
      <w:proofErr w:type="spellStart"/>
      <w:r w:rsidRPr="006454B5">
        <w:rPr>
          <w:rFonts w:ascii="Arial" w:hAnsi="Arial" w:cs="Arial"/>
          <w:sz w:val="22"/>
        </w:rPr>
        <w:t>Stanko</w:t>
      </w:r>
      <w:proofErr w:type="spellEnd"/>
      <w:r w:rsidRPr="006454B5">
        <w:rPr>
          <w:rFonts w:ascii="Arial" w:hAnsi="Arial" w:cs="Arial"/>
          <w:sz w:val="22"/>
        </w:rPr>
        <w:t xml:space="preserve"> (2015), police noting inconsistencies in a victim account was a significant predictor of police NFA, although more could be done to understand what </w:t>
      </w:r>
      <w:r w:rsidRPr="006454B5">
        <w:rPr>
          <w:rFonts w:ascii="Arial" w:hAnsi="Arial" w:cs="Arial"/>
          <w:sz w:val="22"/>
        </w:rPr>
        <w:lastRenderedPageBreak/>
        <w:t xml:space="preserve">constitutes inconsistency in victim testimony and if there is a threshold of consistency, below which doubt is cast. </w:t>
      </w:r>
      <w:r w:rsidR="000C7544" w:rsidRPr="006454B5">
        <w:rPr>
          <w:rFonts w:ascii="Arial" w:hAnsi="Arial" w:cs="Arial"/>
          <w:sz w:val="22"/>
        </w:rPr>
        <w:t>S</w:t>
      </w:r>
      <w:r w:rsidR="00E47C07" w:rsidRPr="006454B5">
        <w:rPr>
          <w:rFonts w:ascii="Arial" w:hAnsi="Arial" w:cs="Arial"/>
          <w:sz w:val="22"/>
        </w:rPr>
        <w:t xml:space="preserve">ome studies have suggested that specialist training for interviewers on the </w:t>
      </w:r>
      <w:r w:rsidR="00C4003B" w:rsidRPr="006454B5">
        <w:rPr>
          <w:rFonts w:ascii="Arial" w:hAnsi="Arial" w:cs="Arial"/>
          <w:sz w:val="22"/>
        </w:rPr>
        <w:t>strategic use of evidence during interview greatly improves determination of testimonial accuracy (</w:t>
      </w:r>
      <w:proofErr w:type="spellStart"/>
      <w:r w:rsidR="00C4003B" w:rsidRPr="006454B5">
        <w:rPr>
          <w:rFonts w:ascii="Arial" w:hAnsi="Arial" w:cs="Arial"/>
          <w:sz w:val="22"/>
        </w:rPr>
        <w:t>Hartwig</w:t>
      </w:r>
      <w:proofErr w:type="spellEnd"/>
      <w:r w:rsidR="00AC3B55" w:rsidRPr="006454B5">
        <w:rPr>
          <w:rFonts w:ascii="Arial" w:hAnsi="Arial" w:cs="Arial"/>
          <w:sz w:val="22"/>
        </w:rPr>
        <w:t xml:space="preserve"> et al.</w:t>
      </w:r>
      <w:r w:rsidR="00C4003B" w:rsidRPr="006454B5">
        <w:rPr>
          <w:rFonts w:ascii="Arial" w:hAnsi="Arial" w:cs="Arial"/>
          <w:sz w:val="22"/>
        </w:rPr>
        <w:t>, 2006)</w:t>
      </w:r>
      <w:r w:rsidR="000C7544" w:rsidRPr="006454B5">
        <w:rPr>
          <w:rFonts w:ascii="Arial" w:hAnsi="Arial" w:cs="Arial"/>
          <w:sz w:val="22"/>
        </w:rPr>
        <w:t>, which could help in this area</w:t>
      </w:r>
      <w:r w:rsidR="00C4003B" w:rsidRPr="006454B5">
        <w:rPr>
          <w:rFonts w:ascii="Arial" w:hAnsi="Arial" w:cs="Arial"/>
          <w:sz w:val="22"/>
        </w:rPr>
        <w:t>.</w:t>
      </w:r>
      <w:r w:rsidR="00C4003B" w:rsidRPr="006454B5">
        <w:rPr>
          <w:noProof/>
        </w:rPr>
        <w:t xml:space="preserve"> </w:t>
      </w:r>
      <w:r w:rsidRPr="006454B5">
        <w:rPr>
          <w:rFonts w:ascii="Arial" w:hAnsi="Arial" w:cs="Arial"/>
          <w:sz w:val="22"/>
        </w:rPr>
        <w:t>Similarly, in cases that involve complicated or conflicting narratives, such as when the suspect claims consent was present, there is an increased chance of NFA, compared to referral. This may be because such cases are likel</w:t>
      </w:r>
      <w:r w:rsidR="003539DD" w:rsidRPr="006454B5">
        <w:rPr>
          <w:rFonts w:ascii="Arial" w:hAnsi="Arial" w:cs="Arial"/>
          <w:sz w:val="22"/>
        </w:rPr>
        <w:t>y to become ‘word-against-word’</w:t>
      </w:r>
      <w:r w:rsidRPr="006454B5">
        <w:rPr>
          <w:rFonts w:ascii="Arial" w:hAnsi="Arial" w:cs="Arial"/>
          <w:sz w:val="22"/>
        </w:rPr>
        <w:t xml:space="preserve"> and therefore present complications seen as insurmountable for prosecutors relating to reasonable doubt. Perhaps unsurprisingly, the absence of forensic opportunities has a concomitant effect on the likelihood of a police NFA decision. The significant role of forensic evidence (including DNA) is highlighted extensively in previously literature (Hester &amp; Lilley, 2017) and the absence of this evidence likely decreases the chances of referral to CPS, with police not wanting to ‘risk’ sending a case to prosecutors for it not to be taken up. </w:t>
      </w:r>
      <w:r w:rsidR="00BD7C92" w:rsidRPr="006454B5">
        <w:rPr>
          <w:rFonts w:ascii="Arial" w:hAnsi="Arial" w:cs="Arial"/>
          <w:sz w:val="22"/>
        </w:rPr>
        <w:t>Indeed, in this study, only 21% of victims were administered an EEK, thus missing one of the most critical opportunities for physical evidence gathering. Perhaps recognised</w:t>
      </w:r>
      <w:r w:rsidR="000C7544" w:rsidRPr="006454B5">
        <w:rPr>
          <w:rFonts w:ascii="Arial" w:hAnsi="Arial" w:cs="Arial"/>
          <w:sz w:val="22"/>
        </w:rPr>
        <w:t>,</w:t>
      </w:r>
      <w:r w:rsidR="00E47C07" w:rsidRPr="006454B5">
        <w:rPr>
          <w:rFonts w:ascii="Arial" w:hAnsi="Arial" w:cs="Arial"/>
          <w:sz w:val="22"/>
        </w:rPr>
        <w:t xml:space="preserve"> successful</w:t>
      </w:r>
      <w:r w:rsidR="00BD7C92" w:rsidRPr="006454B5">
        <w:rPr>
          <w:rFonts w:ascii="Arial" w:hAnsi="Arial" w:cs="Arial"/>
          <w:sz w:val="22"/>
        </w:rPr>
        <w:t xml:space="preserve"> </w:t>
      </w:r>
      <w:r w:rsidR="00E47C07" w:rsidRPr="006454B5">
        <w:rPr>
          <w:rFonts w:ascii="Arial" w:hAnsi="Arial" w:cs="Arial"/>
          <w:sz w:val="22"/>
        </w:rPr>
        <w:t>interventions from the United States, such as the Sexual Assault Nurse Examiner (SANE) program, where specially trained forensic nurses are available to provide 24-hour first-response medical care and crisis intervention, could be beneficial in increasing opportunities to gather physical evidence (Campbell</w:t>
      </w:r>
      <w:r w:rsidR="00AC3B55" w:rsidRPr="006454B5">
        <w:rPr>
          <w:rFonts w:ascii="Arial" w:hAnsi="Arial" w:cs="Arial"/>
          <w:sz w:val="22"/>
        </w:rPr>
        <w:t xml:space="preserve"> et al.</w:t>
      </w:r>
      <w:r w:rsidR="00E47C07" w:rsidRPr="006454B5">
        <w:rPr>
          <w:rFonts w:ascii="Arial" w:hAnsi="Arial" w:cs="Arial"/>
          <w:sz w:val="22"/>
        </w:rPr>
        <w:t>, 2005).</w:t>
      </w:r>
    </w:p>
    <w:p w14:paraId="728B5F10" w14:textId="7F8688AD" w:rsidR="00EB503D" w:rsidRPr="006454B5" w:rsidRDefault="00863BEF" w:rsidP="00AC3B55">
      <w:pPr>
        <w:spacing w:before="120" w:after="120"/>
        <w:ind w:firstLine="720"/>
        <w:contextualSpacing/>
        <w:rPr>
          <w:rFonts w:ascii="Arial" w:hAnsi="Arial" w:cs="Arial"/>
          <w:sz w:val="22"/>
        </w:rPr>
      </w:pPr>
      <w:r w:rsidRPr="006454B5">
        <w:rPr>
          <w:rFonts w:ascii="Arial" w:hAnsi="Arial" w:cs="Arial"/>
          <w:sz w:val="22"/>
        </w:rPr>
        <w:t>Instances where police perceive there to be a low chance of conviction also appear to increase the likelihood of NFA decisions</w:t>
      </w:r>
      <w:r w:rsidR="000C7544" w:rsidRPr="006454B5">
        <w:rPr>
          <w:rFonts w:ascii="Arial" w:hAnsi="Arial" w:cs="Arial"/>
          <w:sz w:val="22"/>
        </w:rPr>
        <w:t xml:space="preserve">. However, </w:t>
      </w:r>
      <w:r w:rsidRPr="006454B5">
        <w:rPr>
          <w:rFonts w:ascii="Arial" w:hAnsi="Arial" w:cs="Arial"/>
          <w:sz w:val="22"/>
        </w:rPr>
        <w:t>encouragingly</w:t>
      </w:r>
      <w:r w:rsidR="000C7544" w:rsidRPr="006454B5">
        <w:rPr>
          <w:rFonts w:ascii="Arial" w:hAnsi="Arial" w:cs="Arial"/>
          <w:sz w:val="22"/>
        </w:rPr>
        <w:t>, this</w:t>
      </w:r>
      <w:r w:rsidRPr="006454B5">
        <w:rPr>
          <w:rFonts w:ascii="Arial" w:hAnsi="Arial" w:cs="Arial"/>
          <w:sz w:val="22"/>
        </w:rPr>
        <w:t xml:space="preserve"> was not a significant predictor of victim withdrawal, suggesting that this perception is not guiding, directly or indirectly, victim </w:t>
      </w:r>
      <w:r w:rsidR="000C7544" w:rsidRPr="006454B5">
        <w:rPr>
          <w:rFonts w:ascii="Arial" w:hAnsi="Arial" w:cs="Arial"/>
          <w:sz w:val="22"/>
        </w:rPr>
        <w:t>decisions to withdraw</w:t>
      </w:r>
      <w:r w:rsidRPr="006454B5">
        <w:rPr>
          <w:rFonts w:ascii="Arial" w:hAnsi="Arial" w:cs="Arial"/>
          <w:sz w:val="22"/>
        </w:rPr>
        <w:t>. Finally, cases in which a witness was present predicted decreases in NFA decisions (at the p&lt;.10 level), which is unsurprising, because the presence of independent verification of the incident is known to increase the likelihood of a case reaching trial (Feist</w:t>
      </w:r>
      <w:r w:rsidR="00AC3B55" w:rsidRPr="006454B5">
        <w:rPr>
          <w:rFonts w:ascii="Arial" w:hAnsi="Arial" w:cs="Arial"/>
          <w:sz w:val="22"/>
        </w:rPr>
        <w:t xml:space="preserve"> et al.</w:t>
      </w:r>
      <w:r w:rsidR="006A35F9" w:rsidRPr="006454B5">
        <w:rPr>
          <w:rFonts w:ascii="Arial" w:hAnsi="Arial" w:cs="Arial"/>
          <w:sz w:val="22"/>
        </w:rPr>
        <w:t xml:space="preserve">, </w:t>
      </w:r>
      <w:r w:rsidRPr="006454B5">
        <w:rPr>
          <w:rFonts w:ascii="Arial" w:hAnsi="Arial" w:cs="Arial"/>
          <w:sz w:val="22"/>
        </w:rPr>
        <w:t xml:space="preserve">2007). </w:t>
      </w:r>
      <w:r w:rsidR="00EB503D" w:rsidRPr="006454B5">
        <w:rPr>
          <w:rFonts w:ascii="Arial" w:hAnsi="Arial" w:cs="Arial"/>
          <w:sz w:val="22"/>
        </w:rPr>
        <w:t xml:space="preserve">Importantly, when all case characteristics were included in a combined model, a number were rendered non-significant (e.g. victim mental health, victim-suspect relationship), and the evidential factors (e.g., victim </w:t>
      </w:r>
      <w:r w:rsidR="00EB503D" w:rsidRPr="006454B5">
        <w:rPr>
          <w:rFonts w:ascii="Arial" w:hAnsi="Arial" w:cs="Arial"/>
          <w:sz w:val="22"/>
        </w:rPr>
        <w:lastRenderedPageBreak/>
        <w:t xml:space="preserve">technology provided, lack of forensic opportunity, victim inconsistent account) emerged as most uniquely predictive of case outcomes. </w:t>
      </w:r>
    </w:p>
    <w:p w14:paraId="61EEF2F4" w14:textId="41E843DD" w:rsidR="00C60E90" w:rsidRPr="006454B5" w:rsidRDefault="00C60E90" w:rsidP="000C7544">
      <w:pPr>
        <w:spacing w:before="120" w:after="120"/>
        <w:contextualSpacing/>
        <w:rPr>
          <w:rFonts w:ascii="Arial" w:hAnsi="Arial" w:cs="Arial"/>
          <w:b/>
          <w:bCs/>
          <w:sz w:val="22"/>
        </w:rPr>
      </w:pPr>
      <w:r w:rsidRPr="006454B5">
        <w:rPr>
          <w:rFonts w:ascii="Arial" w:hAnsi="Arial" w:cs="Arial"/>
          <w:b/>
          <w:bCs/>
          <w:sz w:val="22"/>
        </w:rPr>
        <w:t xml:space="preserve">Case outcomes </w:t>
      </w:r>
    </w:p>
    <w:p w14:paraId="139D4B6C" w14:textId="7409EA0D" w:rsidR="008B0740" w:rsidRPr="006454B5" w:rsidRDefault="003D276F" w:rsidP="000C7544">
      <w:pPr>
        <w:spacing w:before="120" w:after="120"/>
        <w:ind w:firstLine="720"/>
        <w:contextualSpacing/>
        <w:rPr>
          <w:rFonts w:ascii="Arial" w:hAnsi="Arial" w:cs="Arial"/>
          <w:sz w:val="22"/>
        </w:rPr>
      </w:pPr>
      <w:r w:rsidRPr="006454B5">
        <w:rPr>
          <w:rFonts w:ascii="Arial" w:hAnsi="Arial" w:cs="Arial"/>
          <w:sz w:val="22"/>
        </w:rPr>
        <w:t>Finally, we consider the impact evident on outcomes in cases among these data. Overall</w:t>
      </w:r>
      <w:r w:rsidR="008B0740" w:rsidRPr="006454B5">
        <w:rPr>
          <w:rFonts w:ascii="Arial" w:hAnsi="Arial" w:cs="Arial"/>
          <w:sz w:val="22"/>
        </w:rPr>
        <w:t>, the present study</w:t>
      </w:r>
      <w:r w:rsidRPr="006454B5">
        <w:rPr>
          <w:rFonts w:ascii="Arial" w:hAnsi="Arial" w:cs="Arial"/>
          <w:sz w:val="22"/>
        </w:rPr>
        <w:t xml:space="preserve"> appears to</w:t>
      </w:r>
      <w:r w:rsidR="008B0740" w:rsidRPr="006454B5">
        <w:rPr>
          <w:rFonts w:ascii="Arial" w:hAnsi="Arial" w:cs="Arial"/>
          <w:sz w:val="22"/>
        </w:rPr>
        <w:t xml:space="preserve"> mirror previous work, highlighting a very high level of attrition (Daly &amp; </w:t>
      </w:r>
      <w:proofErr w:type="spellStart"/>
      <w:r w:rsidR="008B0740" w:rsidRPr="006454B5">
        <w:rPr>
          <w:rFonts w:ascii="Arial" w:hAnsi="Arial" w:cs="Arial"/>
          <w:sz w:val="22"/>
        </w:rPr>
        <w:t>Bouhours</w:t>
      </w:r>
      <w:proofErr w:type="spellEnd"/>
      <w:r w:rsidR="008B0740" w:rsidRPr="006454B5">
        <w:rPr>
          <w:rFonts w:ascii="Arial" w:hAnsi="Arial" w:cs="Arial"/>
          <w:sz w:val="22"/>
        </w:rPr>
        <w:t xml:space="preserve">, 2010; </w:t>
      </w:r>
      <w:proofErr w:type="spellStart"/>
      <w:r w:rsidR="008B0740" w:rsidRPr="006454B5">
        <w:rPr>
          <w:rFonts w:ascii="Arial" w:hAnsi="Arial" w:cs="Arial"/>
          <w:sz w:val="22"/>
        </w:rPr>
        <w:t>Hohl</w:t>
      </w:r>
      <w:proofErr w:type="spellEnd"/>
      <w:r w:rsidR="008B0740" w:rsidRPr="006454B5">
        <w:rPr>
          <w:rFonts w:ascii="Arial" w:hAnsi="Arial" w:cs="Arial"/>
          <w:sz w:val="22"/>
        </w:rPr>
        <w:t xml:space="preserve"> &amp; </w:t>
      </w:r>
      <w:proofErr w:type="spellStart"/>
      <w:r w:rsidR="008B0740" w:rsidRPr="006454B5">
        <w:rPr>
          <w:rFonts w:ascii="Arial" w:hAnsi="Arial" w:cs="Arial"/>
          <w:sz w:val="22"/>
        </w:rPr>
        <w:t>Stanko</w:t>
      </w:r>
      <w:proofErr w:type="spellEnd"/>
      <w:r w:rsidR="008B0740" w:rsidRPr="006454B5">
        <w:rPr>
          <w:rFonts w:ascii="Arial" w:hAnsi="Arial" w:cs="Arial"/>
          <w:sz w:val="22"/>
        </w:rPr>
        <w:t xml:space="preserve">, 2015; Lea et al., 2003). </w:t>
      </w:r>
      <w:r w:rsidR="005154D0" w:rsidRPr="006454B5">
        <w:rPr>
          <w:rFonts w:ascii="Arial" w:hAnsi="Arial" w:cs="Arial"/>
          <w:sz w:val="22"/>
        </w:rPr>
        <w:t>For example, findings for withdrawal</w:t>
      </w:r>
      <w:r w:rsidR="008B0740" w:rsidRPr="006454B5">
        <w:rPr>
          <w:rFonts w:ascii="Arial" w:hAnsi="Arial" w:cs="Arial"/>
          <w:sz w:val="22"/>
        </w:rPr>
        <w:t xml:space="preserve"> are consistent with the 48% victim withdrawal noted in </w:t>
      </w:r>
      <w:proofErr w:type="spellStart"/>
      <w:r w:rsidR="008B0740" w:rsidRPr="006454B5">
        <w:rPr>
          <w:rFonts w:ascii="Arial" w:hAnsi="Arial" w:cs="Arial"/>
          <w:sz w:val="22"/>
        </w:rPr>
        <w:t>Hohl</w:t>
      </w:r>
      <w:proofErr w:type="spellEnd"/>
      <w:r w:rsidR="008B0740" w:rsidRPr="006454B5">
        <w:rPr>
          <w:rFonts w:ascii="Arial" w:hAnsi="Arial" w:cs="Arial"/>
          <w:sz w:val="22"/>
        </w:rPr>
        <w:t xml:space="preserve"> and </w:t>
      </w:r>
      <w:proofErr w:type="spellStart"/>
      <w:r w:rsidR="008B0740" w:rsidRPr="006454B5">
        <w:rPr>
          <w:rFonts w:ascii="Arial" w:hAnsi="Arial" w:cs="Arial"/>
          <w:sz w:val="22"/>
        </w:rPr>
        <w:t>Stanko</w:t>
      </w:r>
      <w:proofErr w:type="spellEnd"/>
      <w:r w:rsidR="008B0740" w:rsidRPr="006454B5">
        <w:rPr>
          <w:rFonts w:ascii="Arial" w:hAnsi="Arial" w:cs="Arial"/>
          <w:sz w:val="22"/>
        </w:rPr>
        <w:t xml:space="preserve"> (2015), and previous observations that the overwhelming proportion of withdrawal takes place during the police investigative phase (Lea et al., 2003; Kelly et al., 2005). Of cases not withdrawn by the victim, </w:t>
      </w:r>
      <w:r w:rsidR="005154D0" w:rsidRPr="006454B5">
        <w:rPr>
          <w:rFonts w:ascii="Arial" w:hAnsi="Arial" w:cs="Arial"/>
          <w:sz w:val="22"/>
        </w:rPr>
        <w:t xml:space="preserve">whilst </w:t>
      </w:r>
      <w:r w:rsidR="008B0740" w:rsidRPr="006454B5">
        <w:rPr>
          <w:rFonts w:ascii="Arial" w:hAnsi="Arial" w:cs="Arial"/>
          <w:sz w:val="22"/>
        </w:rPr>
        <w:t xml:space="preserve">NFA levels </w:t>
      </w:r>
      <w:r w:rsidR="00DE5CE3" w:rsidRPr="006454B5">
        <w:rPr>
          <w:rFonts w:ascii="Arial" w:hAnsi="Arial" w:cs="Arial"/>
          <w:sz w:val="22"/>
        </w:rPr>
        <w:t>seem to have remained</w:t>
      </w:r>
      <w:r w:rsidR="008B0740" w:rsidRPr="006454B5">
        <w:rPr>
          <w:rFonts w:ascii="Arial" w:hAnsi="Arial" w:cs="Arial"/>
          <w:sz w:val="22"/>
        </w:rPr>
        <w:t xml:space="preserve"> fairly static, a higher </w:t>
      </w:r>
      <w:r w:rsidR="00DE5CE3" w:rsidRPr="006454B5">
        <w:rPr>
          <w:rFonts w:ascii="Arial" w:hAnsi="Arial" w:cs="Arial"/>
          <w:sz w:val="22"/>
        </w:rPr>
        <w:t>proportion</w:t>
      </w:r>
      <w:r w:rsidR="008B0740" w:rsidRPr="006454B5">
        <w:rPr>
          <w:rFonts w:ascii="Arial" w:hAnsi="Arial" w:cs="Arial"/>
          <w:sz w:val="22"/>
        </w:rPr>
        <w:t xml:space="preserve"> </w:t>
      </w:r>
      <w:r w:rsidR="00E5576B" w:rsidRPr="006454B5">
        <w:rPr>
          <w:rFonts w:ascii="Arial" w:hAnsi="Arial" w:cs="Arial"/>
          <w:sz w:val="22"/>
        </w:rPr>
        <w:t xml:space="preserve">received </w:t>
      </w:r>
      <w:r w:rsidR="008B0740" w:rsidRPr="006454B5">
        <w:rPr>
          <w:rFonts w:ascii="Arial" w:hAnsi="Arial" w:cs="Arial"/>
          <w:sz w:val="22"/>
        </w:rPr>
        <w:t>the new crime classifications (‘Rape Not Confirmed’ and ‘Rape-Contradictory Evidence’), compared to the old ‘no crime’</w:t>
      </w:r>
      <w:r w:rsidR="005F3DD7" w:rsidRPr="006454B5">
        <w:rPr>
          <w:rFonts w:ascii="Arial" w:hAnsi="Arial" w:cs="Arial"/>
          <w:sz w:val="22"/>
        </w:rPr>
        <w:t xml:space="preserve"> classification</w:t>
      </w:r>
      <w:r w:rsidR="008B0740" w:rsidRPr="006454B5">
        <w:rPr>
          <w:rFonts w:ascii="Arial" w:hAnsi="Arial" w:cs="Arial"/>
          <w:sz w:val="22"/>
        </w:rPr>
        <w:t>.</w:t>
      </w:r>
      <w:r w:rsidR="0069298F" w:rsidRPr="006454B5">
        <w:rPr>
          <w:rFonts w:ascii="Arial" w:hAnsi="Arial" w:cs="Arial"/>
          <w:sz w:val="22"/>
        </w:rPr>
        <w:t xml:space="preserve"> </w:t>
      </w:r>
      <w:r w:rsidR="00E5576B" w:rsidRPr="006454B5">
        <w:rPr>
          <w:rFonts w:ascii="Arial" w:hAnsi="Arial" w:cs="Arial"/>
          <w:spacing w:val="-1"/>
          <w:sz w:val="22"/>
        </w:rPr>
        <w:t>O</w:t>
      </w:r>
      <w:r w:rsidR="008B0740" w:rsidRPr="006454B5">
        <w:rPr>
          <w:rFonts w:ascii="Arial" w:hAnsi="Arial" w:cs="Arial"/>
          <w:spacing w:val="-1"/>
          <w:sz w:val="22"/>
        </w:rPr>
        <w:t xml:space="preserve">f the 67 cases not classified as a crime in our sample, 24 were found to be false allegations and in 31 cases no suspect could be identified, leaving a sample of only 12 cases </w:t>
      </w:r>
      <w:r w:rsidR="0069298F" w:rsidRPr="006454B5">
        <w:rPr>
          <w:rFonts w:ascii="Arial" w:hAnsi="Arial" w:cs="Arial"/>
          <w:spacing w:val="-1"/>
          <w:sz w:val="22"/>
        </w:rPr>
        <w:t>where a ‘no crime’ classification could not be explained</w:t>
      </w:r>
      <w:r w:rsidR="005F3DD7" w:rsidRPr="006454B5">
        <w:rPr>
          <w:rFonts w:ascii="Arial" w:hAnsi="Arial" w:cs="Arial"/>
          <w:spacing w:val="-1"/>
          <w:sz w:val="22"/>
        </w:rPr>
        <w:t xml:space="preserve"> by the new rules, which are specifically designed to remove judgment calls</w:t>
      </w:r>
      <w:r w:rsidR="008B0740" w:rsidRPr="006454B5">
        <w:rPr>
          <w:rFonts w:ascii="Arial" w:hAnsi="Arial" w:cs="Arial"/>
          <w:spacing w:val="-1"/>
          <w:sz w:val="22"/>
        </w:rPr>
        <w:t>.</w:t>
      </w:r>
      <w:r w:rsidR="008B0740" w:rsidRPr="006454B5">
        <w:rPr>
          <w:rFonts w:ascii="Arial" w:hAnsi="Arial" w:cs="Arial"/>
          <w:spacing w:val="-3"/>
          <w:sz w:val="22"/>
        </w:rPr>
        <w:t xml:space="preserve"> </w:t>
      </w:r>
      <w:r w:rsidR="0069298F" w:rsidRPr="006454B5">
        <w:rPr>
          <w:rFonts w:ascii="Arial" w:hAnsi="Arial" w:cs="Arial"/>
          <w:spacing w:val="-3"/>
          <w:sz w:val="22"/>
        </w:rPr>
        <w:t>It can therefore be suggested that the new guidelines have created new, structured indicators for what may have previously been a ‘catch all’ no crime outcome, where only those cases that have no suspect to pursue or where the presence of contradictory evidence qualify for the use of this outcome.</w:t>
      </w:r>
      <w:r w:rsidR="0069298F" w:rsidRPr="006454B5">
        <w:rPr>
          <w:rFonts w:ascii="Arial" w:hAnsi="Arial" w:cs="Arial"/>
          <w:sz w:val="22"/>
        </w:rPr>
        <w:t xml:space="preserve"> </w:t>
      </w:r>
      <w:r w:rsidR="008B0740" w:rsidRPr="006454B5">
        <w:rPr>
          <w:rFonts w:ascii="Arial" w:hAnsi="Arial" w:cs="Arial"/>
          <w:spacing w:val="-3"/>
          <w:sz w:val="22"/>
        </w:rPr>
        <w:t xml:space="preserve">This presents encouraging evidence for the decreased role of discretion in the process </w:t>
      </w:r>
      <w:r w:rsidR="0069298F" w:rsidRPr="006454B5">
        <w:rPr>
          <w:rFonts w:ascii="Arial" w:hAnsi="Arial" w:cs="Arial"/>
          <w:spacing w:val="-3"/>
          <w:sz w:val="22"/>
        </w:rPr>
        <w:t xml:space="preserve">of no </w:t>
      </w:r>
      <w:proofErr w:type="spellStart"/>
      <w:r w:rsidR="0069298F" w:rsidRPr="006454B5">
        <w:rPr>
          <w:rFonts w:ascii="Arial" w:hAnsi="Arial" w:cs="Arial"/>
          <w:spacing w:val="-3"/>
          <w:sz w:val="22"/>
        </w:rPr>
        <w:t>criming</w:t>
      </w:r>
      <w:proofErr w:type="spellEnd"/>
      <w:r w:rsidR="0069298F" w:rsidRPr="006454B5">
        <w:rPr>
          <w:rFonts w:ascii="Arial" w:hAnsi="Arial" w:cs="Arial"/>
          <w:spacing w:val="-3"/>
          <w:sz w:val="22"/>
        </w:rPr>
        <w:t xml:space="preserve">, </w:t>
      </w:r>
      <w:r w:rsidR="008B0740" w:rsidRPr="006454B5">
        <w:rPr>
          <w:rFonts w:ascii="Arial" w:hAnsi="Arial" w:cs="Arial"/>
          <w:spacing w:val="-3"/>
          <w:sz w:val="22"/>
        </w:rPr>
        <w:t>and useful insight into how this new practical change is being deployed in London.</w:t>
      </w:r>
      <w:r w:rsidR="00835B5C" w:rsidRPr="006454B5">
        <w:rPr>
          <w:rFonts w:ascii="Arial" w:hAnsi="Arial" w:cs="Arial"/>
          <w:spacing w:val="-3"/>
          <w:sz w:val="22"/>
        </w:rPr>
        <w:t xml:space="preserve"> </w:t>
      </w:r>
      <w:r w:rsidR="008B0740" w:rsidRPr="006454B5">
        <w:rPr>
          <w:rFonts w:ascii="Arial" w:hAnsi="Arial" w:cs="Arial"/>
          <w:sz w:val="22"/>
        </w:rPr>
        <w:t xml:space="preserve">The remaining 21% of cases from the current study were referred to prosecutors, </w:t>
      </w:r>
      <w:r w:rsidR="00835B5C" w:rsidRPr="006454B5">
        <w:rPr>
          <w:rFonts w:ascii="Arial" w:hAnsi="Arial" w:cs="Arial"/>
          <w:sz w:val="22"/>
        </w:rPr>
        <w:t>r</w:t>
      </w:r>
      <w:r w:rsidR="008B0740" w:rsidRPr="006454B5">
        <w:rPr>
          <w:rFonts w:ascii="Arial" w:hAnsi="Arial" w:cs="Arial"/>
          <w:sz w:val="22"/>
        </w:rPr>
        <w:t xml:space="preserve">epresenting a sizeable decrease since 2012 (37% of cases; </w:t>
      </w:r>
      <w:proofErr w:type="spellStart"/>
      <w:r w:rsidR="008B0740" w:rsidRPr="006454B5">
        <w:rPr>
          <w:rFonts w:ascii="Arial" w:hAnsi="Arial" w:cs="Arial"/>
          <w:sz w:val="22"/>
        </w:rPr>
        <w:t>Hohl</w:t>
      </w:r>
      <w:proofErr w:type="spellEnd"/>
      <w:r w:rsidR="008B0740" w:rsidRPr="006454B5">
        <w:rPr>
          <w:rFonts w:ascii="Arial" w:hAnsi="Arial" w:cs="Arial"/>
          <w:sz w:val="22"/>
        </w:rPr>
        <w:t xml:space="preserve"> &amp; </w:t>
      </w:r>
      <w:proofErr w:type="spellStart"/>
      <w:r w:rsidR="008B0740" w:rsidRPr="006454B5">
        <w:rPr>
          <w:rFonts w:ascii="Arial" w:hAnsi="Arial" w:cs="Arial"/>
          <w:sz w:val="22"/>
        </w:rPr>
        <w:t>Stanko</w:t>
      </w:r>
      <w:proofErr w:type="spellEnd"/>
      <w:r w:rsidR="008B0740" w:rsidRPr="006454B5">
        <w:rPr>
          <w:rFonts w:ascii="Arial" w:hAnsi="Arial" w:cs="Arial"/>
          <w:sz w:val="22"/>
        </w:rPr>
        <w:t xml:space="preserve">, 2015), but reflecting wider national trends </w:t>
      </w:r>
      <w:r w:rsidR="00835B5C" w:rsidRPr="006454B5">
        <w:rPr>
          <w:rFonts w:ascii="Arial" w:hAnsi="Arial" w:cs="Arial"/>
          <w:sz w:val="22"/>
        </w:rPr>
        <w:t xml:space="preserve">in the UK </w:t>
      </w:r>
      <w:r w:rsidR="008B0740" w:rsidRPr="006454B5">
        <w:rPr>
          <w:rFonts w:ascii="Arial" w:hAnsi="Arial" w:cs="Arial"/>
          <w:sz w:val="22"/>
        </w:rPr>
        <w:t xml:space="preserve">(Home Office, 2019). </w:t>
      </w:r>
    </w:p>
    <w:p w14:paraId="3F209B6B" w14:textId="17A77B9E" w:rsidR="003539DD" w:rsidRPr="006454B5" w:rsidRDefault="003539DD" w:rsidP="00237766">
      <w:pPr>
        <w:spacing w:before="120" w:after="120"/>
        <w:ind w:firstLine="720"/>
        <w:contextualSpacing/>
        <w:rPr>
          <w:rFonts w:ascii="Arial" w:hAnsi="Arial" w:cs="Arial"/>
          <w:sz w:val="22"/>
        </w:rPr>
      </w:pPr>
      <w:r w:rsidRPr="006454B5">
        <w:rPr>
          <w:rFonts w:ascii="Arial" w:hAnsi="Arial" w:cs="Arial"/>
          <w:sz w:val="22"/>
        </w:rPr>
        <w:t xml:space="preserve">Taken together, results from the present study may therefore represent a shift in concern amongst practitioners and academics as to the principal challenges facing rape investigation and prosecution, perhaps as a result of changes in policy which have refocused issues in the investigation of rape around legal/evidential concerns, rather than </w:t>
      </w:r>
      <w:r w:rsidRPr="006454B5">
        <w:rPr>
          <w:rFonts w:ascii="Arial" w:hAnsi="Arial" w:cs="Arial"/>
          <w:sz w:val="22"/>
        </w:rPr>
        <w:lastRenderedPageBreak/>
        <w:t>extra-legal issues, subjective biases, and officer discretion. Specifically, as previous literature indicate</w:t>
      </w:r>
      <w:r w:rsidR="00237766" w:rsidRPr="006454B5">
        <w:rPr>
          <w:rFonts w:ascii="Arial" w:hAnsi="Arial" w:cs="Arial"/>
          <w:sz w:val="22"/>
        </w:rPr>
        <w:t>s</w:t>
      </w:r>
      <w:r w:rsidRPr="006454B5">
        <w:rPr>
          <w:rFonts w:ascii="Arial" w:hAnsi="Arial" w:cs="Arial"/>
          <w:sz w:val="22"/>
        </w:rPr>
        <w:t xml:space="preserve"> a potential reluctance by officers to progress cases based on personally held negative attitudes towards victims, </w:t>
      </w:r>
      <w:r w:rsidR="00237766" w:rsidRPr="006454B5">
        <w:rPr>
          <w:rFonts w:ascii="Arial" w:hAnsi="Arial" w:cs="Arial"/>
          <w:sz w:val="22"/>
        </w:rPr>
        <w:t>these findings</w:t>
      </w:r>
      <w:r w:rsidRPr="006454B5">
        <w:rPr>
          <w:rFonts w:ascii="Arial" w:hAnsi="Arial" w:cs="Arial"/>
          <w:sz w:val="22"/>
        </w:rPr>
        <w:t xml:space="preserve"> suggest that officers instead continue to display a similar hesitation relating to cases they do not believe meet the thresholds held by prosecutorial services. This shift arguably represents yet another form of so-called ‘downstream orientation’ (</w:t>
      </w:r>
      <w:proofErr w:type="spellStart"/>
      <w:r w:rsidRPr="006454B5">
        <w:rPr>
          <w:rFonts w:ascii="Arial" w:hAnsi="Arial" w:cs="Arial"/>
          <w:sz w:val="22"/>
        </w:rPr>
        <w:t>Frohmann</w:t>
      </w:r>
      <w:proofErr w:type="spellEnd"/>
      <w:r w:rsidRPr="006454B5">
        <w:rPr>
          <w:rFonts w:ascii="Arial" w:hAnsi="Arial" w:cs="Arial"/>
          <w:sz w:val="22"/>
        </w:rPr>
        <w:t>, 1997), the ‘vicious cycle of attrition’ (Munro &amp; Kelly, 2009), and anticipatory biases (</w:t>
      </w:r>
      <w:proofErr w:type="spellStart"/>
      <w:r w:rsidRPr="006454B5">
        <w:rPr>
          <w:rFonts w:ascii="Arial" w:hAnsi="Arial" w:cs="Arial"/>
          <w:sz w:val="22"/>
        </w:rPr>
        <w:t>Spohn</w:t>
      </w:r>
      <w:proofErr w:type="spellEnd"/>
      <w:r w:rsidR="00AC3B55" w:rsidRPr="006454B5">
        <w:rPr>
          <w:rFonts w:ascii="Arial" w:hAnsi="Arial" w:cs="Arial"/>
          <w:sz w:val="22"/>
        </w:rPr>
        <w:t xml:space="preserve"> et al.</w:t>
      </w:r>
      <w:r w:rsidRPr="006454B5">
        <w:rPr>
          <w:rFonts w:ascii="Arial" w:hAnsi="Arial" w:cs="Arial"/>
          <w:sz w:val="22"/>
        </w:rPr>
        <w:t xml:space="preserve">, 2014): where judgements are made in anticipation of the reception of the case by prosecutors and jurors. Such phenomena undoubtedly deserve further, possibly qualitative exploration, to fully establish motivating factors for officers’ decision-making. </w:t>
      </w:r>
    </w:p>
    <w:p w14:paraId="559A1E0E" w14:textId="14F272D7" w:rsidR="000018C3" w:rsidRPr="006454B5" w:rsidRDefault="000018C3" w:rsidP="000C7544">
      <w:pPr>
        <w:spacing w:before="120" w:after="120"/>
        <w:contextualSpacing/>
        <w:rPr>
          <w:rFonts w:ascii="Arial" w:hAnsi="Arial" w:cs="Arial"/>
          <w:b/>
          <w:bCs/>
          <w:sz w:val="22"/>
        </w:rPr>
      </w:pPr>
      <w:r w:rsidRPr="006454B5">
        <w:rPr>
          <w:rFonts w:ascii="Arial" w:hAnsi="Arial" w:cs="Arial"/>
          <w:b/>
          <w:bCs/>
          <w:sz w:val="22"/>
        </w:rPr>
        <w:t>Limitations and Future Directions</w:t>
      </w:r>
    </w:p>
    <w:p w14:paraId="366664E2" w14:textId="4DC77124" w:rsidR="009F4F9E" w:rsidRPr="006454B5" w:rsidRDefault="009F4F9E" w:rsidP="000C7544">
      <w:pPr>
        <w:spacing w:before="120" w:after="120"/>
        <w:ind w:firstLine="720"/>
        <w:contextualSpacing/>
        <w:rPr>
          <w:rFonts w:ascii="Arial" w:hAnsi="Arial" w:cs="Arial"/>
          <w:sz w:val="22"/>
        </w:rPr>
      </w:pPr>
      <w:r w:rsidRPr="006454B5">
        <w:rPr>
          <w:rFonts w:ascii="Arial" w:hAnsi="Arial" w:cs="Arial"/>
          <w:sz w:val="22"/>
        </w:rPr>
        <w:t xml:space="preserve">There are a number of important limitations to this study. First, the Metropolitan Police </w:t>
      </w:r>
      <w:r w:rsidR="00F12A8F" w:rsidRPr="006454B5">
        <w:rPr>
          <w:rFonts w:ascii="Arial" w:hAnsi="Arial" w:cs="Arial"/>
          <w:sz w:val="22"/>
        </w:rPr>
        <w:t xml:space="preserve">Service </w:t>
      </w:r>
      <w:r w:rsidRPr="006454B5">
        <w:rPr>
          <w:rFonts w:ascii="Arial" w:hAnsi="Arial" w:cs="Arial"/>
          <w:sz w:val="22"/>
        </w:rPr>
        <w:t>represent</w:t>
      </w:r>
      <w:r w:rsidR="00F12A8F" w:rsidRPr="006454B5">
        <w:rPr>
          <w:rFonts w:ascii="Arial" w:hAnsi="Arial" w:cs="Arial"/>
          <w:sz w:val="22"/>
        </w:rPr>
        <w:t>s</w:t>
      </w:r>
      <w:r w:rsidRPr="006454B5">
        <w:rPr>
          <w:rFonts w:ascii="Arial" w:hAnsi="Arial" w:cs="Arial"/>
          <w:sz w:val="22"/>
        </w:rPr>
        <w:t xml:space="preserve"> only one of 43 of the UK’s police forces. Additionally, size and geography, greater population density, ethnic and demographic diversity, as well as the disproportionately high number of rape cases reported in London compared to the rest of the UK, potentially impact the national generalisability of these findings to rural areas. However, their application to similar cities in size, density, and diversity may provide a useful point of </w:t>
      </w:r>
      <w:r w:rsidR="00863BEF" w:rsidRPr="006454B5">
        <w:rPr>
          <w:rFonts w:ascii="Arial" w:hAnsi="Arial" w:cs="Arial"/>
          <w:sz w:val="22"/>
        </w:rPr>
        <w:t xml:space="preserve">international </w:t>
      </w:r>
      <w:r w:rsidRPr="006454B5">
        <w:rPr>
          <w:rFonts w:ascii="Arial" w:hAnsi="Arial" w:cs="Arial"/>
          <w:sz w:val="22"/>
        </w:rPr>
        <w:t xml:space="preserve">comparison. Future research should therefore seek to examine the nature, context and outcomes of cases across the </w:t>
      </w:r>
      <w:r w:rsidR="00016D82" w:rsidRPr="006454B5">
        <w:rPr>
          <w:rFonts w:ascii="Arial" w:hAnsi="Arial" w:cs="Arial"/>
          <w:sz w:val="22"/>
        </w:rPr>
        <w:t>UK</w:t>
      </w:r>
      <w:r w:rsidR="00237766" w:rsidRPr="006454B5">
        <w:rPr>
          <w:rFonts w:ascii="Arial" w:hAnsi="Arial" w:cs="Arial"/>
          <w:sz w:val="22"/>
        </w:rPr>
        <w:t>,</w:t>
      </w:r>
      <w:r w:rsidRPr="006454B5">
        <w:rPr>
          <w:rFonts w:ascii="Arial" w:hAnsi="Arial" w:cs="Arial"/>
          <w:sz w:val="22"/>
        </w:rPr>
        <w:t xml:space="preserve"> and beyond</w:t>
      </w:r>
      <w:r w:rsidR="00237766" w:rsidRPr="006454B5">
        <w:rPr>
          <w:rFonts w:ascii="Arial" w:hAnsi="Arial" w:cs="Arial"/>
          <w:sz w:val="22"/>
        </w:rPr>
        <w:t>,</w:t>
      </w:r>
      <w:r w:rsidRPr="006454B5">
        <w:rPr>
          <w:rFonts w:ascii="Arial" w:hAnsi="Arial" w:cs="Arial"/>
          <w:sz w:val="22"/>
        </w:rPr>
        <w:t xml:space="preserve"> as a means to not only draw comparison, but to inform global best practice.</w:t>
      </w:r>
      <w:r w:rsidR="009C69AD" w:rsidRPr="006454B5">
        <w:rPr>
          <w:rFonts w:ascii="Arial" w:hAnsi="Arial" w:cs="Arial"/>
          <w:sz w:val="22"/>
        </w:rPr>
        <w:t xml:space="preserve"> </w:t>
      </w:r>
    </w:p>
    <w:p w14:paraId="45E4A23E" w14:textId="03EA0C50" w:rsidR="00B86BA9" w:rsidRPr="006454B5" w:rsidRDefault="009F4F9E" w:rsidP="000A1C42">
      <w:pPr>
        <w:spacing w:before="120" w:after="120"/>
        <w:ind w:firstLine="720"/>
        <w:contextualSpacing/>
        <w:rPr>
          <w:rFonts w:ascii="Arial" w:hAnsi="Arial" w:cs="Arial"/>
          <w:sz w:val="22"/>
        </w:rPr>
      </w:pPr>
      <w:r w:rsidRPr="006454B5">
        <w:rPr>
          <w:rFonts w:ascii="Arial" w:hAnsi="Arial" w:cs="Arial"/>
          <w:sz w:val="22"/>
        </w:rPr>
        <w:t>Second, these data are limited to the police investigation phase</w:t>
      </w:r>
      <w:r w:rsidR="009C69AD" w:rsidRPr="006454B5">
        <w:rPr>
          <w:rFonts w:ascii="Arial" w:hAnsi="Arial" w:cs="Arial"/>
          <w:sz w:val="22"/>
        </w:rPr>
        <w:t>, and f</w:t>
      </w:r>
      <w:r w:rsidRPr="006454B5">
        <w:rPr>
          <w:rFonts w:ascii="Arial" w:hAnsi="Arial" w:cs="Arial"/>
          <w:sz w:val="22"/>
        </w:rPr>
        <w:t xml:space="preserve">urther research should seek to provide updated information on prosecutorial outcomes, particularly in the light of important and highly publicised cases such as those in Operation </w:t>
      </w:r>
      <w:proofErr w:type="spellStart"/>
      <w:r w:rsidRPr="006454B5">
        <w:rPr>
          <w:rFonts w:ascii="Arial" w:hAnsi="Arial" w:cs="Arial"/>
          <w:sz w:val="22"/>
        </w:rPr>
        <w:t>Yewtree</w:t>
      </w:r>
      <w:proofErr w:type="spellEnd"/>
      <w:r w:rsidRPr="006454B5">
        <w:rPr>
          <w:rFonts w:ascii="Arial" w:hAnsi="Arial" w:cs="Arial"/>
          <w:sz w:val="22"/>
        </w:rPr>
        <w:t xml:space="preserve">. Indeed, an examination of the role of case characteristics on trajectories within the Crown Prosecution Service, in an attempt to understand decision-making frameworks within the CPS, would help to provide a more comprehensive account of victim experience, and perhaps shed light on the troublingly low conviction levels for rape present in the UK (Home Office, 2019). </w:t>
      </w:r>
      <w:r w:rsidR="009C69AD" w:rsidRPr="006454B5">
        <w:rPr>
          <w:rFonts w:ascii="Arial" w:hAnsi="Arial" w:cs="Arial"/>
          <w:sz w:val="22"/>
        </w:rPr>
        <w:t>Third, a</w:t>
      </w:r>
      <w:r w:rsidR="00390B27" w:rsidRPr="006454B5">
        <w:rPr>
          <w:rFonts w:ascii="Arial" w:hAnsi="Arial" w:cs="Arial"/>
          <w:sz w:val="22"/>
        </w:rPr>
        <w:t>long</w:t>
      </w:r>
      <w:r w:rsidRPr="006454B5">
        <w:rPr>
          <w:rFonts w:ascii="Arial" w:hAnsi="Arial" w:cs="Arial"/>
          <w:sz w:val="22"/>
        </w:rPr>
        <w:t xml:space="preserve"> with much of the previous literature, this study neglects to </w:t>
      </w:r>
      <w:r w:rsidRPr="006454B5">
        <w:rPr>
          <w:rFonts w:ascii="Arial" w:hAnsi="Arial" w:cs="Arial"/>
          <w:sz w:val="22"/>
        </w:rPr>
        <w:lastRenderedPageBreak/>
        <w:t xml:space="preserve">address the sizeable minority of cases of male-on-male rape, where specific victim vulnerabilities, risk, and protective factors could provide </w:t>
      </w:r>
      <w:r w:rsidR="00754D48" w:rsidRPr="006454B5">
        <w:rPr>
          <w:rFonts w:ascii="Arial" w:hAnsi="Arial" w:cs="Arial"/>
          <w:sz w:val="22"/>
        </w:rPr>
        <w:t>insight</w:t>
      </w:r>
      <w:r w:rsidRPr="006454B5">
        <w:rPr>
          <w:rFonts w:ascii="Arial" w:hAnsi="Arial" w:cs="Arial"/>
          <w:sz w:val="22"/>
        </w:rPr>
        <w:t xml:space="preserve"> into the experiences of a largely ignored group. </w:t>
      </w:r>
      <w:r w:rsidR="00CC204F" w:rsidRPr="006454B5">
        <w:rPr>
          <w:rFonts w:ascii="Arial" w:hAnsi="Arial" w:cs="Arial"/>
          <w:sz w:val="22"/>
        </w:rPr>
        <w:t>Fourth, p</w:t>
      </w:r>
      <w:r w:rsidR="003D276F" w:rsidRPr="006454B5">
        <w:rPr>
          <w:rFonts w:ascii="Arial" w:hAnsi="Arial" w:cs="Arial"/>
          <w:sz w:val="22"/>
        </w:rPr>
        <w:t xml:space="preserve">rocedurally, as is the case with all studies of this type, there is a reliance on the accuracy of police records, creating some variables that may benefit from clarification. </w:t>
      </w:r>
      <w:r w:rsidR="00CC204F" w:rsidRPr="006454B5">
        <w:rPr>
          <w:rFonts w:ascii="Arial" w:hAnsi="Arial" w:cs="Arial"/>
          <w:sz w:val="22"/>
        </w:rPr>
        <w:t>A particularly salient example is the high number of cases designated as false allegations within this sample (11%); a percentage higher than most research estimates and worthy of further investigation</w:t>
      </w:r>
      <w:r w:rsidR="0073503C" w:rsidRPr="006454B5">
        <w:rPr>
          <w:rFonts w:ascii="Arial" w:hAnsi="Arial" w:cs="Arial"/>
          <w:sz w:val="22"/>
        </w:rPr>
        <w:t xml:space="preserve">, as this may reflect a matter of </w:t>
      </w:r>
      <w:r w:rsidR="000A1C42">
        <w:rPr>
          <w:rFonts w:ascii="Arial" w:hAnsi="Arial" w:cs="Arial"/>
          <w:sz w:val="22"/>
        </w:rPr>
        <w:t>reported cases being defined and coded incorrectly</w:t>
      </w:r>
      <w:r w:rsidR="0073503C" w:rsidRPr="006454B5">
        <w:rPr>
          <w:rFonts w:ascii="Arial" w:hAnsi="Arial" w:cs="Arial"/>
          <w:sz w:val="22"/>
        </w:rPr>
        <w:t xml:space="preserve"> or signify a shift in case</w:t>
      </w:r>
      <w:r w:rsidR="000A1C42">
        <w:rPr>
          <w:rFonts w:ascii="Arial" w:hAnsi="Arial" w:cs="Arial"/>
          <w:sz w:val="22"/>
        </w:rPr>
        <w:t>s</w:t>
      </w:r>
      <w:r w:rsidR="0073503C" w:rsidRPr="006454B5">
        <w:rPr>
          <w:rFonts w:ascii="Arial" w:hAnsi="Arial" w:cs="Arial"/>
          <w:sz w:val="22"/>
        </w:rPr>
        <w:t xml:space="preserve"> that can legitimately be desc</w:t>
      </w:r>
      <w:r w:rsidR="000A1C42">
        <w:rPr>
          <w:rFonts w:ascii="Arial" w:hAnsi="Arial" w:cs="Arial"/>
          <w:sz w:val="22"/>
        </w:rPr>
        <w:t xml:space="preserve">ribed as an allegation where evidence is present that could demonstrably prove it </w:t>
      </w:r>
      <w:r w:rsidR="0073503C" w:rsidRPr="006454B5">
        <w:rPr>
          <w:rFonts w:ascii="Arial" w:hAnsi="Arial" w:cs="Arial"/>
          <w:sz w:val="22"/>
        </w:rPr>
        <w:t>to be false</w:t>
      </w:r>
      <w:r w:rsidR="00CC204F" w:rsidRPr="006454B5">
        <w:rPr>
          <w:rFonts w:ascii="Arial" w:hAnsi="Arial" w:cs="Arial"/>
          <w:sz w:val="22"/>
        </w:rPr>
        <w:t>. However, w</w:t>
      </w:r>
      <w:r w:rsidR="003D276F" w:rsidRPr="006454B5">
        <w:rPr>
          <w:rFonts w:ascii="Arial" w:hAnsi="Arial" w:cs="Arial"/>
          <w:sz w:val="22"/>
        </w:rPr>
        <w:t xml:space="preserve">hile </w:t>
      </w:r>
      <w:r w:rsidR="00CC204F" w:rsidRPr="006454B5">
        <w:rPr>
          <w:rFonts w:ascii="Arial" w:hAnsi="Arial" w:cs="Arial"/>
          <w:sz w:val="22"/>
        </w:rPr>
        <w:t xml:space="preserve">this lack of further investigation </w:t>
      </w:r>
      <w:r w:rsidR="003D276F" w:rsidRPr="006454B5">
        <w:rPr>
          <w:rFonts w:ascii="Arial" w:hAnsi="Arial" w:cs="Arial"/>
          <w:sz w:val="22"/>
        </w:rPr>
        <w:t xml:space="preserve">may act as something of a barrier, it is the intention of the study to capture the police records as they exist. </w:t>
      </w:r>
    </w:p>
    <w:p w14:paraId="11390CB1" w14:textId="47E6B6E1" w:rsidR="009F4F9E" w:rsidRPr="006454B5" w:rsidRDefault="009C69AD" w:rsidP="00B86BA9">
      <w:pPr>
        <w:spacing w:before="120" w:after="120"/>
        <w:ind w:firstLine="720"/>
        <w:contextualSpacing/>
        <w:rPr>
          <w:rFonts w:ascii="Arial" w:hAnsi="Arial" w:cs="Arial"/>
          <w:spacing w:val="-1"/>
          <w:sz w:val="22"/>
        </w:rPr>
      </w:pPr>
      <w:r w:rsidRPr="006454B5">
        <w:rPr>
          <w:rFonts w:ascii="Arial" w:hAnsi="Arial" w:cs="Arial"/>
          <w:sz w:val="22"/>
        </w:rPr>
        <w:t>Finally, and o</w:t>
      </w:r>
      <w:r w:rsidR="00C004A2" w:rsidRPr="006454B5">
        <w:rPr>
          <w:rFonts w:ascii="Arial" w:hAnsi="Arial" w:cs="Arial"/>
          <w:sz w:val="22"/>
        </w:rPr>
        <w:t>f significance among the broader literature</w:t>
      </w:r>
      <w:r w:rsidRPr="006454B5">
        <w:rPr>
          <w:rFonts w:ascii="Arial" w:hAnsi="Arial" w:cs="Arial"/>
          <w:sz w:val="22"/>
        </w:rPr>
        <w:t>,</w:t>
      </w:r>
      <w:r w:rsidR="00C004A2" w:rsidRPr="006454B5">
        <w:rPr>
          <w:rFonts w:ascii="Arial" w:hAnsi="Arial" w:cs="Arial"/>
          <w:sz w:val="22"/>
        </w:rPr>
        <w:t xml:space="preserve"> are issues </w:t>
      </w:r>
      <w:r w:rsidRPr="006454B5">
        <w:rPr>
          <w:rFonts w:ascii="Arial" w:hAnsi="Arial" w:cs="Arial"/>
          <w:sz w:val="22"/>
        </w:rPr>
        <w:t xml:space="preserve">resulting from the </w:t>
      </w:r>
      <w:r w:rsidR="00C004A2" w:rsidRPr="006454B5">
        <w:rPr>
          <w:rFonts w:ascii="Arial" w:hAnsi="Arial" w:cs="Arial"/>
          <w:sz w:val="22"/>
        </w:rPr>
        <w:t>combin</w:t>
      </w:r>
      <w:r w:rsidRPr="006454B5">
        <w:rPr>
          <w:rFonts w:ascii="Arial" w:hAnsi="Arial" w:cs="Arial"/>
          <w:sz w:val="22"/>
        </w:rPr>
        <w:t>ation</w:t>
      </w:r>
      <w:r w:rsidR="00C004A2" w:rsidRPr="006454B5">
        <w:rPr>
          <w:rFonts w:ascii="Arial" w:hAnsi="Arial" w:cs="Arial"/>
          <w:sz w:val="22"/>
        </w:rPr>
        <w:t xml:space="preserve"> </w:t>
      </w:r>
      <w:r w:rsidRPr="006454B5">
        <w:rPr>
          <w:rFonts w:ascii="Arial" w:hAnsi="Arial" w:cs="Arial"/>
          <w:sz w:val="22"/>
        </w:rPr>
        <w:t xml:space="preserve">of </w:t>
      </w:r>
      <w:r w:rsidR="00C004A2" w:rsidRPr="006454B5">
        <w:rPr>
          <w:rFonts w:ascii="Arial" w:hAnsi="Arial" w:cs="Arial"/>
          <w:sz w:val="22"/>
        </w:rPr>
        <w:t xml:space="preserve">child and adult cases into the same dataset, not least due to their own specified legislation in England and Wales. </w:t>
      </w:r>
      <w:r w:rsidR="00666514" w:rsidRPr="006454B5">
        <w:rPr>
          <w:rFonts w:ascii="Arial" w:hAnsi="Arial" w:cs="Arial"/>
          <w:sz w:val="22"/>
        </w:rPr>
        <w:t xml:space="preserve">Where possible, insights relating to child victims </w:t>
      </w:r>
      <w:r w:rsidR="00CC204F" w:rsidRPr="006454B5">
        <w:rPr>
          <w:rFonts w:ascii="Arial" w:hAnsi="Arial" w:cs="Arial"/>
          <w:sz w:val="22"/>
        </w:rPr>
        <w:t>were</w:t>
      </w:r>
      <w:r w:rsidR="00666514" w:rsidRPr="006454B5">
        <w:rPr>
          <w:rFonts w:ascii="Arial" w:hAnsi="Arial" w:cs="Arial"/>
          <w:sz w:val="22"/>
        </w:rPr>
        <w:t xml:space="preserve"> examined, however, these </w:t>
      </w:r>
      <w:r w:rsidR="00CC204F" w:rsidRPr="006454B5">
        <w:rPr>
          <w:rFonts w:ascii="Arial" w:hAnsi="Arial" w:cs="Arial"/>
          <w:sz w:val="22"/>
        </w:rPr>
        <w:t xml:space="preserve">were </w:t>
      </w:r>
      <w:r w:rsidR="00666514" w:rsidRPr="006454B5">
        <w:rPr>
          <w:rFonts w:ascii="Arial" w:hAnsi="Arial" w:cs="Arial"/>
          <w:sz w:val="22"/>
        </w:rPr>
        <w:t xml:space="preserve">significantly limited in number and scope due to sample size limitations and impact on statistical power, where only 58 and 28 cases relate to victims under the age of 16 years (legal age of consent) and 13 years (section 5 of the Sexual Offences Act, rape of a child under 13) respectively. While combining adult with child data is consistent with previous literature, the </w:t>
      </w:r>
      <w:proofErr w:type="gramStart"/>
      <w:r w:rsidR="00666514" w:rsidRPr="006454B5">
        <w:rPr>
          <w:rFonts w:ascii="Arial" w:hAnsi="Arial" w:cs="Arial"/>
          <w:sz w:val="22"/>
        </w:rPr>
        <w:t>authors</w:t>
      </w:r>
      <w:proofErr w:type="gramEnd"/>
      <w:r w:rsidR="00666514" w:rsidRPr="006454B5">
        <w:rPr>
          <w:rFonts w:ascii="Arial" w:hAnsi="Arial" w:cs="Arial"/>
          <w:sz w:val="22"/>
        </w:rPr>
        <w:t xml:space="preserve"> support that the specific experiences of under-aged and child victims is wholly deserving of its own investigation. </w:t>
      </w:r>
      <w:r w:rsidRPr="006454B5">
        <w:rPr>
          <w:rFonts w:ascii="Arial" w:hAnsi="Arial" w:cs="Arial"/>
          <w:sz w:val="22"/>
        </w:rPr>
        <w:t xml:space="preserve">We suggest that </w:t>
      </w:r>
      <w:r w:rsidR="00C004A2" w:rsidRPr="006454B5">
        <w:rPr>
          <w:rFonts w:ascii="Arial" w:hAnsi="Arial" w:cs="Arial"/>
          <w:sz w:val="22"/>
        </w:rPr>
        <w:t>examin</w:t>
      </w:r>
      <w:r w:rsidRPr="006454B5">
        <w:rPr>
          <w:rFonts w:ascii="Arial" w:hAnsi="Arial" w:cs="Arial"/>
          <w:sz w:val="22"/>
        </w:rPr>
        <w:t>ation of</w:t>
      </w:r>
      <w:r w:rsidR="00C004A2" w:rsidRPr="006454B5">
        <w:rPr>
          <w:rFonts w:ascii="Arial" w:hAnsi="Arial" w:cs="Arial"/>
          <w:sz w:val="22"/>
        </w:rPr>
        <w:t xml:space="preserve"> these groups </w:t>
      </w:r>
      <w:r w:rsidRPr="006454B5">
        <w:rPr>
          <w:rFonts w:ascii="Arial" w:hAnsi="Arial" w:cs="Arial"/>
          <w:sz w:val="22"/>
        </w:rPr>
        <w:t xml:space="preserve">be made </w:t>
      </w:r>
      <w:r w:rsidR="00E70796" w:rsidRPr="006454B5">
        <w:rPr>
          <w:rFonts w:ascii="Arial" w:hAnsi="Arial" w:cs="Arial"/>
          <w:sz w:val="22"/>
        </w:rPr>
        <w:t xml:space="preserve">an immediate priority </w:t>
      </w:r>
      <w:r w:rsidRPr="006454B5">
        <w:rPr>
          <w:rFonts w:ascii="Arial" w:hAnsi="Arial" w:cs="Arial"/>
          <w:sz w:val="22"/>
        </w:rPr>
        <w:t xml:space="preserve">for </w:t>
      </w:r>
      <w:r w:rsidR="00E70796" w:rsidRPr="006454B5">
        <w:rPr>
          <w:rFonts w:ascii="Arial" w:hAnsi="Arial" w:cs="Arial"/>
          <w:sz w:val="22"/>
        </w:rPr>
        <w:t>future research</w:t>
      </w:r>
      <w:r w:rsidR="0073503C" w:rsidRPr="006454B5">
        <w:rPr>
          <w:rFonts w:ascii="Arial" w:hAnsi="Arial" w:cs="Arial"/>
          <w:sz w:val="22"/>
        </w:rPr>
        <w:t>, with</w:t>
      </w:r>
      <w:r w:rsidRPr="006454B5">
        <w:rPr>
          <w:rFonts w:ascii="Arial" w:hAnsi="Arial" w:cs="Arial"/>
          <w:sz w:val="22"/>
        </w:rPr>
        <w:t xml:space="preserve"> samples which can support such investigation</w:t>
      </w:r>
      <w:r w:rsidR="003D276F" w:rsidRPr="006454B5">
        <w:rPr>
          <w:rFonts w:ascii="Arial" w:hAnsi="Arial" w:cs="Arial"/>
          <w:sz w:val="22"/>
        </w:rPr>
        <w:t xml:space="preserve">. </w:t>
      </w:r>
    </w:p>
    <w:p w14:paraId="1F675903" w14:textId="4D4AE7EE" w:rsidR="00016D82" w:rsidRPr="006454B5" w:rsidRDefault="00016D82" w:rsidP="000C7544">
      <w:pPr>
        <w:spacing w:before="120" w:after="120"/>
        <w:contextualSpacing/>
        <w:rPr>
          <w:rFonts w:ascii="Arial" w:hAnsi="Arial" w:cs="Arial"/>
          <w:b/>
          <w:bCs/>
          <w:sz w:val="22"/>
        </w:rPr>
      </w:pPr>
      <w:r w:rsidRPr="006454B5">
        <w:rPr>
          <w:rFonts w:ascii="Arial" w:hAnsi="Arial" w:cs="Arial"/>
          <w:b/>
          <w:bCs/>
          <w:spacing w:val="-1"/>
          <w:sz w:val="22"/>
        </w:rPr>
        <w:t>Conclusion</w:t>
      </w:r>
      <w:r w:rsidR="00644018" w:rsidRPr="006454B5">
        <w:rPr>
          <w:rFonts w:ascii="Arial" w:hAnsi="Arial" w:cs="Arial"/>
          <w:b/>
          <w:bCs/>
          <w:spacing w:val="-1"/>
          <w:sz w:val="22"/>
        </w:rPr>
        <w:t xml:space="preserve"> and Implications</w:t>
      </w:r>
    </w:p>
    <w:p w14:paraId="4A51A613" w14:textId="384E8B2E" w:rsidR="00290FFD" w:rsidRPr="006454B5" w:rsidRDefault="005F62B1" w:rsidP="000C7544">
      <w:pPr>
        <w:spacing w:before="120" w:after="120"/>
        <w:ind w:firstLine="720"/>
        <w:contextualSpacing/>
        <w:rPr>
          <w:rFonts w:ascii="Arial" w:hAnsi="Arial" w:cs="Arial"/>
          <w:sz w:val="22"/>
        </w:rPr>
      </w:pPr>
      <w:r w:rsidRPr="006454B5">
        <w:rPr>
          <w:rFonts w:ascii="Arial" w:hAnsi="Arial" w:cs="Arial"/>
          <w:spacing w:val="-1"/>
          <w:sz w:val="22"/>
        </w:rPr>
        <w:t>Results</w:t>
      </w:r>
      <w:r w:rsidRPr="006454B5">
        <w:rPr>
          <w:rFonts w:ascii="Arial" w:hAnsi="Arial" w:cs="Arial"/>
          <w:spacing w:val="-5"/>
          <w:sz w:val="22"/>
        </w:rPr>
        <w:t xml:space="preserve"> </w:t>
      </w:r>
      <w:r w:rsidRPr="006454B5">
        <w:rPr>
          <w:rFonts w:ascii="Arial" w:hAnsi="Arial" w:cs="Arial"/>
          <w:spacing w:val="-1"/>
          <w:sz w:val="22"/>
        </w:rPr>
        <w:t>from</w:t>
      </w:r>
      <w:r w:rsidRPr="006454B5">
        <w:rPr>
          <w:rFonts w:ascii="Arial" w:hAnsi="Arial" w:cs="Arial"/>
          <w:spacing w:val="-5"/>
          <w:sz w:val="22"/>
        </w:rPr>
        <w:t xml:space="preserve"> </w:t>
      </w:r>
      <w:r w:rsidRPr="006454B5">
        <w:rPr>
          <w:rFonts w:ascii="Arial" w:hAnsi="Arial" w:cs="Arial"/>
          <w:sz w:val="22"/>
        </w:rPr>
        <w:t>the</w:t>
      </w:r>
      <w:r w:rsidRPr="006454B5">
        <w:rPr>
          <w:rFonts w:ascii="Arial" w:hAnsi="Arial" w:cs="Arial"/>
          <w:spacing w:val="-6"/>
          <w:sz w:val="22"/>
        </w:rPr>
        <w:t xml:space="preserve"> </w:t>
      </w:r>
      <w:r w:rsidRPr="006454B5">
        <w:rPr>
          <w:rFonts w:ascii="Arial" w:hAnsi="Arial" w:cs="Arial"/>
          <w:spacing w:val="-1"/>
          <w:sz w:val="22"/>
        </w:rPr>
        <w:t>current</w:t>
      </w:r>
      <w:r w:rsidRPr="006454B5">
        <w:rPr>
          <w:rFonts w:ascii="Arial" w:hAnsi="Arial" w:cs="Arial"/>
          <w:spacing w:val="-5"/>
          <w:sz w:val="22"/>
        </w:rPr>
        <w:t xml:space="preserve"> </w:t>
      </w:r>
      <w:r w:rsidRPr="006454B5">
        <w:rPr>
          <w:rFonts w:ascii="Arial" w:hAnsi="Arial" w:cs="Arial"/>
          <w:sz w:val="22"/>
        </w:rPr>
        <w:t>study</w:t>
      </w:r>
      <w:r w:rsidRPr="006454B5">
        <w:rPr>
          <w:rFonts w:ascii="Arial" w:hAnsi="Arial" w:cs="Arial"/>
          <w:spacing w:val="-5"/>
          <w:sz w:val="22"/>
        </w:rPr>
        <w:t xml:space="preserve"> </w:t>
      </w:r>
      <w:r w:rsidRPr="006454B5">
        <w:rPr>
          <w:rFonts w:ascii="Arial" w:hAnsi="Arial" w:cs="Arial"/>
          <w:spacing w:val="-1"/>
          <w:sz w:val="22"/>
        </w:rPr>
        <w:t>are</w:t>
      </w:r>
      <w:r w:rsidRPr="006454B5">
        <w:rPr>
          <w:rFonts w:ascii="Arial" w:hAnsi="Arial" w:cs="Arial"/>
          <w:spacing w:val="-6"/>
          <w:sz w:val="22"/>
        </w:rPr>
        <w:t xml:space="preserve"> </w:t>
      </w:r>
      <w:r w:rsidRPr="006454B5">
        <w:rPr>
          <w:rFonts w:ascii="Arial" w:hAnsi="Arial" w:cs="Arial"/>
          <w:spacing w:val="-1"/>
          <w:sz w:val="22"/>
        </w:rPr>
        <w:t>complex</w:t>
      </w:r>
      <w:r w:rsidRPr="006454B5">
        <w:rPr>
          <w:rFonts w:ascii="Arial" w:hAnsi="Arial" w:cs="Arial"/>
          <w:spacing w:val="-4"/>
          <w:sz w:val="22"/>
        </w:rPr>
        <w:t xml:space="preserve"> </w:t>
      </w:r>
      <w:r w:rsidRPr="006454B5">
        <w:rPr>
          <w:rFonts w:ascii="Arial" w:hAnsi="Arial" w:cs="Arial"/>
          <w:sz w:val="22"/>
        </w:rPr>
        <w:t>and</w:t>
      </w:r>
      <w:r w:rsidRPr="006454B5">
        <w:rPr>
          <w:rFonts w:ascii="Arial" w:hAnsi="Arial" w:cs="Arial"/>
          <w:spacing w:val="-5"/>
          <w:sz w:val="22"/>
        </w:rPr>
        <w:t xml:space="preserve"> </w:t>
      </w:r>
      <w:r w:rsidRPr="006454B5">
        <w:rPr>
          <w:rFonts w:ascii="Arial" w:hAnsi="Arial" w:cs="Arial"/>
          <w:spacing w:val="-1"/>
          <w:sz w:val="22"/>
        </w:rPr>
        <w:t>multifaceted.</w:t>
      </w:r>
      <w:r w:rsidRPr="006454B5">
        <w:rPr>
          <w:rFonts w:ascii="Arial" w:hAnsi="Arial" w:cs="Arial"/>
          <w:spacing w:val="-6"/>
          <w:sz w:val="22"/>
        </w:rPr>
        <w:t xml:space="preserve"> </w:t>
      </w:r>
      <w:r w:rsidRPr="006454B5">
        <w:rPr>
          <w:rFonts w:ascii="Arial" w:hAnsi="Arial" w:cs="Arial"/>
          <w:spacing w:val="-1"/>
          <w:sz w:val="22"/>
        </w:rPr>
        <w:t>However,</w:t>
      </w:r>
      <w:r w:rsidRPr="006454B5">
        <w:rPr>
          <w:rFonts w:ascii="Arial" w:hAnsi="Arial" w:cs="Arial"/>
          <w:spacing w:val="-6"/>
          <w:sz w:val="22"/>
        </w:rPr>
        <w:t xml:space="preserve"> </w:t>
      </w:r>
      <w:r w:rsidRPr="006454B5">
        <w:rPr>
          <w:rFonts w:ascii="Arial" w:hAnsi="Arial" w:cs="Arial"/>
          <w:spacing w:val="-1"/>
          <w:sz w:val="22"/>
        </w:rPr>
        <w:t>encouraging</w:t>
      </w:r>
      <w:r w:rsidRPr="006454B5">
        <w:rPr>
          <w:rFonts w:ascii="Arial" w:hAnsi="Arial" w:cs="Arial"/>
          <w:spacing w:val="71"/>
          <w:w w:val="99"/>
          <w:sz w:val="22"/>
        </w:rPr>
        <w:t xml:space="preserve"> </w:t>
      </w:r>
      <w:r w:rsidRPr="006454B5">
        <w:rPr>
          <w:rFonts w:ascii="Arial" w:hAnsi="Arial" w:cs="Arial"/>
          <w:sz w:val="22"/>
        </w:rPr>
        <w:t>signs</w:t>
      </w:r>
      <w:r w:rsidRPr="006454B5">
        <w:rPr>
          <w:rFonts w:ascii="Arial" w:hAnsi="Arial" w:cs="Arial"/>
          <w:spacing w:val="-5"/>
          <w:sz w:val="22"/>
        </w:rPr>
        <w:t xml:space="preserve"> </w:t>
      </w:r>
      <w:r w:rsidRPr="006454B5">
        <w:rPr>
          <w:rFonts w:ascii="Arial" w:hAnsi="Arial" w:cs="Arial"/>
          <w:spacing w:val="-1"/>
          <w:sz w:val="22"/>
        </w:rPr>
        <w:t>present.</w:t>
      </w:r>
      <w:r w:rsidRPr="006454B5">
        <w:rPr>
          <w:rFonts w:ascii="Arial" w:hAnsi="Arial" w:cs="Arial"/>
          <w:spacing w:val="-7"/>
          <w:sz w:val="22"/>
        </w:rPr>
        <w:t xml:space="preserve"> </w:t>
      </w:r>
      <w:r w:rsidRPr="006454B5">
        <w:rPr>
          <w:rFonts w:ascii="Arial" w:hAnsi="Arial" w:cs="Arial"/>
          <w:spacing w:val="-1"/>
          <w:sz w:val="22"/>
        </w:rPr>
        <w:t>Principally,</w:t>
      </w:r>
      <w:r w:rsidRPr="006454B5">
        <w:rPr>
          <w:rFonts w:ascii="Arial" w:hAnsi="Arial" w:cs="Arial"/>
          <w:spacing w:val="-7"/>
          <w:sz w:val="22"/>
        </w:rPr>
        <w:t xml:space="preserve"> </w:t>
      </w:r>
      <w:r w:rsidRPr="006454B5">
        <w:rPr>
          <w:rFonts w:ascii="Arial" w:hAnsi="Arial" w:cs="Arial"/>
          <w:sz w:val="22"/>
        </w:rPr>
        <w:t>it</w:t>
      </w:r>
      <w:r w:rsidRPr="006454B5">
        <w:rPr>
          <w:rFonts w:ascii="Arial" w:hAnsi="Arial" w:cs="Arial"/>
          <w:spacing w:val="-6"/>
          <w:sz w:val="22"/>
        </w:rPr>
        <w:t xml:space="preserve"> </w:t>
      </w:r>
      <w:r w:rsidRPr="006454B5">
        <w:rPr>
          <w:rFonts w:ascii="Arial" w:hAnsi="Arial" w:cs="Arial"/>
          <w:sz w:val="22"/>
        </w:rPr>
        <w:t>would</w:t>
      </w:r>
      <w:r w:rsidRPr="006454B5">
        <w:rPr>
          <w:rFonts w:ascii="Arial" w:hAnsi="Arial" w:cs="Arial"/>
          <w:spacing w:val="-6"/>
          <w:sz w:val="22"/>
        </w:rPr>
        <w:t xml:space="preserve"> </w:t>
      </w:r>
      <w:r w:rsidRPr="006454B5">
        <w:rPr>
          <w:rFonts w:ascii="Arial" w:hAnsi="Arial" w:cs="Arial"/>
          <w:spacing w:val="-1"/>
          <w:sz w:val="22"/>
        </w:rPr>
        <w:t>appear</w:t>
      </w:r>
      <w:r w:rsidRPr="006454B5">
        <w:rPr>
          <w:rFonts w:ascii="Arial" w:hAnsi="Arial" w:cs="Arial"/>
          <w:spacing w:val="-7"/>
          <w:sz w:val="22"/>
        </w:rPr>
        <w:t xml:space="preserve"> </w:t>
      </w:r>
      <w:r w:rsidRPr="006454B5">
        <w:rPr>
          <w:rFonts w:ascii="Arial" w:hAnsi="Arial" w:cs="Arial"/>
          <w:sz w:val="22"/>
        </w:rPr>
        <w:t>that</w:t>
      </w:r>
      <w:r w:rsidRPr="006454B5">
        <w:rPr>
          <w:rFonts w:ascii="Arial" w:hAnsi="Arial" w:cs="Arial"/>
          <w:spacing w:val="-7"/>
          <w:sz w:val="22"/>
        </w:rPr>
        <w:t xml:space="preserve"> </w:t>
      </w:r>
      <w:r w:rsidRPr="006454B5">
        <w:rPr>
          <w:rFonts w:ascii="Arial" w:hAnsi="Arial" w:cs="Arial"/>
          <w:sz w:val="22"/>
        </w:rPr>
        <w:t>many</w:t>
      </w:r>
      <w:r w:rsidRPr="006454B5">
        <w:rPr>
          <w:rFonts w:ascii="Arial" w:hAnsi="Arial" w:cs="Arial"/>
          <w:spacing w:val="-6"/>
          <w:sz w:val="22"/>
        </w:rPr>
        <w:t xml:space="preserve"> </w:t>
      </w:r>
      <w:r w:rsidRPr="006454B5">
        <w:rPr>
          <w:rFonts w:ascii="Arial" w:hAnsi="Arial" w:cs="Arial"/>
          <w:spacing w:val="-1"/>
          <w:sz w:val="22"/>
        </w:rPr>
        <w:t>of</w:t>
      </w:r>
      <w:r w:rsidRPr="006454B5">
        <w:rPr>
          <w:rFonts w:ascii="Arial" w:hAnsi="Arial" w:cs="Arial"/>
          <w:spacing w:val="-6"/>
          <w:sz w:val="22"/>
        </w:rPr>
        <w:t xml:space="preserve"> </w:t>
      </w:r>
      <w:r w:rsidRPr="006454B5">
        <w:rPr>
          <w:rFonts w:ascii="Arial" w:hAnsi="Arial" w:cs="Arial"/>
          <w:sz w:val="22"/>
        </w:rPr>
        <w:t>the</w:t>
      </w:r>
      <w:r w:rsidRPr="006454B5">
        <w:rPr>
          <w:rFonts w:ascii="Arial" w:hAnsi="Arial" w:cs="Arial"/>
          <w:spacing w:val="-7"/>
          <w:sz w:val="22"/>
        </w:rPr>
        <w:t xml:space="preserve"> </w:t>
      </w:r>
      <w:r w:rsidRPr="006454B5">
        <w:rPr>
          <w:rFonts w:ascii="Arial" w:hAnsi="Arial" w:cs="Arial"/>
          <w:spacing w:val="-1"/>
          <w:sz w:val="22"/>
        </w:rPr>
        <w:t>predictive</w:t>
      </w:r>
      <w:r w:rsidRPr="006454B5">
        <w:rPr>
          <w:rFonts w:ascii="Arial" w:hAnsi="Arial" w:cs="Arial"/>
          <w:spacing w:val="-7"/>
          <w:sz w:val="22"/>
        </w:rPr>
        <w:t xml:space="preserve"> </w:t>
      </w:r>
      <w:r w:rsidRPr="006454B5">
        <w:rPr>
          <w:rFonts w:ascii="Arial" w:hAnsi="Arial" w:cs="Arial"/>
          <w:spacing w:val="-1"/>
          <w:sz w:val="22"/>
        </w:rPr>
        <w:t>characteristics identified</w:t>
      </w:r>
      <w:r w:rsidRPr="006454B5">
        <w:rPr>
          <w:rFonts w:ascii="Arial" w:hAnsi="Arial" w:cs="Arial"/>
          <w:spacing w:val="-7"/>
          <w:sz w:val="22"/>
        </w:rPr>
        <w:t xml:space="preserve"> </w:t>
      </w:r>
      <w:r w:rsidRPr="006454B5">
        <w:rPr>
          <w:rFonts w:ascii="Arial" w:hAnsi="Arial" w:cs="Arial"/>
          <w:sz w:val="22"/>
        </w:rPr>
        <w:t>in</w:t>
      </w:r>
      <w:r w:rsidRPr="006454B5">
        <w:rPr>
          <w:rFonts w:ascii="Arial" w:hAnsi="Arial" w:cs="Arial"/>
          <w:spacing w:val="-7"/>
          <w:sz w:val="22"/>
        </w:rPr>
        <w:t xml:space="preserve"> </w:t>
      </w:r>
      <w:r w:rsidRPr="006454B5">
        <w:rPr>
          <w:rFonts w:ascii="Arial" w:hAnsi="Arial" w:cs="Arial"/>
          <w:spacing w:val="-1"/>
          <w:sz w:val="22"/>
        </w:rPr>
        <w:t>previous</w:t>
      </w:r>
      <w:r w:rsidRPr="006454B5">
        <w:rPr>
          <w:rFonts w:ascii="Arial" w:hAnsi="Arial" w:cs="Arial"/>
          <w:spacing w:val="-5"/>
          <w:sz w:val="22"/>
        </w:rPr>
        <w:t xml:space="preserve"> </w:t>
      </w:r>
      <w:r w:rsidRPr="006454B5">
        <w:rPr>
          <w:rFonts w:ascii="Arial" w:hAnsi="Arial" w:cs="Arial"/>
          <w:spacing w:val="-1"/>
          <w:sz w:val="22"/>
        </w:rPr>
        <w:t>studies</w:t>
      </w:r>
      <w:r w:rsidRPr="006454B5">
        <w:rPr>
          <w:rFonts w:ascii="Arial" w:hAnsi="Arial" w:cs="Arial"/>
          <w:spacing w:val="-6"/>
          <w:sz w:val="22"/>
        </w:rPr>
        <w:t xml:space="preserve"> </w:t>
      </w:r>
      <w:r w:rsidRPr="006454B5">
        <w:rPr>
          <w:rFonts w:ascii="Arial" w:hAnsi="Arial" w:cs="Arial"/>
          <w:spacing w:val="-1"/>
          <w:sz w:val="22"/>
        </w:rPr>
        <w:t>concerning</w:t>
      </w:r>
      <w:r w:rsidRPr="006454B5">
        <w:rPr>
          <w:rFonts w:ascii="Arial" w:hAnsi="Arial" w:cs="Arial"/>
          <w:spacing w:val="-7"/>
          <w:sz w:val="22"/>
        </w:rPr>
        <w:t xml:space="preserve"> </w:t>
      </w:r>
      <w:r w:rsidRPr="006454B5">
        <w:rPr>
          <w:rFonts w:ascii="Arial" w:hAnsi="Arial" w:cs="Arial"/>
          <w:sz w:val="22"/>
        </w:rPr>
        <w:t>the</w:t>
      </w:r>
      <w:r w:rsidRPr="006454B5">
        <w:rPr>
          <w:rFonts w:ascii="Arial" w:hAnsi="Arial" w:cs="Arial"/>
          <w:spacing w:val="-7"/>
          <w:sz w:val="22"/>
        </w:rPr>
        <w:t xml:space="preserve"> </w:t>
      </w:r>
      <w:r w:rsidRPr="006454B5">
        <w:rPr>
          <w:rFonts w:ascii="Arial" w:hAnsi="Arial" w:cs="Arial"/>
          <w:spacing w:val="-1"/>
          <w:sz w:val="22"/>
        </w:rPr>
        <w:t>demographic</w:t>
      </w:r>
      <w:r w:rsidRPr="006454B5">
        <w:rPr>
          <w:rFonts w:ascii="Arial" w:hAnsi="Arial" w:cs="Arial"/>
          <w:spacing w:val="-6"/>
          <w:sz w:val="22"/>
        </w:rPr>
        <w:t xml:space="preserve"> </w:t>
      </w:r>
      <w:r w:rsidRPr="006454B5">
        <w:rPr>
          <w:rFonts w:ascii="Arial" w:hAnsi="Arial" w:cs="Arial"/>
          <w:spacing w:val="-1"/>
          <w:sz w:val="22"/>
        </w:rPr>
        <w:t>makeup</w:t>
      </w:r>
      <w:r w:rsidRPr="006454B5">
        <w:rPr>
          <w:rFonts w:ascii="Arial" w:hAnsi="Arial" w:cs="Arial"/>
          <w:spacing w:val="-6"/>
          <w:sz w:val="22"/>
        </w:rPr>
        <w:t xml:space="preserve"> </w:t>
      </w:r>
      <w:r w:rsidRPr="006454B5">
        <w:rPr>
          <w:rFonts w:ascii="Arial" w:hAnsi="Arial" w:cs="Arial"/>
          <w:sz w:val="22"/>
        </w:rPr>
        <w:t>and</w:t>
      </w:r>
      <w:r w:rsidRPr="006454B5">
        <w:rPr>
          <w:rFonts w:ascii="Arial" w:hAnsi="Arial" w:cs="Arial"/>
          <w:spacing w:val="-7"/>
          <w:sz w:val="22"/>
        </w:rPr>
        <w:t xml:space="preserve"> </w:t>
      </w:r>
      <w:r w:rsidRPr="006454B5">
        <w:rPr>
          <w:rFonts w:ascii="Arial" w:hAnsi="Arial" w:cs="Arial"/>
          <w:spacing w:val="-1"/>
          <w:sz w:val="22"/>
        </w:rPr>
        <w:t>behaviour</w:t>
      </w:r>
      <w:r w:rsidRPr="006454B5">
        <w:rPr>
          <w:rFonts w:ascii="Arial" w:hAnsi="Arial" w:cs="Arial"/>
          <w:spacing w:val="-8"/>
          <w:sz w:val="22"/>
        </w:rPr>
        <w:t xml:space="preserve"> </w:t>
      </w:r>
      <w:r w:rsidRPr="006454B5">
        <w:rPr>
          <w:rFonts w:ascii="Arial" w:hAnsi="Arial" w:cs="Arial"/>
          <w:spacing w:val="-1"/>
          <w:sz w:val="22"/>
        </w:rPr>
        <w:t>of</w:t>
      </w:r>
      <w:r w:rsidRPr="006454B5">
        <w:rPr>
          <w:rFonts w:ascii="Arial" w:hAnsi="Arial" w:cs="Arial"/>
          <w:spacing w:val="-7"/>
          <w:sz w:val="22"/>
        </w:rPr>
        <w:t xml:space="preserve"> </w:t>
      </w:r>
      <w:r w:rsidRPr="006454B5">
        <w:rPr>
          <w:rFonts w:ascii="Arial" w:hAnsi="Arial" w:cs="Arial"/>
          <w:sz w:val="22"/>
        </w:rPr>
        <w:t xml:space="preserve">victims </w:t>
      </w:r>
      <w:r w:rsidR="005D5167" w:rsidRPr="006454B5">
        <w:rPr>
          <w:rFonts w:ascii="Arial" w:hAnsi="Arial" w:cs="Arial"/>
          <w:sz w:val="22"/>
        </w:rPr>
        <w:t>(e.g.</w:t>
      </w:r>
      <w:r w:rsidR="00EB503D" w:rsidRPr="006454B5">
        <w:rPr>
          <w:rFonts w:ascii="Arial" w:hAnsi="Arial" w:cs="Arial"/>
          <w:sz w:val="22"/>
        </w:rPr>
        <w:t xml:space="preserve">, </w:t>
      </w:r>
      <w:r w:rsidR="005D1D1D" w:rsidRPr="006454B5">
        <w:rPr>
          <w:rFonts w:ascii="Arial" w:hAnsi="Arial" w:cs="Arial"/>
          <w:sz w:val="22"/>
        </w:rPr>
        <w:t>mental illness, consumption of alcohol</w:t>
      </w:r>
      <w:r w:rsidR="005D5167" w:rsidRPr="006454B5">
        <w:rPr>
          <w:rFonts w:ascii="Arial" w:hAnsi="Arial" w:cs="Arial"/>
          <w:sz w:val="22"/>
        </w:rPr>
        <w:t xml:space="preserve">) </w:t>
      </w:r>
      <w:r w:rsidR="005154D0" w:rsidRPr="006454B5">
        <w:rPr>
          <w:rFonts w:ascii="Arial" w:hAnsi="Arial" w:cs="Arial"/>
          <w:sz w:val="22"/>
        </w:rPr>
        <w:t>no</w:t>
      </w:r>
      <w:r w:rsidR="005154D0" w:rsidRPr="006454B5">
        <w:rPr>
          <w:rFonts w:ascii="Arial" w:hAnsi="Arial" w:cs="Arial"/>
          <w:spacing w:val="-5"/>
          <w:sz w:val="22"/>
        </w:rPr>
        <w:t xml:space="preserve"> </w:t>
      </w:r>
      <w:r w:rsidR="005154D0" w:rsidRPr="006454B5">
        <w:rPr>
          <w:rFonts w:ascii="Arial" w:hAnsi="Arial" w:cs="Arial"/>
          <w:spacing w:val="-1"/>
          <w:sz w:val="22"/>
        </w:rPr>
        <w:t>longer</w:t>
      </w:r>
      <w:r w:rsidR="005154D0" w:rsidRPr="006454B5">
        <w:rPr>
          <w:rFonts w:ascii="Arial" w:hAnsi="Arial" w:cs="Arial"/>
          <w:spacing w:val="-5"/>
          <w:sz w:val="22"/>
        </w:rPr>
        <w:t xml:space="preserve"> </w:t>
      </w:r>
      <w:r w:rsidR="005D1D1D" w:rsidRPr="006454B5">
        <w:rPr>
          <w:rFonts w:ascii="Arial" w:hAnsi="Arial" w:cs="Arial"/>
          <w:spacing w:val="-1"/>
          <w:sz w:val="22"/>
        </w:rPr>
        <w:t>appear</w:t>
      </w:r>
      <w:r w:rsidRPr="006454B5">
        <w:rPr>
          <w:rFonts w:ascii="Arial" w:hAnsi="Arial" w:cs="Arial"/>
          <w:spacing w:val="-6"/>
          <w:sz w:val="22"/>
        </w:rPr>
        <w:t xml:space="preserve"> </w:t>
      </w:r>
      <w:r w:rsidRPr="006454B5">
        <w:rPr>
          <w:rFonts w:ascii="Arial" w:hAnsi="Arial" w:cs="Arial"/>
          <w:spacing w:val="-1"/>
          <w:sz w:val="22"/>
        </w:rPr>
        <w:t>influential</w:t>
      </w:r>
      <w:r w:rsidRPr="006454B5">
        <w:rPr>
          <w:rFonts w:ascii="Arial" w:hAnsi="Arial" w:cs="Arial"/>
          <w:spacing w:val="-6"/>
          <w:sz w:val="22"/>
        </w:rPr>
        <w:t xml:space="preserve"> </w:t>
      </w:r>
      <w:r w:rsidRPr="006454B5">
        <w:rPr>
          <w:rFonts w:ascii="Arial" w:hAnsi="Arial" w:cs="Arial"/>
          <w:spacing w:val="1"/>
          <w:sz w:val="22"/>
        </w:rPr>
        <w:t>in</w:t>
      </w:r>
      <w:r w:rsidRPr="006454B5">
        <w:rPr>
          <w:rFonts w:ascii="Arial" w:hAnsi="Arial" w:cs="Arial"/>
          <w:spacing w:val="-5"/>
          <w:sz w:val="22"/>
        </w:rPr>
        <w:t xml:space="preserve"> </w:t>
      </w:r>
      <w:r w:rsidRPr="006454B5">
        <w:rPr>
          <w:rFonts w:ascii="Arial" w:hAnsi="Arial" w:cs="Arial"/>
          <w:sz w:val="22"/>
        </w:rPr>
        <w:t>case</w:t>
      </w:r>
      <w:r w:rsidRPr="006454B5">
        <w:rPr>
          <w:rFonts w:ascii="Arial" w:hAnsi="Arial" w:cs="Arial"/>
          <w:spacing w:val="-6"/>
          <w:sz w:val="22"/>
        </w:rPr>
        <w:t xml:space="preserve"> </w:t>
      </w:r>
      <w:r w:rsidRPr="006454B5">
        <w:rPr>
          <w:rFonts w:ascii="Arial" w:hAnsi="Arial" w:cs="Arial"/>
          <w:spacing w:val="-1"/>
          <w:sz w:val="22"/>
        </w:rPr>
        <w:t>progression among this sample.</w:t>
      </w:r>
      <w:r w:rsidRPr="006454B5">
        <w:rPr>
          <w:rFonts w:ascii="Arial" w:hAnsi="Arial" w:cs="Arial"/>
          <w:spacing w:val="-6"/>
          <w:sz w:val="22"/>
        </w:rPr>
        <w:t xml:space="preserve"> </w:t>
      </w:r>
      <w:r w:rsidRPr="006454B5">
        <w:rPr>
          <w:rFonts w:ascii="Arial" w:hAnsi="Arial" w:cs="Arial"/>
          <w:spacing w:val="-1"/>
          <w:sz w:val="22"/>
        </w:rPr>
        <w:t>This</w:t>
      </w:r>
      <w:r w:rsidRPr="006454B5">
        <w:rPr>
          <w:rFonts w:ascii="Arial" w:hAnsi="Arial" w:cs="Arial"/>
          <w:spacing w:val="-4"/>
          <w:sz w:val="22"/>
        </w:rPr>
        <w:t xml:space="preserve"> </w:t>
      </w:r>
      <w:r w:rsidR="00290FFD" w:rsidRPr="006454B5">
        <w:rPr>
          <w:rFonts w:ascii="Arial" w:hAnsi="Arial" w:cs="Arial"/>
          <w:sz w:val="22"/>
        </w:rPr>
        <w:t>finding</w:t>
      </w:r>
      <w:r w:rsidRPr="006454B5">
        <w:rPr>
          <w:rFonts w:ascii="Arial" w:hAnsi="Arial" w:cs="Arial"/>
          <w:spacing w:val="-7"/>
          <w:sz w:val="22"/>
        </w:rPr>
        <w:t xml:space="preserve"> </w:t>
      </w:r>
      <w:r w:rsidRPr="006454B5">
        <w:rPr>
          <w:rFonts w:ascii="Arial" w:hAnsi="Arial" w:cs="Arial"/>
          <w:spacing w:val="-1"/>
          <w:sz w:val="22"/>
        </w:rPr>
        <w:t>signifies</w:t>
      </w:r>
      <w:r w:rsidRPr="006454B5">
        <w:rPr>
          <w:rFonts w:ascii="Arial" w:hAnsi="Arial" w:cs="Arial"/>
          <w:spacing w:val="-6"/>
          <w:sz w:val="22"/>
        </w:rPr>
        <w:t xml:space="preserve"> </w:t>
      </w:r>
      <w:r w:rsidRPr="006454B5">
        <w:rPr>
          <w:rFonts w:ascii="Arial" w:hAnsi="Arial" w:cs="Arial"/>
          <w:sz w:val="22"/>
        </w:rPr>
        <w:t>a</w:t>
      </w:r>
      <w:r w:rsidRPr="006454B5">
        <w:rPr>
          <w:rFonts w:ascii="Arial" w:hAnsi="Arial" w:cs="Arial"/>
          <w:spacing w:val="-4"/>
          <w:sz w:val="22"/>
        </w:rPr>
        <w:t xml:space="preserve"> </w:t>
      </w:r>
      <w:r w:rsidRPr="006454B5">
        <w:rPr>
          <w:rFonts w:ascii="Arial" w:hAnsi="Arial" w:cs="Arial"/>
          <w:spacing w:val="-1"/>
          <w:sz w:val="22"/>
        </w:rPr>
        <w:t>potential</w:t>
      </w:r>
      <w:r w:rsidRPr="006454B5">
        <w:rPr>
          <w:rFonts w:ascii="Arial" w:hAnsi="Arial" w:cs="Arial"/>
          <w:sz w:val="22"/>
        </w:rPr>
        <w:t xml:space="preserve"> </w:t>
      </w:r>
      <w:r w:rsidRPr="006454B5">
        <w:rPr>
          <w:rFonts w:ascii="Arial" w:hAnsi="Arial" w:cs="Arial"/>
          <w:spacing w:val="-1"/>
          <w:sz w:val="22"/>
        </w:rPr>
        <w:t>lessening</w:t>
      </w:r>
      <w:r w:rsidRPr="006454B5">
        <w:rPr>
          <w:rFonts w:ascii="Arial" w:hAnsi="Arial" w:cs="Arial"/>
          <w:spacing w:val="-6"/>
          <w:sz w:val="22"/>
        </w:rPr>
        <w:t xml:space="preserve"> </w:t>
      </w:r>
      <w:r w:rsidRPr="006454B5">
        <w:rPr>
          <w:rFonts w:ascii="Arial" w:hAnsi="Arial" w:cs="Arial"/>
          <w:spacing w:val="-1"/>
          <w:sz w:val="22"/>
        </w:rPr>
        <w:t>of</w:t>
      </w:r>
      <w:r w:rsidRPr="006454B5">
        <w:rPr>
          <w:rFonts w:ascii="Arial" w:hAnsi="Arial" w:cs="Arial"/>
          <w:spacing w:val="-5"/>
          <w:sz w:val="22"/>
        </w:rPr>
        <w:t xml:space="preserve"> </w:t>
      </w:r>
      <w:r w:rsidRPr="006454B5">
        <w:rPr>
          <w:rFonts w:ascii="Arial" w:hAnsi="Arial" w:cs="Arial"/>
          <w:sz w:val="22"/>
        </w:rPr>
        <w:t>the</w:t>
      </w:r>
      <w:r w:rsidRPr="006454B5">
        <w:rPr>
          <w:rFonts w:ascii="Arial" w:hAnsi="Arial" w:cs="Arial"/>
          <w:spacing w:val="-7"/>
          <w:sz w:val="22"/>
        </w:rPr>
        <w:t xml:space="preserve"> </w:t>
      </w:r>
      <w:r w:rsidRPr="006454B5">
        <w:rPr>
          <w:rFonts w:ascii="Arial" w:hAnsi="Arial" w:cs="Arial"/>
          <w:sz w:val="22"/>
        </w:rPr>
        <w:t>impact</w:t>
      </w:r>
      <w:r w:rsidRPr="006454B5">
        <w:rPr>
          <w:rFonts w:ascii="Arial" w:hAnsi="Arial" w:cs="Arial"/>
          <w:spacing w:val="-7"/>
          <w:sz w:val="22"/>
        </w:rPr>
        <w:t xml:space="preserve"> </w:t>
      </w:r>
      <w:r w:rsidRPr="006454B5">
        <w:rPr>
          <w:rFonts w:ascii="Arial" w:hAnsi="Arial" w:cs="Arial"/>
          <w:spacing w:val="-1"/>
          <w:sz w:val="22"/>
        </w:rPr>
        <w:t>of</w:t>
      </w:r>
      <w:r w:rsidRPr="006454B5">
        <w:rPr>
          <w:rFonts w:ascii="Arial" w:hAnsi="Arial" w:cs="Arial"/>
          <w:spacing w:val="-5"/>
          <w:sz w:val="22"/>
        </w:rPr>
        <w:t xml:space="preserve"> </w:t>
      </w:r>
      <w:r w:rsidRPr="006454B5">
        <w:rPr>
          <w:rFonts w:ascii="Arial" w:hAnsi="Arial" w:cs="Arial"/>
          <w:spacing w:val="-1"/>
          <w:sz w:val="22"/>
        </w:rPr>
        <w:t>damaging,</w:t>
      </w:r>
      <w:r w:rsidRPr="006454B5">
        <w:rPr>
          <w:rFonts w:ascii="Arial" w:hAnsi="Arial" w:cs="Arial"/>
          <w:spacing w:val="-7"/>
          <w:sz w:val="22"/>
        </w:rPr>
        <w:t xml:space="preserve"> </w:t>
      </w:r>
      <w:r w:rsidRPr="006454B5">
        <w:rPr>
          <w:rFonts w:ascii="Arial" w:hAnsi="Arial" w:cs="Arial"/>
          <w:spacing w:val="-1"/>
          <w:sz w:val="22"/>
        </w:rPr>
        <w:lastRenderedPageBreak/>
        <w:t>negative</w:t>
      </w:r>
      <w:r w:rsidRPr="006454B5">
        <w:rPr>
          <w:rFonts w:ascii="Arial" w:hAnsi="Arial" w:cs="Arial"/>
          <w:spacing w:val="-6"/>
          <w:sz w:val="22"/>
        </w:rPr>
        <w:t xml:space="preserve"> </w:t>
      </w:r>
      <w:r w:rsidRPr="006454B5">
        <w:rPr>
          <w:rFonts w:ascii="Arial" w:hAnsi="Arial" w:cs="Arial"/>
          <w:sz w:val="22"/>
        </w:rPr>
        <w:t>attitudes</w:t>
      </w:r>
      <w:r w:rsidRPr="006454B5">
        <w:rPr>
          <w:rFonts w:ascii="Arial" w:hAnsi="Arial" w:cs="Arial"/>
          <w:spacing w:val="-6"/>
          <w:sz w:val="22"/>
        </w:rPr>
        <w:t xml:space="preserve"> </w:t>
      </w:r>
      <w:r w:rsidRPr="006454B5">
        <w:rPr>
          <w:rFonts w:ascii="Arial" w:hAnsi="Arial" w:cs="Arial"/>
          <w:spacing w:val="-1"/>
          <w:sz w:val="22"/>
        </w:rPr>
        <w:t>held</w:t>
      </w:r>
      <w:r w:rsidRPr="006454B5">
        <w:rPr>
          <w:rFonts w:ascii="Arial" w:hAnsi="Arial" w:cs="Arial"/>
          <w:spacing w:val="-5"/>
          <w:sz w:val="22"/>
        </w:rPr>
        <w:t xml:space="preserve"> </w:t>
      </w:r>
      <w:r w:rsidRPr="006454B5">
        <w:rPr>
          <w:rFonts w:ascii="Arial" w:hAnsi="Arial" w:cs="Arial"/>
          <w:sz w:val="22"/>
        </w:rPr>
        <w:t>by</w:t>
      </w:r>
      <w:r w:rsidRPr="006454B5">
        <w:rPr>
          <w:rFonts w:ascii="Arial" w:hAnsi="Arial" w:cs="Arial"/>
          <w:spacing w:val="-6"/>
          <w:sz w:val="22"/>
        </w:rPr>
        <w:t xml:space="preserve"> </w:t>
      </w:r>
      <w:r w:rsidRPr="006454B5">
        <w:rPr>
          <w:rFonts w:ascii="Arial" w:hAnsi="Arial" w:cs="Arial"/>
          <w:spacing w:val="-1"/>
          <w:sz w:val="22"/>
        </w:rPr>
        <w:t>officers</w:t>
      </w:r>
      <w:r w:rsidRPr="006454B5">
        <w:rPr>
          <w:rFonts w:ascii="Arial" w:hAnsi="Arial" w:cs="Arial"/>
          <w:sz w:val="22"/>
        </w:rPr>
        <w:t xml:space="preserve"> </w:t>
      </w:r>
      <w:r w:rsidRPr="006454B5">
        <w:rPr>
          <w:rFonts w:ascii="Arial" w:hAnsi="Arial" w:cs="Arial"/>
          <w:spacing w:val="-1"/>
          <w:sz w:val="22"/>
        </w:rPr>
        <w:t>on</w:t>
      </w:r>
      <w:r w:rsidRPr="006454B5">
        <w:rPr>
          <w:rFonts w:ascii="Arial" w:hAnsi="Arial" w:cs="Arial"/>
          <w:spacing w:val="-8"/>
          <w:sz w:val="22"/>
        </w:rPr>
        <w:t xml:space="preserve"> </w:t>
      </w:r>
      <w:r w:rsidRPr="006454B5">
        <w:rPr>
          <w:rFonts w:ascii="Arial" w:hAnsi="Arial" w:cs="Arial"/>
          <w:sz w:val="22"/>
        </w:rPr>
        <w:t>the</w:t>
      </w:r>
      <w:r w:rsidRPr="006454B5">
        <w:rPr>
          <w:rFonts w:ascii="Arial" w:hAnsi="Arial" w:cs="Arial"/>
          <w:spacing w:val="-6"/>
          <w:sz w:val="22"/>
        </w:rPr>
        <w:t xml:space="preserve"> </w:t>
      </w:r>
      <w:r w:rsidRPr="006454B5">
        <w:rPr>
          <w:rFonts w:ascii="Arial" w:hAnsi="Arial" w:cs="Arial"/>
          <w:spacing w:val="-1"/>
          <w:sz w:val="22"/>
        </w:rPr>
        <w:t xml:space="preserve">investigation </w:t>
      </w:r>
      <w:r w:rsidRPr="006454B5">
        <w:rPr>
          <w:rFonts w:ascii="Arial" w:hAnsi="Arial" w:cs="Arial"/>
          <w:sz w:val="22"/>
        </w:rPr>
        <w:t>and</w:t>
      </w:r>
      <w:r w:rsidRPr="006454B5">
        <w:rPr>
          <w:rFonts w:ascii="Arial" w:hAnsi="Arial" w:cs="Arial"/>
          <w:spacing w:val="-4"/>
          <w:sz w:val="22"/>
        </w:rPr>
        <w:t xml:space="preserve"> </w:t>
      </w:r>
      <w:r w:rsidRPr="006454B5">
        <w:rPr>
          <w:rFonts w:ascii="Arial" w:hAnsi="Arial" w:cs="Arial"/>
          <w:spacing w:val="-1"/>
          <w:sz w:val="22"/>
        </w:rPr>
        <w:t>progression</w:t>
      </w:r>
      <w:r w:rsidRPr="006454B5">
        <w:rPr>
          <w:rFonts w:ascii="Arial" w:hAnsi="Arial" w:cs="Arial"/>
          <w:spacing w:val="-5"/>
          <w:sz w:val="22"/>
        </w:rPr>
        <w:t xml:space="preserve"> </w:t>
      </w:r>
      <w:r w:rsidRPr="006454B5">
        <w:rPr>
          <w:rFonts w:ascii="Arial" w:hAnsi="Arial" w:cs="Arial"/>
          <w:spacing w:val="-1"/>
          <w:sz w:val="22"/>
        </w:rPr>
        <w:t>of</w:t>
      </w:r>
      <w:r w:rsidRPr="006454B5">
        <w:rPr>
          <w:rFonts w:ascii="Arial" w:hAnsi="Arial" w:cs="Arial"/>
          <w:spacing w:val="-3"/>
          <w:sz w:val="22"/>
        </w:rPr>
        <w:t xml:space="preserve"> </w:t>
      </w:r>
      <w:r w:rsidRPr="006454B5">
        <w:rPr>
          <w:rFonts w:ascii="Arial" w:hAnsi="Arial" w:cs="Arial"/>
          <w:sz w:val="22"/>
        </w:rPr>
        <w:t>cases.</w:t>
      </w:r>
      <w:r w:rsidR="00F12A8F" w:rsidRPr="006454B5">
        <w:rPr>
          <w:rFonts w:ascii="Arial" w:hAnsi="Arial" w:cs="Arial"/>
          <w:spacing w:val="-5"/>
          <w:sz w:val="22"/>
        </w:rPr>
        <w:t xml:space="preserve"> </w:t>
      </w:r>
      <w:r w:rsidR="002C7AA7" w:rsidRPr="006454B5">
        <w:rPr>
          <w:rFonts w:ascii="Arial" w:hAnsi="Arial" w:cs="Arial"/>
          <w:spacing w:val="-5"/>
          <w:sz w:val="22"/>
        </w:rPr>
        <w:t>Not that variability in police judgments about cases have disappeared</w:t>
      </w:r>
      <w:r w:rsidR="005154D0" w:rsidRPr="006454B5">
        <w:rPr>
          <w:rFonts w:ascii="Arial" w:hAnsi="Arial" w:cs="Arial"/>
          <w:spacing w:val="-5"/>
          <w:sz w:val="22"/>
        </w:rPr>
        <w:t>;</w:t>
      </w:r>
      <w:r w:rsidR="00F12A8F" w:rsidRPr="006454B5">
        <w:rPr>
          <w:rFonts w:ascii="Arial" w:hAnsi="Arial" w:cs="Arial"/>
          <w:spacing w:val="-5"/>
          <w:sz w:val="22"/>
        </w:rPr>
        <w:t xml:space="preserve"> r</w:t>
      </w:r>
      <w:r w:rsidR="002C7AA7" w:rsidRPr="006454B5">
        <w:rPr>
          <w:rFonts w:ascii="Arial" w:hAnsi="Arial" w:cs="Arial"/>
          <w:spacing w:val="-5"/>
          <w:sz w:val="22"/>
        </w:rPr>
        <w:t>ather officers are no longer expressing personal disbelief</w:t>
      </w:r>
      <w:r w:rsidR="00F12A8F" w:rsidRPr="006454B5">
        <w:rPr>
          <w:rFonts w:ascii="Arial" w:hAnsi="Arial" w:cs="Arial"/>
          <w:spacing w:val="-5"/>
          <w:sz w:val="22"/>
        </w:rPr>
        <w:t>, but</w:t>
      </w:r>
      <w:r w:rsidR="002C7AA7" w:rsidRPr="006454B5">
        <w:rPr>
          <w:rFonts w:ascii="Arial" w:hAnsi="Arial" w:cs="Arial"/>
          <w:spacing w:val="-5"/>
          <w:sz w:val="22"/>
        </w:rPr>
        <w:t xml:space="preserve"> instead </w:t>
      </w:r>
      <w:r w:rsidR="00F12A8F" w:rsidRPr="006454B5">
        <w:rPr>
          <w:rFonts w:ascii="Arial" w:hAnsi="Arial" w:cs="Arial"/>
          <w:spacing w:val="-5"/>
          <w:sz w:val="22"/>
        </w:rPr>
        <w:t xml:space="preserve">they may be </w:t>
      </w:r>
      <w:r w:rsidR="002C7AA7" w:rsidRPr="006454B5">
        <w:rPr>
          <w:rFonts w:ascii="Arial" w:hAnsi="Arial" w:cs="Arial"/>
          <w:spacing w:val="-5"/>
          <w:sz w:val="22"/>
        </w:rPr>
        <w:t xml:space="preserve">suggesting difficulty convincing </w:t>
      </w:r>
      <w:r w:rsidR="00F12A8F" w:rsidRPr="006454B5">
        <w:rPr>
          <w:rFonts w:ascii="Arial" w:hAnsi="Arial" w:cs="Arial"/>
          <w:spacing w:val="-5"/>
          <w:sz w:val="22"/>
        </w:rPr>
        <w:t xml:space="preserve">populations </w:t>
      </w:r>
      <w:r w:rsidR="002C7AA7" w:rsidRPr="006454B5">
        <w:rPr>
          <w:rFonts w:ascii="Arial" w:hAnsi="Arial" w:cs="Arial"/>
          <w:spacing w:val="-5"/>
          <w:sz w:val="22"/>
        </w:rPr>
        <w:t xml:space="preserve">further </w:t>
      </w:r>
      <w:r w:rsidR="00F12A8F" w:rsidRPr="006454B5">
        <w:rPr>
          <w:rFonts w:ascii="Arial" w:hAnsi="Arial" w:cs="Arial"/>
          <w:spacing w:val="-5"/>
          <w:sz w:val="22"/>
        </w:rPr>
        <w:t>“</w:t>
      </w:r>
      <w:r w:rsidR="002C7AA7" w:rsidRPr="006454B5">
        <w:rPr>
          <w:rFonts w:ascii="Arial" w:hAnsi="Arial" w:cs="Arial"/>
          <w:spacing w:val="-5"/>
          <w:sz w:val="22"/>
        </w:rPr>
        <w:t>downstream</w:t>
      </w:r>
      <w:r w:rsidR="00F12A8F" w:rsidRPr="006454B5">
        <w:rPr>
          <w:rFonts w:ascii="Arial" w:hAnsi="Arial" w:cs="Arial"/>
          <w:spacing w:val="-5"/>
          <w:sz w:val="22"/>
        </w:rPr>
        <w:t xml:space="preserve">” in the criminal </w:t>
      </w:r>
      <w:r w:rsidR="000F2468" w:rsidRPr="006454B5">
        <w:rPr>
          <w:rFonts w:ascii="Arial" w:hAnsi="Arial" w:cs="Arial"/>
          <w:spacing w:val="-5"/>
          <w:sz w:val="22"/>
        </w:rPr>
        <w:t>justice</w:t>
      </w:r>
      <w:r w:rsidR="00F12A8F" w:rsidRPr="006454B5">
        <w:rPr>
          <w:rFonts w:ascii="Arial" w:hAnsi="Arial" w:cs="Arial"/>
          <w:spacing w:val="-5"/>
          <w:sz w:val="22"/>
        </w:rPr>
        <w:t xml:space="preserve"> process (</w:t>
      </w:r>
      <w:r w:rsidR="002C7AA7" w:rsidRPr="006454B5">
        <w:rPr>
          <w:rFonts w:ascii="Arial" w:hAnsi="Arial" w:cs="Arial"/>
          <w:spacing w:val="-5"/>
          <w:sz w:val="22"/>
        </w:rPr>
        <w:t>e.g., jurors</w:t>
      </w:r>
      <w:r w:rsidR="00F12A8F" w:rsidRPr="006454B5">
        <w:rPr>
          <w:rFonts w:ascii="Arial" w:hAnsi="Arial" w:cs="Arial"/>
          <w:spacing w:val="-5"/>
          <w:sz w:val="22"/>
        </w:rPr>
        <w:t>)</w:t>
      </w:r>
      <w:r w:rsidR="002C7AA7" w:rsidRPr="006454B5">
        <w:rPr>
          <w:rFonts w:ascii="Arial" w:hAnsi="Arial" w:cs="Arial"/>
          <w:spacing w:val="-5"/>
          <w:sz w:val="22"/>
        </w:rPr>
        <w:t xml:space="preserve">. </w:t>
      </w:r>
      <w:r w:rsidR="00F12A8F" w:rsidRPr="006454B5">
        <w:rPr>
          <w:rFonts w:ascii="Arial" w:hAnsi="Arial" w:cs="Arial"/>
          <w:spacing w:val="-1"/>
          <w:sz w:val="22"/>
        </w:rPr>
        <w:t>Moreover</w:t>
      </w:r>
      <w:r w:rsidRPr="006454B5">
        <w:rPr>
          <w:rFonts w:ascii="Arial" w:hAnsi="Arial" w:cs="Arial"/>
          <w:spacing w:val="-1"/>
          <w:sz w:val="22"/>
        </w:rPr>
        <w:t>,</w:t>
      </w:r>
      <w:r w:rsidRPr="006454B5">
        <w:rPr>
          <w:rFonts w:ascii="Arial" w:hAnsi="Arial" w:cs="Arial"/>
          <w:spacing w:val="-5"/>
          <w:sz w:val="22"/>
        </w:rPr>
        <w:t xml:space="preserve"> </w:t>
      </w:r>
      <w:r w:rsidRPr="006454B5">
        <w:rPr>
          <w:rFonts w:ascii="Arial" w:hAnsi="Arial" w:cs="Arial"/>
          <w:sz w:val="22"/>
        </w:rPr>
        <w:t>results</w:t>
      </w:r>
      <w:r w:rsidRPr="006454B5">
        <w:rPr>
          <w:rFonts w:ascii="Arial" w:hAnsi="Arial" w:cs="Arial"/>
          <w:spacing w:val="-2"/>
          <w:sz w:val="22"/>
        </w:rPr>
        <w:t xml:space="preserve"> </w:t>
      </w:r>
      <w:r w:rsidRPr="006454B5">
        <w:rPr>
          <w:rFonts w:ascii="Arial" w:hAnsi="Arial" w:cs="Arial"/>
          <w:spacing w:val="-1"/>
          <w:sz w:val="22"/>
        </w:rPr>
        <w:t>from</w:t>
      </w:r>
      <w:r w:rsidRPr="006454B5">
        <w:rPr>
          <w:rFonts w:ascii="Arial" w:hAnsi="Arial" w:cs="Arial"/>
          <w:spacing w:val="-4"/>
          <w:sz w:val="22"/>
        </w:rPr>
        <w:t xml:space="preserve"> </w:t>
      </w:r>
      <w:r w:rsidRPr="006454B5">
        <w:rPr>
          <w:rFonts w:ascii="Arial" w:hAnsi="Arial" w:cs="Arial"/>
          <w:sz w:val="22"/>
        </w:rPr>
        <w:t>this</w:t>
      </w:r>
      <w:r w:rsidRPr="006454B5">
        <w:rPr>
          <w:rFonts w:ascii="Arial" w:hAnsi="Arial" w:cs="Arial"/>
          <w:spacing w:val="-3"/>
          <w:sz w:val="22"/>
        </w:rPr>
        <w:t xml:space="preserve"> </w:t>
      </w:r>
      <w:r w:rsidRPr="006454B5">
        <w:rPr>
          <w:rFonts w:ascii="Arial" w:hAnsi="Arial" w:cs="Arial"/>
          <w:sz w:val="22"/>
        </w:rPr>
        <w:t>study</w:t>
      </w:r>
      <w:r w:rsidRPr="006454B5">
        <w:rPr>
          <w:rFonts w:ascii="Arial" w:hAnsi="Arial" w:cs="Arial"/>
          <w:spacing w:val="-6"/>
          <w:sz w:val="22"/>
        </w:rPr>
        <w:t xml:space="preserve"> </w:t>
      </w:r>
      <w:r w:rsidRPr="006454B5">
        <w:rPr>
          <w:rFonts w:ascii="Arial" w:hAnsi="Arial" w:cs="Arial"/>
          <w:sz w:val="22"/>
        </w:rPr>
        <w:t>also</w:t>
      </w:r>
      <w:r w:rsidRPr="006454B5">
        <w:rPr>
          <w:rFonts w:ascii="Arial" w:hAnsi="Arial" w:cs="Arial"/>
          <w:spacing w:val="-4"/>
          <w:sz w:val="22"/>
        </w:rPr>
        <w:t xml:space="preserve"> </w:t>
      </w:r>
      <w:r w:rsidRPr="006454B5">
        <w:rPr>
          <w:rFonts w:ascii="Arial" w:hAnsi="Arial" w:cs="Arial"/>
          <w:spacing w:val="-1"/>
          <w:sz w:val="22"/>
        </w:rPr>
        <w:t>show</w:t>
      </w:r>
      <w:r w:rsidRPr="006454B5">
        <w:rPr>
          <w:rFonts w:ascii="Arial" w:hAnsi="Arial" w:cs="Arial"/>
          <w:spacing w:val="-5"/>
          <w:sz w:val="22"/>
        </w:rPr>
        <w:t xml:space="preserve"> </w:t>
      </w:r>
      <w:r w:rsidRPr="006454B5">
        <w:rPr>
          <w:rFonts w:ascii="Arial" w:hAnsi="Arial" w:cs="Arial"/>
          <w:sz w:val="22"/>
        </w:rPr>
        <w:t>that</w:t>
      </w:r>
      <w:r w:rsidR="00F12A8F" w:rsidRPr="006454B5">
        <w:rPr>
          <w:rFonts w:ascii="Arial" w:hAnsi="Arial" w:cs="Arial"/>
          <w:spacing w:val="-1"/>
          <w:sz w:val="22"/>
        </w:rPr>
        <w:t xml:space="preserve"> the</w:t>
      </w:r>
      <w:r w:rsidRPr="006454B5">
        <w:rPr>
          <w:rFonts w:ascii="Arial" w:hAnsi="Arial" w:cs="Arial"/>
          <w:spacing w:val="-3"/>
          <w:sz w:val="22"/>
        </w:rPr>
        <w:t xml:space="preserve"> </w:t>
      </w:r>
      <w:r w:rsidRPr="006454B5">
        <w:rPr>
          <w:rFonts w:ascii="Arial" w:hAnsi="Arial" w:cs="Arial"/>
          <w:spacing w:val="-1"/>
          <w:sz w:val="22"/>
        </w:rPr>
        <w:t>absence</w:t>
      </w:r>
      <w:r w:rsidRPr="006454B5">
        <w:rPr>
          <w:rFonts w:ascii="Arial" w:hAnsi="Arial" w:cs="Arial"/>
          <w:spacing w:val="-5"/>
          <w:sz w:val="22"/>
        </w:rPr>
        <w:t xml:space="preserve"> </w:t>
      </w:r>
      <w:r w:rsidRPr="006454B5">
        <w:rPr>
          <w:rFonts w:ascii="Arial" w:hAnsi="Arial" w:cs="Arial"/>
          <w:spacing w:val="-1"/>
          <w:sz w:val="22"/>
        </w:rPr>
        <w:t>of</w:t>
      </w:r>
      <w:r w:rsidRPr="006454B5">
        <w:rPr>
          <w:rFonts w:ascii="Arial" w:hAnsi="Arial" w:cs="Arial"/>
          <w:spacing w:val="40"/>
          <w:sz w:val="22"/>
        </w:rPr>
        <w:t xml:space="preserve"> </w:t>
      </w:r>
      <w:r w:rsidRPr="006454B5">
        <w:rPr>
          <w:rFonts w:ascii="Arial" w:hAnsi="Arial" w:cs="Arial"/>
          <w:spacing w:val="-1"/>
          <w:sz w:val="22"/>
        </w:rPr>
        <w:t>‘traditional’</w:t>
      </w:r>
      <w:r w:rsidRPr="006454B5">
        <w:rPr>
          <w:rFonts w:ascii="Arial" w:hAnsi="Arial" w:cs="Arial"/>
          <w:spacing w:val="-8"/>
          <w:sz w:val="22"/>
        </w:rPr>
        <w:t xml:space="preserve"> </w:t>
      </w:r>
      <w:r w:rsidRPr="006454B5">
        <w:rPr>
          <w:rFonts w:ascii="Arial" w:hAnsi="Arial" w:cs="Arial"/>
          <w:sz w:val="22"/>
        </w:rPr>
        <w:t>issues</w:t>
      </w:r>
      <w:r w:rsidRPr="006454B5">
        <w:rPr>
          <w:rFonts w:ascii="Arial" w:hAnsi="Arial" w:cs="Arial"/>
          <w:spacing w:val="-6"/>
          <w:sz w:val="22"/>
        </w:rPr>
        <w:t xml:space="preserve"> </w:t>
      </w:r>
      <w:r w:rsidRPr="006454B5">
        <w:rPr>
          <w:rFonts w:ascii="Arial" w:hAnsi="Arial" w:cs="Arial"/>
          <w:sz w:val="22"/>
        </w:rPr>
        <w:t>is</w:t>
      </w:r>
      <w:r w:rsidRPr="006454B5">
        <w:rPr>
          <w:rFonts w:ascii="Arial" w:hAnsi="Arial" w:cs="Arial"/>
          <w:spacing w:val="-8"/>
          <w:sz w:val="22"/>
        </w:rPr>
        <w:t xml:space="preserve"> </w:t>
      </w:r>
      <w:r w:rsidRPr="006454B5">
        <w:rPr>
          <w:rFonts w:ascii="Arial" w:hAnsi="Arial" w:cs="Arial"/>
          <w:spacing w:val="-1"/>
          <w:sz w:val="22"/>
        </w:rPr>
        <w:t>compl</w:t>
      </w:r>
      <w:r w:rsidR="007642B7" w:rsidRPr="006454B5">
        <w:rPr>
          <w:rFonts w:ascii="Arial" w:hAnsi="Arial" w:cs="Arial"/>
          <w:spacing w:val="-1"/>
          <w:sz w:val="22"/>
        </w:rPr>
        <w:t>e</w:t>
      </w:r>
      <w:r w:rsidRPr="006454B5">
        <w:rPr>
          <w:rFonts w:ascii="Arial" w:hAnsi="Arial" w:cs="Arial"/>
          <w:spacing w:val="-1"/>
          <w:sz w:val="22"/>
        </w:rPr>
        <w:t>mented</w:t>
      </w:r>
      <w:r w:rsidRPr="006454B5">
        <w:rPr>
          <w:rFonts w:ascii="Arial" w:hAnsi="Arial" w:cs="Arial"/>
          <w:spacing w:val="-8"/>
          <w:sz w:val="22"/>
        </w:rPr>
        <w:t xml:space="preserve"> </w:t>
      </w:r>
      <w:r w:rsidRPr="006454B5">
        <w:rPr>
          <w:rFonts w:ascii="Arial" w:hAnsi="Arial" w:cs="Arial"/>
          <w:sz w:val="22"/>
        </w:rPr>
        <w:t>by</w:t>
      </w:r>
      <w:r w:rsidRPr="006454B5">
        <w:rPr>
          <w:rFonts w:ascii="Arial" w:hAnsi="Arial" w:cs="Arial"/>
          <w:spacing w:val="-6"/>
          <w:sz w:val="22"/>
        </w:rPr>
        <w:t xml:space="preserve"> </w:t>
      </w:r>
      <w:r w:rsidRPr="006454B5">
        <w:rPr>
          <w:rFonts w:ascii="Arial" w:hAnsi="Arial" w:cs="Arial"/>
          <w:sz w:val="22"/>
        </w:rPr>
        <w:t>the</w:t>
      </w:r>
      <w:r w:rsidRPr="006454B5">
        <w:rPr>
          <w:rFonts w:ascii="Arial" w:hAnsi="Arial" w:cs="Arial"/>
          <w:spacing w:val="-8"/>
          <w:sz w:val="22"/>
        </w:rPr>
        <w:t xml:space="preserve"> </w:t>
      </w:r>
      <w:r w:rsidRPr="006454B5">
        <w:rPr>
          <w:rFonts w:ascii="Arial" w:hAnsi="Arial" w:cs="Arial"/>
          <w:spacing w:val="-1"/>
          <w:sz w:val="22"/>
        </w:rPr>
        <w:t>identification</w:t>
      </w:r>
      <w:r w:rsidRPr="006454B5">
        <w:rPr>
          <w:rFonts w:ascii="Arial" w:hAnsi="Arial" w:cs="Arial"/>
          <w:spacing w:val="-8"/>
          <w:sz w:val="22"/>
        </w:rPr>
        <w:t xml:space="preserve"> </w:t>
      </w:r>
      <w:r w:rsidRPr="006454B5">
        <w:rPr>
          <w:rFonts w:ascii="Arial" w:hAnsi="Arial" w:cs="Arial"/>
          <w:spacing w:val="-1"/>
          <w:sz w:val="22"/>
        </w:rPr>
        <w:t>of</w:t>
      </w:r>
      <w:r w:rsidRPr="006454B5">
        <w:rPr>
          <w:rFonts w:ascii="Arial" w:hAnsi="Arial" w:cs="Arial"/>
          <w:spacing w:val="-6"/>
          <w:sz w:val="22"/>
        </w:rPr>
        <w:t xml:space="preserve"> </w:t>
      </w:r>
      <w:r w:rsidRPr="006454B5">
        <w:rPr>
          <w:rFonts w:ascii="Arial" w:hAnsi="Arial" w:cs="Arial"/>
          <w:spacing w:val="-1"/>
          <w:sz w:val="22"/>
        </w:rPr>
        <w:t>new</w:t>
      </w:r>
      <w:r w:rsidRPr="006454B5">
        <w:rPr>
          <w:rFonts w:ascii="Arial" w:hAnsi="Arial" w:cs="Arial"/>
          <w:spacing w:val="-8"/>
          <w:sz w:val="22"/>
        </w:rPr>
        <w:t xml:space="preserve"> </w:t>
      </w:r>
      <w:r w:rsidRPr="006454B5">
        <w:rPr>
          <w:rFonts w:ascii="Arial" w:hAnsi="Arial" w:cs="Arial"/>
          <w:spacing w:val="-1"/>
          <w:sz w:val="22"/>
        </w:rPr>
        <w:t>challenges,</w:t>
      </w:r>
      <w:r w:rsidRPr="006454B5">
        <w:rPr>
          <w:rFonts w:ascii="Arial" w:hAnsi="Arial" w:cs="Arial"/>
          <w:spacing w:val="-8"/>
          <w:sz w:val="22"/>
        </w:rPr>
        <w:t xml:space="preserve"> </w:t>
      </w:r>
      <w:r w:rsidRPr="006454B5">
        <w:rPr>
          <w:rFonts w:ascii="Arial" w:hAnsi="Arial" w:cs="Arial"/>
          <w:spacing w:val="-1"/>
          <w:sz w:val="22"/>
        </w:rPr>
        <w:t>particularly</w:t>
      </w:r>
      <w:r w:rsidRPr="006454B5">
        <w:rPr>
          <w:rFonts w:ascii="Arial" w:hAnsi="Arial" w:cs="Arial"/>
          <w:spacing w:val="-8"/>
          <w:sz w:val="22"/>
        </w:rPr>
        <w:t xml:space="preserve"> </w:t>
      </w:r>
      <w:r w:rsidRPr="006454B5">
        <w:rPr>
          <w:rFonts w:ascii="Arial" w:hAnsi="Arial" w:cs="Arial"/>
          <w:sz w:val="22"/>
        </w:rPr>
        <w:t xml:space="preserve">those </w:t>
      </w:r>
      <w:r w:rsidRPr="006454B5">
        <w:rPr>
          <w:rFonts w:ascii="Arial" w:hAnsi="Arial" w:cs="Arial"/>
          <w:spacing w:val="-1"/>
          <w:sz w:val="22"/>
        </w:rPr>
        <w:t>surrounding</w:t>
      </w:r>
      <w:r w:rsidRPr="006454B5">
        <w:rPr>
          <w:rFonts w:ascii="Arial" w:hAnsi="Arial" w:cs="Arial"/>
          <w:spacing w:val="-5"/>
          <w:sz w:val="22"/>
        </w:rPr>
        <w:t xml:space="preserve"> </w:t>
      </w:r>
      <w:r w:rsidRPr="006454B5">
        <w:rPr>
          <w:rFonts w:ascii="Arial" w:hAnsi="Arial" w:cs="Arial"/>
          <w:sz w:val="22"/>
        </w:rPr>
        <w:t>the</w:t>
      </w:r>
      <w:r w:rsidRPr="006454B5">
        <w:rPr>
          <w:rFonts w:ascii="Arial" w:hAnsi="Arial" w:cs="Arial"/>
          <w:spacing w:val="-7"/>
          <w:sz w:val="22"/>
        </w:rPr>
        <w:t xml:space="preserve"> </w:t>
      </w:r>
      <w:r w:rsidRPr="006454B5">
        <w:rPr>
          <w:rFonts w:ascii="Arial" w:hAnsi="Arial" w:cs="Arial"/>
          <w:sz w:val="22"/>
        </w:rPr>
        <w:t>gathering</w:t>
      </w:r>
      <w:r w:rsidRPr="006454B5">
        <w:rPr>
          <w:rFonts w:ascii="Arial" w:hAnsi="Arial" w:cs="Arial"/>
          <w:spacing w:val="-5"/>
          <w:sz w:val="22"/>
        </w:rPr>
        <w:t xml:space="preserve"> </w:t>
      </w:r>
      <w:r w:rsidRPr="006454B5">
        <w:rPr>
          <w:rFonts w:ascii="Arial" w:hAnsi="Arial" w:cs="Arial"/>
          <w:spacing w:val="-1"/>
          <w:sz w:val="22"/>
        </w:rPr>
        <w:t>of</w:t>
      </w:r>
      <w:r w:rsidRPr="006454B5">
        <w:rPr>
          <w:rFonts w:ascii="Arial" w:hAnsi="Arial" w:cs="Arial"/>
          <w:spacing w:val="-7"/>
          <w:sz w:val="22"/>
        </w:rPr>
        <w:t xml:space="preserve"> </w:t>
      </w:r>
      <w:r w:rsidRPr="006454B5">
        <w:rPr>
          <w:rFonts w:ascii="Arial" w:hAnsi="Arial" w:cs="Arial"/>
          <w:spacing w:val="-1"/>
          <w:sz w:val="22"/>
        </w:rPr>
        <w:t>supporting</w:t>
      </w:r>
      <w:r w:rsidRPr="006454B5">
        <w:rPr>
          <w:rFonts w:ascii="Arial" w:hAnsi="Arial" w:cs="Arial"/>
          <w:spacing w:val="-6"/>
          <w:sz w:val="22"/>
        </w:rPr>
        <w:t xml:space="preserve"> </w:t>
      </w:r>
      <w:r w:rsidRPr="006454B5">
        <w:rPr>
          <w:rFonts w:ascii="Arial" w:hAnsi="Arial" w:cs="Arial"/>
          <w:spacing w:val="-1"/>
          <w:sz w:val="22"/>
        </w:rPr>
        <w:t>evidence</w:t>
      </w:r>
      <w:r w:rsidRPr="006454B5">
        <w:rPr>
          <w:rFonts w:ascii="Arial" w:hAnsi="Arial" w:cs="Arial"/>
          <w:spacing w:val="-9"/>
          <w:sz w:val="22"/>
        </w:rPr>
        <w:t xml:space="preserve"> </w:t>
      </w:r>
      <w:r w:rsidRPr="006454B5">
        <w:rPr>
          <w:rFonts w:ascii="Arial" w:hAnsi="Arial" w:cs="Arial"/>
          <w:sz w:val="22"/>
        </w:rPr>
        <w:t>and</w:t>
      </w:r>
      <w:r w:rsidRPr="006454B5">
        <w:rPr>
          <w:rFonts w:ascii="Arial" w:hAnsi="Arial" w:cs="Arial"/>
          <w:spacing w:val="-6"/>
          <w:sz w:val="22"/>
        </w:rPr>
        <w:t xml:space="preserve"> </w:t>
      </w:r>
      <w:r w:rsidRPr="006454B5">
        <w:rPr>
          <w:rFonts w:ascii="Arial" w:hAnsi="Arial" w:cs="Arial"/>
          <w:sz w:val="22"/>
        </w:rPr>
        <w:t>technology.</w:t>
      </w:r>
      <w:r w:rsidRPr="006454B5">
        <w:rPr>
          <w:rFonts w:ascii="Arial" w:hAnsi="Arial" w:cs="Arial"/>
          <w:spacing w:val="-8"/>
          <w:sz w:val="22"/>
        </w:rPr>
        <w:t xml:space="preserve"> </w:t>
      </w:r>
      <w:r w:rsidRPr="006454B5">
        <w:rPr>
          <w:rFonts w:ascii="Arial" w:hAnsi="Arial" w:cs="Arial"/>
          <w:spacing w:val="-2"/>
          <w:sz w:val="22"/>
        </w:rPr>
        <w:t xml:space="preserve">Most </w:t>
      </w:r>
      <w:r w:rsidRPr="006454B5">
        <w:rPr>
          <w:rFonts w:ascii="Arial" w:hAnsi="Arial" w:cs="Arial"/>
          <w:spacing w:val="-1"/>
          <w:sz w:val="22"/>
        </w:rPr>
        <w:t>importantly,</w:t>
      </w:r>
      <w:r w:rsidRPr="006454B5">
        <w:rPr>
          <w:rFonts w:ascii="Arial" w:hAnsi="Arial" w:cs="Arial"/>
          <w:spacing w:val="-10"/>
          <w:sz w:val="22"/>
        </w:rPr>
        <w:t xml:space="preserve"> </w:t>
      </w:r>
      <w:r w:rsidRPr="006454B5">
        <w:rPr>
          <w:rFonts w:ascii="Arial" w:hAnsi="Arial" w:cs="Arial"/>
          <w:sz w:val="22"/>
        </w:rPr>
        <w:t>the</w:t>
      </w:r>
      <w:r w:rsidRPr="006454B5">
        <w:rPr>
          <w:rFonts w:ascii="Arial" w:hAnsi="Arial" w:cs="Arial"/>
          <w:spacing w:val="-9"/>
          <w:sz w:val="22"/>
        </w:rPr>
        <w:t xml:space="preserve"> </w:t>
      </w:r>
      <w:r w:rsidRPr="006454B5">
        <w:rPr>
          <w:rFonts w:ascii="Arial" w:hAnsi="Arial" w:cs="Arial"/>
          <w:spacing w:val="-1"/>
          <w:sz w:val="22"/>
        </w:rPr>
        <w:t>current</w:t>
      </w:r>
      <w:r w:rsidRPr="006454B5">
        <w:rPr>
          <w:rFonts w:ascii="Arial" w:hAnsi="Arial" w:cs="Arial"/>
          <w:spacing w:val="-6"/>
          <w:sz w:val="22"/>
        </w:rPr>
        <w:t xml:space="preserve"> </w:t>
      </w:r>
      <w:r w:rsidRPr="006454B5">
        <w:rPr>
          <w:rFonts w:ascii="Arial" w:hAnsi="Arial" w:cs="Arial"/>
          <w:sz w:val="22"/>
        </w:rPr>
        <w:t>study</w:t>
      </w:r>
      <w:r w:rsidRPr="006454B5">
        <w:rPr>
          <w:rFonts w:ascii="Arial" w:hAnsi="Arial" w:cs="Arial"/>
          <w:spacing w:val="-8"/>
          <w:sz w:val="22"/>
        </w:rPr>
        <w:t xml:space="preserve"> </w:t>
      </w:r>
      <w:r w:rsidRPr="006454B5">
        <w:rPr>
          <w:rFonts w:ascii="Arial" w:hAnsi="Arial" w:cs="Arial"/>
          <w:spacing w:val="-1"/>
          <w:sz w:val="22"/>
        </w:rPr>
        <w:t>supports</w:t>
      </w:r>
      <w:r w:rsidRPr="006454B5">
        <w:rPr>
          <w:rFonts w:ascii="Arial" w:hAnsi="Arial" w:cs="Arial"/>
          <w:spacing w:val="-9"/>
          <w:sz w:val="22"/>
        </w:rPr>
        <w:t xml:space="preserve"> </w:t>
      </w:r>
      <w:r w:rsidRPr="006454B5">
        <w:rPr>
          <w:rFonts w:ascii="Arial" w:hAnsi="Arial" w:cs="Arial"/>
          <w:spacing w:val="-1"/>
          <w:sz w:val="22"/>
        </w:rPr>
        <w:t>observations</w:t>
      </w:r>
      <w:r w:rsidRPr="006454B5">
        <w:rPr>
          <w:rFonts w:ascii="Arial" w:hAnsi="Arial" w:cs="Arial"/>
          <w:spacing w:val="-8"/>
          <w:sz w:val="22"/>
        </w:rPr>
        <w:t xml:space="preserve"> </w:t>
      </w:r>
      <w:r w:rsidRPr="006454B5">
        <w:rPr>
          <w:rFonts w:ascii="Arial" w:hAnsi="Arial" w:cs="Arial"/>
          <w:sz w:val="22"/>
        </w:rPr>
        <w:t>that,</w:t>
      </w:r>
      <w:r w:rsidRPr="006454B5">
        <w:rPr>
          <w:rFonts w:ascii="Arial" w:hAnsi="Arial" w:cs="Arial"/>
          <w:spacing w:val="-9"/>
          <w:sz w:val="22"/>
        </w:rPr>
        <w:t xml:space="preserve"> </w:t>
      </w:r>
      <w:r w:rsidRPr="006454B5">
        <w:rPr>
          <w:rFonts w:ascii="Arial" w:hAnsi="Arial" w:cs="Arial"/>
          <w:spacing w:val="-1"/>
          <w:sz w:val="22"/>
        </w:rPr>
        <w:t>despite</w:t>
      </w:r>
      <w:r w:rsidRPr="006454B5">
        <w:rPr>
          <w:rFonts w:ascii="Arial" w:hAnsi="Arial" w:cs="Arial"/>
          <w:spacing w:val="-9"/>
          <w:sz w:val="22"/>
        </w:rPr>
        <w:t xml:space="preserve"> </w:t>
      </w:r>
      <w:r w:rsidRPr="006454B5">
        <w:rPr>
          <w:rFonts w:ascii="Arial" w:hAnsi="Arial" w:cs="Arial"/>
          <w:sz w:val="22"/>
        </w:rPr>
        <w:t>wide-ranging</w:t>
      </w:r>
      <w:r w:rsidRPr="006454B5">
        <w:rPr>
          <w:rFonts w:ascii="Arial" w:hAnsi="Arial" w:cs="Arial"/>
          <w:spacing w:val="-9"/>
          <w:sz w:val="22"/>
        </w:rPr>
        <w:t xml:space="preserve"> </w:t>
      </w:r>
      <w:r w:rsidRPr="006454B5">
        <w:rPr>
          <w:rFonts w:ascii="Arial" w:hAnsi="Arial" w:cs="Arial"/>
          <w:sz w:val="22"/>
        </w:rPr>
        <w:t xml:space="preserve">policy </w:t>
      </w:r>
      <w:r w:rsidRPr="006454B5">
        <w:rPr>
          <w:rFonts w:ascii="Arial" w:hAnsi="Arial" w:cs="Arial"/>
          <w:spacing w:val="-1"/>
          <w:sz w:val="22"/>
        </w:rPr>
        <w:t>changes</w:t>
      </w:r>
      <w:r w:rsidRPr="006454B5">
        <w:rPr>
          <w:rFonts w:ascii="Arial" w:hAnsi="Arial" w:cs="Arial"/>
          <w:spacing w:val="-6"/>
          <w:sz w:val="22"/>
        </w:rPr>
        <w:t xml:space="preserve"> </w:t>
      </w:r>
      <w:r w:rsidRPr="006454B5">
        <w:rPr>
          <w:rFonts w:ascii="Arial" w:hAnsi="Arial" w:cs="Arial"/>
          <w:sz w:val="22"/>
        </w:rPr>
        <w:t>in</w:t>
      </w:r>
      <w:r w:rsidRPr="006454B5">
        <w:rPr>
          <w:rFonts w:ascii="Arial" w:hAnsi="Arial" w:cs="Arial"/>
          <w:spacing w:val="-6"/>
          <w:sz w:val="22"/>
        </w:rPr>
        <w:t xml:space="preserve"> </w:t>
      </w:r>
      <w:r w:rsidRPr="006454B5">
        <w:rPr>
          <w:rFonts w:ascii="Arial" w:hAnsi="Arial" w:cs="Arial"/>
          <w:spacing w:val="-1"/>
          <w:sz w:val="22"/>
        </w:rPr>
        <w:t>response</w:t>
      </w:r>
      <w:r w:rsidRPr="006454B5">
        <w:rPr>
          <w:rFonts w:ascii="Arial" w:hAnsi="Arial" w:cs="Arial"/>
          <w:spacing w:val="-6"/>
          <w:sz w:val="22"/>
        </w:rPr>
        <w:t xml:space="preserve"> </w:t>
      </w:r>
      <w:r w:rsidRPr="006454B5">
        <w:rPr>
          <w:rFonts w:ascii="Arial" w:hAnsi="Arial" w:cs="Arial"/>
          <w:sz w:val="22"/>
        </w:rPr>
        <w:t>to</w:t>
      </w:r>
      <w:r w:rsidRPr="006454B5">
        <w:rPr>
          <w:rFonts w:ascii="Arial" w:hAnsi="Arial" w:cs="Arial"/>
          <w:spacing w:val="-5"/>
          <w:sz w:val="22"/>
        </w:rPr>
        <w:t xml:space="preserve"> </w:t>
      </w:r>
      <w:r w:rsidRPr="006454B5">
        <w:rPr>
          <w:rFonts w:ascii="Arial" w:hAnsi="Arial" w:cs="Arial"/>
          <w:spacing w:val="-2"/>
          <w:sz w:val="22"/>
        </w:rPr>
        <w:t>both</w:t>
      </w:r>
      <w:r w:rsidRPr="006454B5">
        <w:rPr>
          <w:rFonts w:ascii="Arial" w:hAnsi="Arial" w:cs="Arial"/>
          <w:spacing w:val="-5"/>
          <w:sz w:val="22"/>
        </w:rPr>
        <w:t xml:space="preserve"> </w:t>
      </w:r>
      <w:r w:rsidRPr="006454B5">
        <w:rPr>
          <w:rFonts w:ascii="Arial" w:hAnsi="Arial" w:cs="Arial"/>
          <w:spacing w:val="-1"/>
          <w:sz w:val="22"/>
        </w:rPr>
        <w:t>academic</w:t>
      </w:r>
      <w:r w:rsidRPr="006454B5">
        <w:rPr>
          <w:rFonts w:ascii="Arial" w:hAnsi="Arial" w:cs="Arial"/>
          <w:spacing w:val="-5"/>
          <w:sz w:val="22"/>
        </w:rPr>
        <w:t xml:space="preserve"> </w:t>
      </w:r>
      <w:r w:rsidRPr="006454B5">
        <w:rPr>
          <w:rFonts w:ascii="Arial" w:hAnsi="Arial" w:cs="Arial"/>
          <w:sz w:val="22"/>
        </w:rPr>
        <w:t>and</w:t>
      </w:r>
      <w:r w:rsidRPr="006454B5">
        <w:rPr>
          <w:rFonts w:ascii="Arial" w:hAnsi="Arial" w:cs="Arial"/>
          <w:spacing w:val="-7"/>
          <w:sz w:val="22"/>
        </w:rPr>
        <w:t xml:space="preserve"> </w:t>
      </w:r>
      <w:r w:rsidRPr="006454B5">
        <w:rPr>
          <w:rFonts w:ascii="Arial" w:hAnsi="Arial" w:cs="Arial"/>
          <w:spacing w:val="-1"/>
          <w:sz w:val="22"/>
        </w:rPr>
        <w:t>public</w:t>
      </w:r>
      <w:r w:rsidRPr="006454B5">
        <w:rPr>
          <w:rFonts w:ascii="Arial" w:hAnsi="Arial" w:cs="Arial"/>
          <w:spacing w:val="-7"/>
          <w:sz w:val="22"/>
        </w:rPr>
        <w:t xml:space="preserve"> </w:t>
      </w:r>
      <w:r w:rsidRPr="006454B5">
        <w:rPr>
          <w:rFonts w:ascii="Arial" w:hAnsi="Arial" w:cs="Arial"/>
          <w:spacing w:val="-1"/>
          <w:sz w:val="22"/>
        </w:rPr>
        <w:t>outcry</w:t>
      </w:r>
      <w:r w:rsidRPr="006454B5">
        <w:rPr>
          <w:rFonts w:ascii="Arial" w:hAnsi="Arial" w:cs="Arial"/>
          <w:spacing w:val="-3"/>
          <w:sz w:val="22"/>
        </w:rPr>
        <w:t xml:space="preserve"> </w:t>
      </w:r>
      <w:r w:rsidRPr="006454B5">
        <w:rPr>
          <w:rFonts w:ascii="Arial" w:hAnsi="Arial" w:cs="Arial"/>
          <w:spacing w:val="-1"/>
          <w:sz w:val="22"/>
        </w:rPr>
        <w:t>regarding</w:t>
      </w:r>
      <w:r w:rsidRPr="006454B5">
        <w:rPr>
          <w:rFonts w:ascii="Arial" w:hAnsi="Arial" w:cs="Arial"/>
          <w:spacing w:val="-6"/>
          <w:sz w:val="22"/>
        </w:rPr>
        <w:t xml:space="preserve"> </w:t>
      </w:r>
      <w:r w:rsidRPr="006454B5">
        <w:rPr>
          <w:rFonts w:ascii="Arial" w:hAnsi="Arial" w:cs="Arial"/>
          <w:spacing w:val="-1"/>
          <w:sz w:val="22"/>
        </w:rPr>
        <w:t>alarmingly</w:t>
      </w:r>
      <w:r w:rsidRPr="006454B5">
        <w:rPr>
          <w:rFonts w:ascii="Arial" w:hAnsi="Arial" w:cs="Arial"/>
          <w:spacing w:val="-6"/>
          <w:sz w:val="22"/>
        </w:rPr>
        <w:t xml:space="preserve"> </w:t>
      </w:r>
      <w:r w:rsidRPr="006454B5">
        <w:rPr>
          <w:rFonts w:ascii="Arial" w:hAnsi="Arial" w:cs="Arial"/>
          <w:sz w:val="22"/>
        </w:rPr>
        <w:t>low</w:t>
      </w:r>
      <w:r w:rsidRPr="006454B5">
        <w:rPr>
          <w:rFonts w:ascii="Arial" w:hAnsi="Arial" w:cs="Arial"/>
          <w:spacing w:val="-6"/>
          <w:sz w:val="22"/>
        </w:rPr>
        <w:t xml:space="preserve"> </w:t>
      </w:r>
      <w:r w:rsidRPr="006454B5">
        <w:rPr>
          <w:rFonts w:ascii="Arial" w:hAnsi="Arial" w:cs="Arial"/>
          <w:spacing w:val="-1"/>
          <w:sz w:val="22"/>
        </w:rPr>
        <w:t>conviction rates,</w:t>
      </w:r>
      <w:r w:rsidRPr="006454B5">
        <w:rPr>
          <w:rFonts w:ascii="Arial" w:hAnsi="Arial" w:cs="Arial"/>
          <w:spacing w:val="-6"/>
          <w:sz w:val="22"/>
        </w:rPr>
        <w:t xml:space="preserve"> </w:t>
      </w:r>
      <w:r w:rsidRPr="006454B5">
        <w:rPr>
          <w:rFonts w:ascii="Arial" w:hAnsi="Arial" w:cs="Arial"/>
          <w:spacing w:val="-1"/>
          <w:sz w:val="22"/>
        </w:rPr>
        <w:t>figures</w:t>
      </w:r>
      <w:r w:rsidRPr="006454B5">
        <w:rPr>
          <w:rFonts w:ascii="Arial" w:hAnsi="Arial" w:cs="Arial"/>
          <w:spacing w:val="-4"/>
          <w:sz w:val="22"/>
        </w:rPr>
        <w:t xml:space="preserve"> </w:t>
      </w:r>
      <w:r w:rsidRPr="006454B5">
        <w:rPr>
          <w:rFonts w:ascii="Arial" w:hAnsi="Arial" w:cs="Arial"/>
          <w:sz w:val="22"/>
        </w:rPr>
        <w:t>for</w:t>
      </w:r>
      <w:r w:rsidRPr="006454B5">
        <w:rPr>
          <w:rFonts w:ascii="Arial" w:hAnsi="Arial" w:cs="Arial"/>
          <w:spacing w:val="-6"/>
          <w:sz w:val="22"/>
        </w:rPr>
        <w:t xml:space="preserve"> </w:t>
      </w:r>
      <w:r w:rsidRPr="006454B5">
        <w:rPr>
          <w:rFonts w:ascii="Arial" w:hAnsi="Arial" w:cs="Arial"/>
          <w:sz w:val="22"/>
        </w:rPr>
        <w:t>case</w:t>
      </w:r>
      <w:r w:rsidRPr="006454B5">
        <w:rPr>
          <w:rFonts w:ascii="Arial" w:hAnsi="Arial" w:cs="Arial"/>
          <w:spacing w:val="-6"/>
          <w:sz w:val="22"/>
        </w:rPr>
        <w:t xml:space="preserve"> </w:t>
      </w:r>
      <w:r w:rsidRPr="006454B5">
        <w:rPr>
          <w:rFonts w:ascii="Arial" w:hAnsi="Arial" w:cs="Arial"/>
          <w:spacing w:val="-1"/>
          <w:sz w:val="22"/>
        </w:rPr>
        <w:t>outcomes</w:t>
      </w:r>
      <w:r w:rsidRPr="006454B5">
        <w:rPr>
          <w:rFonts w:ascii="Arial" w:hAnsi="Arial" w:cs="Arial"/>
          <w:spacing w:val="-4"/>
          <w:sz w:val="22"/>
        </w:rPr>
        <w:t xml:space="preserve"> </w:t>
      </w:r>
      <w:r w:rsidRPr="006454B5">
        <w:rPr>
          <w:rFonts w:ascii="Arial" w:hAnsi="Arial" w:cs="Arial"/>
          <w:sz w:val="22"/>
        </w:rPr>
        <w:t>have</w:t>
      </w:r>
      <w:r w:rsidRPr="006454B5">
        <w:rPr>
          <w:rFonts w:ascii="Arial" w:hAnsi="Arial" w:cs="Arial"/>
          <w:spacing w:val="-6"/>
          <w:sz w:val="22"/>
        </w:rPr>
        <w:t xml:space="preserve"> </w:t>
      </w:r>
      <w:r w:rsidR="00F12A8F" w:rsidRPr="006454B5">
        <w:rPr>
          <w:rFonts w:ascii="Arial" w:hAnsi="Arial" w:cs="Arial"/>
          <w:spacing w:val="-6"/>
          <w:sz w:val="22"/>
        </w:rPr>
        <w:t xml:space="preserve">still </w:t>
      </w:r>
      <w:r w:rsidR="00290FFD" w:rsidRPr="006454B5">
        <w:rPr>
          <w:rFonts w:ascii="Arial" w:hAnsi="Arial" w:cs="Arial"/>
          <w:spacing w:val="-1"/>
          <w:sz w:val="22"/>
        </w:rPr>
        <w:t>worsened</w:t>
      </w:r>
      <w:r w:rsidRPr="006454B5">
        <w:rPr>
          <w:rFonts w:ascii="Arial" w:hAnsi="Arial" w:cs="Arial"/>
          <w:spacing w:val="-1"/>
          <w:sz w:val="22"/>
        </w:rPr>
        <w:t>.</w:t>
      </w:r>
      <w:r w:rsidRPr="006454B5">
        <w:rPr>
          <w:rFonts w:ascii="Arial" w:hAnsi="Arial" w:cs="Arial"/>
          <w:sz w:val="22"/>
        </w:rPr>
        <w:t xml:space="preserve"> </w:t>
      </w:r>
    </w:p>
    <w:p w14:paraId="212AEB9A" w14:textId="715A37F2" w:rsidR="0096352E" w:rsidRPr="006454B5" w:rsidRDefault="00290FFD" w:rsidP="000C7544">
      <w:pPr>
        <w:spacing w:before="120" w:after="120"/>
        <w:ind w:firstLine="720"/>
        <w:contextualSpacing/>
        <w:rPr>
          <w:rFonts w:ascii="Arial" w:hAnsi="Arial" w:cs="Arial"/>
          <w:sz w:val="22"/>
        </w:rPr>
      </w:pPr>
      <w:r w:rsidRPr="006454B5">
        <w:rPr>
          <w:rFonts w:ascii="Arial" w:hAnsi="Arial" w:cs="Arial"/>
          <w:spacing w:val="-1"/>
          <w:sz w:val="22"/>
        </w:rPr>
        <w:t xml:space="preserve">Nevertheless, several </w:t>
      </w:r>
      <w:r w:rsidR="005F62B1" w:rsidRPr="006454B5">
        <w:rPr>
          <w:rFonts w:ascii="Arial" w:hAnsi="Arial" w:cs="Arial"/>
          <w:spacing w:val="-1"/>
          <w:sz w:val="22"/>
        </w:rPr>
        <w:t>specific</w:t>
      </w:r>
      <w:r w:rsidR="005F62B1" w:rsidRPr="006454B5">
        <w:rPr>
          <w:rFonts w:ascii="Arial" w:hAnsi="Arial" w:cs="Arial"/>
          <w:spacing w:val="-6"/>
          <w:sz w:val="22"/>
        </w:rPr>
        <w:t xml:space="preserve"> </w:t>
      </w:r>
      <w:r w:rsidR="005F62B1" w:rsidRPr="006454B5">
        <w:rPr>
          <w:rFonts w:ascii="Arial" w:hAnsi="Arial" w:cs="Arial"/>
          <w:spacing w:val="-1"/>
          <w:sz w:val="22"/>
        </w:rPr>
        <w:t>avenues</w:t>
      </w:r>
      <w:r w:rsidR="005F62B1" w:rsidRPr="006454B5">
        <w:rPr>
          <w:rFonts w:ascii="Arial" w:hAnsi="Arial" w:cs="Arial"/>
          <w:spacing w:val="-6"/>
          <w:sz w:val="22"/>
        </w:rPr>
        <w:t xml:space="preserve"> </w:t>
      </w:r>
      <w:r w:rsidRPr="006454B5">
        <w:rPr>
          <w:rFonts w:ascii="Arial" w:hAnsi="Arial" w:cs="Arial"/>
          <w:spacing w:val="-6"/>
          <w:sz w:val="22"/>
        </w:rPr>
        <w:t xml:space="preserve">have been identified </w:t>
      </w:r>
      <w:r w:rsidR="005F62B1" w:rsidRPr="006454B5">
        <w:rPr>
          <w:rFonts w:ascii="Arial" w:hAnsi="Arial" w:cs="Arial"/>
          <w:sz w:val="22"/>
        </w:rPr>
        <w:t>for</w:t>
      </w:r>
      <w:r w:rsidR="005F62B1" w:rsidRPr="006454B5">
        <w:rPr>
          <w:rFonts w:ascii="Arial" w:hAnsi="Arial" w:cs="Arial"/>
          <w:spacing w:val="-8"/>
          <w:sz w:val="22"/>
        </w:rPr>
        <w:t xml:space="preserve"> </w:t>
      </w:r>
      <w:r w:rsidR="005F62B1" w:rsidRPr="006454B5">
        <w:rPr>
          <w:rFonts w:ascii="Arial" w:hAnsi="Arial" w:cs="Arial"/>
          <w:spacing w:val="-1"/>
          <w:sz w:val="22"/>
        </w:rPr>
        <w:t>further</w:t>
      </w:r>
      <w:r w:rsidR="005F62B1" w:rsidRPr="006454B5">
        <w:rPr>
          <w:rFonts w:ascii="Arial" w:hAnsi="Arial" w:cs="Arial"/>
          <w:spacing w:val="-7"/>
          <w:sz w:val="22"/>
        </w:rPr>
        <w:t xml:space="preserve"> </w:t>
      </w:r>
      <w:r w:rsidR="005F62B1" w:rsidRPr="006454B5">
        <w:rPr>
          <w:rFonts w:ascii="Arial" w:hAnsi="Arial" w:cs="Arial"/>
          <w:spacing w:val="-1"/>
          <w:sz w:val="22"/>
        </w:rPr>
        <w:t>investigation</w:t>
      </w:r>
      <w:r w:rsidR="005F62B1" w:rsidRPr="006454B5">
        <w:rPr>
          <w:rFonts w:ascii="Arial" w:hAnsi="Arial" w:cs="Arial"/>
          <w:spacing w:val="-7"/>
          <w:sz w:val="22"/>
        </w:rPr>
        <w:t xml:space="preserve"> </w:t>
      </w:r>
      <w:r w:rsidR="005F62B1" w:rsidRPr="006454B5">
        <w:rPr>
          <w:rFonts w:ascii="Arial" w:hAnsi="Arial" w:cs="Arial"/>
          <w:sz w:val="22"/>
        </w:rPr>
        <w:t>and</w:t>
      </w:r>
      <w:r w:rsidR="005F62B1" w:rsidRPr="006454B5">
        <w:rPr>
          <w:rFonts w:ascii="Arial" w:hAnsi="Arial" w:cs="Arial"/>
          <w:spacing w:val="-7"/>
          <w:sz w:val="22"/>
        </w:rPr>
        <w:t xml:space="preserve"> </w:t>
      </w:r>
      <w:r w:rsidR="005F62B1" w:rsidRPr="006454B5">
        <w:rPr>
          <w:rFonts w:ascii="Arial" w:hAnsi="Arial" w:cs="Arial"/>
          <w:spacing w:val="-1"/>
          <w:sz w:val="22"/>
        </w:rPr>
        <w:t>intervention</w:t>
      </w:r>
      <w:r w:rsidR="00F12A8F" w:rsidRPr="006454B5">
        <w:rPr>
          <w:rFonts w:ascii="Arial" w:hAnsi="Arial" w:cs="Arial"/>
          <w:spacing w:val="-7"/>
          <w:sz w:val="22"/>
        </w:rPr>
        <w:t>/</w:t>
      </w:r>
      <w:r w:rsidR="005F62B1" w:rsidRPr="006454B5">
        <w:rPr>
          <w:rFonts w:ascii="Arial" w:hAnsi="Arial" w:cs="Arial"/>
          <w:spacing w:val="-1"/>
          <w:sz w:val="22"/>
        </w:rPr>
        <w:t>training.</w:t>
      </w:r>
      <w:r w:rsidR="005F62B1" w:rsidRPr="006454B5">
        <w:rPr>
          <w:rFonts w:ascii="Arial" w:hAnsi="Arial" w:cs="Arial"/>
          <w:spacing w:val="-8"/>
          <w:sz w:val="22"/>
        </w:rPr>
        <w:t xml:space="preserve"> </w:t>
      </w:r>
      <w:r w:rsidR="005F62B1" w:rsidRPr="006454B5">
        <w:rPr>
          <w:rFonts w:ascii="Arial" w:hAnsi="Arial" w:cs="Arial"/>
          <w:sz w:val="22"/>
        </w:rPr>
        <w:t>Arguably</w:t>
      </w:r>
      <w:r w:rsidR="005F62B1" w:rsidRPr="006454B5">
        <w:rPr>
          <w:rFonts w:ascii="Arial" w:hAnsi="Arial" w:cs="Arial"/>
          <w:spacing w:val="-8"/>
          <w:sz w:val="22"/>
        </w:rPr>
        <w:t xml:space="preserve"> </w:t>
      </w:r>
      <w:r w:rsidR="005F62B1" w:rsidRPr="006454B5">
        <w:rPr>
          <w:rFonts w:ascii="Arial" w:hAnsi="Arial" w:cs="Arial"/>
          <w:sz w:val="22"/>
        </w:rPr>
        <w:t>the</w:t>
      </w:r>
      <w:r w:rsidR="005F62B1" w:rsidRPr="006454B5">
        <w:rPr>
          <w:rFonts w:ascii="Arial" w:hAnsi="Arial" w:cs="Arial"/>
          <w:spacing w:val="-8"/>
          <w:sz w:val="22"/>
        </w:rPr>
        <w:t xml:space="preserve"> </w:t>
      </w:r>
      <w:r w:rsidR="005F62B1" w:rsidRPr="006454B5">
        <w:rPr>
          <w:rFonts w:ascii="Arial" w:hAnsi="Arial" w:cs="Arial"/>
          <w:spacing w:val="-1"/>
          <w:sz w:val="22"/>
        </w:rPr>
        <w:t>targeted</w:t>
      </w:r>
      <w:r w:rsidR="005F62B1" w:rsidRPr="006454B5">
        <w:rPr>
          <w:rFonts w:ascii="Arial" w:hAnsi="Arial" w:cs="Arial"/>
          <w:spacing w:val="-8"/>
          <w:sz w:val="22"/>
        </w:rPr>
        <w:t xml:space="preserve"> </w:t>
      </w:r>
      <w:r w:rsidR="005F62B1" w:rsidRPr="006454B5">
        <w:rPr>
          <w:rFonts w:ascii="Arial" w:hAnsi="Arial" w:cs="Arial"/>
          <w:sz w:val="22"/>
        </w:rPr>
        <w:t>application</w:t>
      </w:r>
      <w:r w:rsidR="005F62B1" w:rsidRPr="006454B5">
        <w:rPr>
          <w:rFonts w:ascii="Arial" w:hAnsi="Arial" w:cs="Arial"/>
          <w:spacing w:val="-8"/>
          <w:sz w:val="22"/>
        </w:rPr>
        <w:t xml:space="preserve"> </w:t>
      </w:r>
      <w:r w:rsidR="005F62B1" w:rsidRPr="006454B5">
        <w:rPr>
          <w:rFonts w:ascii="Arial" w:hAnsi="Arial" w:cs="Arial"/>
          <w:spacing w:val="-1"/>
          <w:sz w:val="22"/>
        </w:rPr>
        <w:t>of</w:t>
      </w:r>
      <w:r w:rsidR="005F62B1" w:rsidRPr="006454B5">
        <w:rPr>
          <w:rFonts w:ascii="Arial" w:hAnsi="Arial" w:cs="Arial"/>
          <w:spacing w:val="-7"/>
          <w:sz w:val="22"/>
        </w:rPr>
        <w:t xml:space="preserve"> </w:t>
      </w:r>
      <w:r w:rsidR="005F62B1" w:rsidRPr="006454B5">
        <w:rPr>
          <w:rFonts w:ascii="Arial" w:hAnsi="Arial" w:cs="Arial"/>
          <w:sz w:val="22"/>
        </w:rPr>
        <w:t>the</w:t>
      </w:r>
      <w:r w:rsidR="005F62B1" w:rsidRPr="006454B5">
        <w:rPr>
          <w:rFonts w:ascii="Arial" w:hAnsi="Arial" w:cs="Arial"/>
          <w:spacing w:val="-8"/>
          <w:sz w:val="22"/>
        </w:rPr>
        <w:t xml:space="preserve"> </w:t>
      </w:r>
      <w:r w:rsidR="005F62B1" w:rsidRPr="006454B5">
        <w:rPr>
          <w:rFonts w:ascii="Arial" w:hAnsi="Arial" w:cs="Arial"/>
          <w:spacing w:val="-1"/>
          <w:sz w:val="22"/>
        </w:rPr>
        <w:t>findings</w:t>
      </w:r>
      <w:r w:rsidR="005F62B1" w:rsidRPr="006454B5">
        <w:rPr>
          <w:rFonts w:ascii="Arial" w:hAnsi="Arial" w:cs="Arial"/>
          <w:spacing w:val="-7"/>
          <w:sz w:val="22"/>
        </w:rPr>
        <w:t xml:space="preserve"> </w:t>
      </w:r>
      <w:r w:rsidR="005F62B1" w:rsidRPr="006454B5">
        <w:rPr>
          <w:rFonts w:ascii="Arial" w:hAnsi="Arial" w:cs="Arial"/>
          <w:spacing w:val="-1"/>
          <w:sz w:val="22"/>
        </w:rPr>
        <w:t>outlined</w:t>
      </w:r>
      <w:r w:rsidR="005F62B1" w:rsidRPr="006454B5">
        <w:rPr>
          <w:rFonts w:ascii="Arial" w:hAnsi="Arial" w:cs="Arial"/>
          <w:spacing w:val="-7"/>
          <w:sz w:val="22"/>
        </w:rPr>
        <w:t xml:space="preserve"> </w:t>
      </w:r>
      <w:r w:rsidR="005F62B1" w:rsidRPr="006454B5">
        <w:rPr>
          <w:rFonts w:ascii="Arial" w:hAnsi="Arial" w:cs="Arial"/>
          <w:spacing w:val="-1"/>
          <w:sz w:val="22"/>
        </w:rPr>
        <w:t>above, alongside</w:t>
      </w:r>
      <w:r w:rsidR="005F62B1" w:rsidRPr="006454B5">
        <w:rPr>
          <w:rFonts w:ascii="Arial" w:hAnsi="Arial" w:cs="Arial"/>
          <w:spacing w:val="-7"/>
          <w:sz w:val="22"/>
        </w:rPr>
        <w:t xml:space="preserve"> </w:t>
      </w:r>
      <w:r w:rsidR="005F62B1" w:rsidRPr="006454B5">
        <w:rPr>
          <w:rFonts w:ascii="Arial" w:hAnsi="Arial" w:cs="Arial"/>
          <w:sz w:val="22"/>
        </w:rPr>
        <w:t>the</w:t>
      </w:r>
      <w:r w:rsidR="005F62B1" w:rsidRPr="006454B5">
        <w:rPr>
          <w:rFonts w:ascii="Arial" w:hAnsi="Arial" w:cs="Arial"/>
          <w:spacing w:val="-6"/>
          <w:sz w:val="22"/>
        </w:rPr>
        <w:t xml:space="preserve"> </w:t>
      </w:r>
      <w:r w:rsidR="005F62B1" w:rsidRPr="006454B5">
        <w:rPr>
          <w:rFonts w:ascii="Arial" w:hAnsi="Arial" w:cs="Arial"/>
          <w:spacing w:val="-1"/>
          <w:sz w:val="22"/>
        </w:rPr>
        <w:t>employment</w:t>
      </w:r>
      <w:r w:rsidR="005F62B1" w:rsidRPr="006454B5">
        <w:rPr>
          <w:rFonts w:ascii="Arial" w:hAnsi="Arial" w:cs="Arial"/>
          <w:spacing w:val="-5"/>
          <w:sz w:val="22"/>
        </w:rPr>
        <w:t xml:space="preserve"> </w:t>
      </w:r>
      <w:r w:rsidR="005F62B1" w:rsidRPr="006454B5">
        <w:rPr>
          <w:rFonts w:ascii="Arial" w:hAnsi="Arial" w:cs="Arial"/>
          <w:spacing w:val="-1"/>
          <w:sz w:val="22"/>
        </w:rPr>
        <w:t>of</w:t>
      </w:r>
      <w:r w:rsidR="005F62B1" w:rsidRPr="006454B5">
        <w:rPr>
          <w:rFonts w:ascii="Arial" w:hAnsi="Arial" w:cs="Arial"/>
          <w:spacing w:val="-6"/>
          <w:sz w:val="22"/>
        </w:rPr>
        <w:t xml:space="preserve"> </w:t>
      </w:r>
      <w:r w:rsidR="005F62B1" w:rsidRPr="006454B5">
        <w:rPr>
          <w:rFonts w:ascii="Arial" w:hAnsi="Arial" w:cs="Arial"/>
          <w:sz w:val="22"/>
        </w:rPr>
        <w:t>the</w:t>
      </w:r>
      <w:r w:rsidR="005F62B1" w:rsidRPr="006454B5">
        <w:rPr>
          <w:rFonts w:ascii="Arial" w:hAnsi="Arial" w:cs="Arial"/>
          <w:spacing w:val="-8"/>
          <w:sz w:val="22"/>
        </w:rPr>
        <w:t xml:space="preserve"> </w:t>
      </w:r>
      <w:r w:rsidR="005F62B1" w:rsidRPr="006454B5">
        <w:rPr>
          <w:rFonts w:ascii="Arial" w:hAnsi="Arial" w:cs="Arial"/>
          <w:spacing w:val="-1"/>
          <w:sz w:val="22"/>
        </w:rPr>
        <w:t>coding</w:t>
      </w:r>
      <w:r w:rsidR="005F62B1" w:rsidRPr="006454B5">
        <w:rPr>
          <w:rFonts w:ascii="Arial" w:hAnsi="Arial" w:cs="Arial"/>
          <w:spacing w:val="-4"/>
          <w:sz w:val="22"/>
        </w:rPr>
        <w:t xml:space="preserve"> </w:t>
      </w:r>
      <w:r w:rsidR="005F62B1" w:rsidRPr="006454B5">
        <w:rPr>
          <w:rFonts w:ascii="Arial" w:hAnsi="Arial" w:cs="Arial"/>
          <w:spacing w:val="-1"/>
          <w:sz w:val="22"/>
        </w:rPr>
        <w:t>framework</w:t>
      </w:r>
      <w:r w:rsidR="005F62B1" w:rsidRPr="006454B5">
        <w:rPr>
          <w:rFonts w:ascii="Arial" w:hAnsi="Arial" w:cs="Arial"/>
          <w:spacing w:val="-6"/>
          <w:sz w:val="22"/>
        </w:rPr>
        <w:t xml:space="preserve"> </w:t>
      </w:r>
      <w:r w:rsidRPr="006454B5">
        <w:rPr>
          <w:rFonts w:ascii="Arial" w:hAnsi="Arial" w:cs="Arial"/>
          <w:spacing w:val="-1"/>
          <w:sz w:val="22"/>
        </w:rPr>
        <w:t>used</w:t>
      </w:r>
      <w:r w:rsidRPr="006454B5">
        <w:rPr>
          <w:rFonts w:ascii="Arial" w:hAnsi="Arial" w:cs="Arial"/>
          <w:spacing w:val="-5"/>
          <w:sz w:val="22"/>
        </w:rPr>
        <w:t xml:space="preserve"> </w:t>
      </w:r>
      <w:r w:rsidR="005F62B1" w:rsidRPr="006454B5">
        <w:rPr>
          <w:rFonts w:ascii="Arial" w:hAnsi="Arial" w:cs="Arial"/>
          <w:sz w:val="22"/>
        </w:rPr>
        <w:t>in</w:t>
      </w:r>
      <w:r w:rsidR="005F62B1" w:rsidRPr="006454B5">
        <w:rPr>
          <w:rFonts w:ascii="Arial" w:hAnsi="Arial" w:cs="Arial"/>
          <w:spacing w:val="-6"/>
          <w:sz w:val="22"/>
        </w:rPr>
        <w:t xml:space="preserve"> </w:t>
      </w:r>
      <w:r w:rsidR="005F62B1" w:rsidRPr="006454B5">
        <w:rPr>
          <w:rFonts w:ascii="Arial" w:hAnsi="Arial" w:cs="Arial"/>
          <w:sz w:val="22"/>
        </w:rPr>
        <w:t>this</w:t>
      </w:r>
      <w:r w:rsidR="005F62B1" w:rsidRPr="006454B5">
        <w:rPr>
          <w:rFonts w:ascii="Arial" w:hAnsi="Arial" w:cs="Arial"/>
          <w:spacing w:val="-7"/>
          <w:sz w:val="22"/>
        </w:rPr>
        <w:t xml:space="preserve"> </w:t>
      </w:r>
      <w:r w:rsidR="005F62B1" w:rsidRPr="006454B5">
        <w:rPr>
          <w:rFonts w:ascii="Arial" w:hAnsi="Arial" w:cs="Arial"/>
          <w:sz w:val="22"/>
        </w:rPr>
        <w:t>study</w:t>
      </w:r>
      <w:r w:rsidR="005F62B1" w:rsidRPr="006454B5">
        <w:rPr>
          <w:rFonts w:ascii="Arial" w:hAnsi="Arial" w:cs="Arial"/>
          <w:spacing w:val="-5"/>
          <w:sz w:val="22"/>
        </w:rPr>
        <w:t xml:space="preserve"> </w:t>
      </w:r>
      <w:r w:rsidR="005F62B1" w:rsidRPr="006454B5">
        <w:rPr>
          <w:rFonts w:ascii="Arial" w:hAnsi="Arial" w:cs="Arial"/>
          <w:sz w:val="22"/>
        </w:rPr>
        <w:t>in</w:t>
      </w:r>
      <w:r w:rsidR="005F62B1" w:rsidRPr="006454B5">
        <w:rPr>
          <w:rFonts w:ascii="Arial" w:hAnsi="Arial" w:cs="Arial"/>
          <w:spacing w:val="-9"/>
          <w:sz w:val="22"/>
        </w:rPr>
        <w:t xml:space="preserve"> </w:t>
      </w:r>
      <w:r w:rsidR="005F62B1" w:rsidRPr="006454B5">
        <w:rPr>
          <w:rFonts w:ascii="Arial" w:hAnsi="Arial" w:cs="Arial"/>
          <w:spacing w:val="-1"/>
          <w:sz w:val="22"/>
        </w:rPr>
        <w:t>future</w:t>
      </w:r>
      <w:r w:rsidR="005F62B1" w:rsidRPr="006454B5">
        <w:rPr>
          <w:rFonts w:ascii="Arial" w:hAnsi="Arial" w:cs="Arial"/>
          <w:spacing w:val="-6"/>
          <w:sz w:val="22"/>
        </w:rPr>
        <w:t xml:space="preserve"> </w:t>
      </w:r>
      <w:r w:rsidR="005F62B1" w:rsidRPr="006454B5">
        <w:rPr>
          <w:rFonts w:ascii="Arial" w:hAnsi="Arial" w:cs="Arial"/>
          <w:spacing w:val="-1"/>
          <w:sz w:val="22"/>
        </w:rPr>
        <w:t xml:space="preserve">research </w:t>
      </w:r>
      <w:r w:rsidR="005F62B1" w:rsidRPr="006454B5">
        <w:rPr>
          <w:rFonts w:ascii="Arial" w:hAnsi="Arial" w:cs="Arial"/>
          <w:sz w:val="22"/>
        </w:rPr>
        <w:t>and</w:t>
      </w:r>
      <w:r w:rsidR="005F62B1" w:rsidRPr="006454B5">
        <w:rPr>
          <w:rFonts w:ascii="Arial" w:hAnsi="Arial" w:cs="Arial"/>
          <w:spacing w:val="-5"/>
          <w:sz w:val="22"/>
        </w:rPr>
        <w:t xml:space="preserve"> </w:t>
      </w:r>
      <w:r w:rsidR="005F62B1" w:rsidRPr="006454B5">
        <w:rPr>
          <w:rFonts w:ascii="Arial" w:hAnsi="Arial" w:cs="Arial"/>
          <w:spacing w:val="-1"/>
          <w:sz w:val="22"/>
        </w:rPr>
        <w:t>evaluation,</w:t>
      </w:r>
      <w:r w:rsidR="005F62B1" w:rsidRPr="006454B5">
        <w:rPr>
          <w:rFonts w:ascii="Arial" w:hAnsi="Arial" w:cs="Arial"/>
          <w:spacing w:val="-5"/>
          <w:sz w:val="22"/>
        </w:rPr>
        <w:t xml:space="preserve"> </w:t>
      </w:r>
      <w:r w:rsidR="005F62B1" w:rsidRPr="006454B5">
        <w:rPr>
          <w:rFonts w:ascii="Arial" w:hAnsi="Arial" w:cs="Arial"/>
          <w:spacing w:val="-1"/>
          <w:sz w:val="22"/>
        </w:rPr>
        <w:t>could</w:t>
      </w:r>
      <w:r w:rsidR="005F62B1" w:rsidRPr="006454B5">
        <w:rPr>
          <w:rFonts w:ascii="Arial" w:hAnsi="Arial" w:cs="Arial"/>
          <w:spacing w:val="-5"/>
          <w:sz w:val="22"/>
        </w:rPr>
        <w:t xml:space="preserve"> </w:t>
      </w:r>
      <w:r w:rsidR="005F62B1" w:rsidRPr="006454B5">
        <w:rPr>
          <w:rFonts w:ascii="Arial" w:hAnsi="Arial" w:cs="Arial"/>
          <w:sz w:val="22"/>
        </w:rPr>
        <w:t>go</w:t>
      </w:r>
      <w:r w:rsidR="005F62B1" w:rsidRPr="006454B5">
        <w:rPr>
          <w:rFonts w:ascii="Arial" w:hAnsi="Arial" w:cs="Arial"/>
          <w:spacing w:val="-6"/>
          <w:sz w:val="22"/>
        </w:rPr>
        <w:t xml:space="preserve"> </w:t>
      </w:r>
      <w:r w:rsidR="005F62B1" w:rsidRPr="006454B5">
        <w:rPr>
          <w:rFonts w:ascii="Arial" w:hAnsi="Arial" w:cs="Arial"/>
          <w:sz w:val="22"/>
        </w:rPr>
        <w:t>some</w:t>
      </w:r>
      <w:r w:rsidR="005F62B1" w:rsidRPr="006454B5">
        <w:rPr>
          <w:rFonts w:ascii="Arial" w:hAnsi="Arial" w:cs="Arial"/>
          <w:spacing w:val="-4"/>
          <w:sz w:val="22"/>
        </w:rPr>
        <w:t xml:space="preserve"> </w:t>
      </w:r>
      <w:r w:rsidR="005F62B1" w:rsidRPr="006454B5">
        <w:rPr>
          <w:rFonts w:ascii="Arial" w:hAnsi="Arial" w:cs="Arial"/>
          <w:sz w:val="22"/>
        </w:rPr>
        <w:t>way</w:t>
      </w:r>
      <w:r w:rsidR="005F62B1" w:rsidRPr="006454B5">
        <w:rPr>
          <w:rFonts w:ascii="Arial" w:hAnsi="Arial" w:cs="Arial"/>
          <w:spacing w:val="-4"/>
          <w:sz w:val="22"/>
        </w:rPr>
        <w:t xml:space="preserve"> </w:t>
      </w:r>
      <w:r w:rsidR="005F62B1" w:rsidRPr="006454B5">
        <w:rPr>
          <w:rFonts w:ascii="Arial" w:hAnsi="Arial" w:cs="Arial"/>
          <w:sz w:val="22"/>
        </w:rPr>
        <w:t>to</w:t>
      </w:r>
      <w:r w:rsidR="005F62B1" w:rsidRPr="006454B5">
        <w:rPr>
          <w:rFonts w:ascii="Arial" w:hAnsi="Arial" w:cs="Arial"/>
          <w:spacing w:val="-5"/>
          <w:sz w:val="22"/>
        </w:rPr>
        <w:t xml:space="preserve"> </w:t>
      </w:r>
      <w:r w:rsidR="005F62B1" w:rsidRPr="006454B5">
        <w:rPr>
          <w:rFonts w:ascii="Arial" w:hAnsi="Arial" w:cs="Arial"/>
          <w:spacing w:val="-1"/>
          <w:sz w:val="22"/>
        </w:rPr>
        <w:t>improving</w:t>
      </w:r>
      <w:r w:rsidR="005F62B1" w:rsidRPr="006454B5">
        <w:rPr>
          <w:rFonts w:ascii="Arial" w:hAnsi="Arial" w:cs="Arial"/>
          <w:spacing w:val="-3"/>
          <w:sz w:val="22"/>
        </w:rPr>
        <w:t xml:space="preserve"> </w:t>
      </w:r>
      <w:r w:rsidR="005F62B1" w:rsidRPr="006454B5">
        <w:rPr>
          <w:rFonts w:ascii="Arial" w:hAnsi="Arial" w:cs="Arial"/>
          <w:sz w:val="22"/>
        </w:rPr>
        <w:t>justice</w:t>
      </w:r>
      <w:r w:rsidR="005F62B1" w:rsidRPr="006454B5">
        <w:rPr>
          <w:rFonts w:ascii="Arial" w:hAnsi="Arial" w:cs="Arial"/>
          <w:spacing w:val="-5"/>
          <w:sz w:val="22"/>
        </w:rPr>
        <w:t xml:space="preserve"> </w:t>
      </w:r>
      <w:r w:rsidR="005F62B1" w:rsidRPr="006454B5">
        <w:rPr>
          <w:rFonts w:ascii="Arial" w:hAnsi="Arial" w:cs="Arial"/>
          <w:spacing w:val="-1"/>
          <w:sz w:val="22"/>
        </w:rPr>
        <w:t>outcomes</w:t>
      </w:r>
      <w:r w:rsidR="005F62B1" w:rsidRPr="006454B5">
        <w:rPr>
          <w:rFonts w:ascii="Arial" w:hAnsi="Arial" w:cs="Arial"/>
          <w:spacing w:val="-6"/>
          <w:sz w:val="22"/>
        </w:rPr>
        <w:t xml:space="preserve"> </w:t>
      </w:r>
      <w:r w:rsidR="005F62B1" w:rsidRPr="006454B5">
        <w:rPr>
          <w:rFonts w:ascii="Arial" w:hAnsi="Arial" w:cs="Arial"/>
          <w:sz w:val="22"/>
        </w:rPr>
        <w:t>for</w:t>
      </w:r>
      <w:r w:rsidR="005F62B1" w:rsidRPr="006454B5">
        <w:rPr>
          <w:rFonts w:ascii="Arial" w:hAnsi="Arial" w:cs="Arial"/>
          <w:spacing w:val="-5"/>
          <w:sz w:val="22"/>
        </w:rPr>
        <w:t xml:space="preserve"> </w:t>
      </w:r>
      <w:r w:rsidR="005F62B1" w:rsidRPr="006454B5">
        <w:rPr>
          <w:rFonts w:ascii="Arial" w:hAnsi="Arial" w:cs="Arial"/>
          <w:spacing w:val="-1"/>
          <w:sz w:val="22"/>
        </w:rPr>
        <w:t>victims</w:t>
      </w:r>
      <w:r w:rsidR="005F62B1" w:rsidRPr="006454B5">
        <w:rPr>
          <w:rFonts w:ascii="Arial" w:hAnsi="Arial" w:cs="Arial"/>
          <w:spacing w:val="-4"/>
          <w:sz w:val="22"/>
        </w:rPr>
        <w:t xml:space="preserve"> </w:t>
      </w:r>
      <w:r w:rsidR="005F62B1" w:rsidRPr="006454B5">
        <w:rPr>
          <w:rFonts w:ascii="Arial" w:hAnsi="Arial" w:cs="Arial"/>
          <w:sz w:val="22"/>
        </w:rPr>
        <w:t>and</w:t>
      </w:r>
      <w:r w:rsidR="005F62B1" w:rsidRPr="006454B5">
        <w:rPr>
          <w:rFonts w:ascii="Arial" w:hAnsi="Arial" w:cs="Arial"/>
          <w:spacing w:val="-4"/>
          <w:sz w:val="22"/>
        </w:rPr>
        <w:t xml:space="preserve"> </w:t>
      </w:r>
      <w:r w:rsidR="005F62B1" w:rsidRPr="006454B5">
        <w:rPr>
          <w:rFonts w:ascii="Arial" w:hAnsi="Arial" w:cs="Arial"/>
          <w:spacing w:val="-1"/>
          <w:sz w:val="22"/>
        </w:rPr>
        <w:t>their</w:t>
      </w:r>
      <w:r w:rsidR="005F62B1" w:rsidRPr="006454B5">
        <w:rPr>
          <w:rFonts w:ascii="Arial" w:hAnsi="Arial" w:cs="Arial"/>
          <w:spacing w:val="-6"/>
          <w:sz w:val="22"/>
        </w:rPr>
        <w:t xml:space="preserve"> </w:t>
      </w:r>
      <w:r w:rsidR="005F62B1" w:rsidRPr="006454B5">
        <w:rPr>
          <w:rFonts w:ascii="Arial" w:hAnsi="Arial" w:cs="Arial"/>
          <w:sz w:val="22"/>
        </w:rPr>
        <w:t xml:space="preserve">cases. </w:t>
      </w:r>
      <w:r w:rsidR="00F12A8F" w:rsidRPr="006454B5">
        <w:rPr>
          <w:rFonts w:ascii="Arial" w:hAnsi="Arial" w:cs="Arial"/>
          <w:sz w:val="22"/>
        </w:rPr>
        <w:t>Most importantly, t</w:t>
      </w:r>
      <w:r w:rsidR="005F62B1" w:rsidRPr="006454B5">
        <w:rPr>
          <w:rFonts w:ascii="Arial" w:hAnsi="Arial" w:cs="Arial"/>
          <w:sz w:val="22"/>
        </w:rPr>
        <w:t>his study identif</w:t>
      </w:r>
      <w:r w:rsidR="00F12A8F" w:rsidRPr="006454B5">
        <w:rPr>
          <w:rFonts w:ascii="Arial" w:hAnsi="Arial" w:cs="Arial"/>
          <w:sz w:val="22"/>
        </w:rPr>
        <w:t xml:space="preserve">ies </w:t>
      </w:r>
      <w:r w:rsidR="005F62B1" w:rsidRPr="006454B5">
        <w:rPr>
          <w:rFonts w:ascii="Arial" w:hAnsi="Arial" w:cs="Arial"/>
          <w:sz w:val="22"/>
        </w:rPr>
        <w:t xml:space="preserve">the </w:t>
      </w:r>
      <w:r w:rsidR="00F12A8F" w:rsidRPr="006454B5">
        <w:rPr>
          <w:rFonts w:ascii="Arial" w:hAnsi="Arial" w:cs="Arial"/>
          <w:sz w:val="22"/>
        </w:rPr>
        <w:t xml:space="preserve">significant </w:t>
      </w:r>
      <w:r w:rsidR="005F62B1" w:rsidRPr="006454B5">
        <w:rPr>
          <w:rFonts w:ascii="Arial" w:hAnsi="Arial" w:cs="Arial"/>
          <w:sz w:val="22"/>
        </w:rPr>
        <w:t>role that procedural characteristics may play in victim</w:t>
      </w:r>
      <w:r w:rsidR="00F12A8F" w:rsidRPr="006454B5">
        <w:rPr>
          <w:rFonts w:ascii="Arial" w:hAnsi="Arial" w:cs="Arial"/>
          <w:sz w:val="22"/>
        </w:rPr>
        <w:t>’s</w:t>
      </w:r>
      <w:r w:rsidR="005F62B1" w:rsidRPr="006454B5">
        <w:rPr>
          <w:rFonts w:ascii="Arial" w:hAnsi="Arial" w:cs="Arial"/>
          <w:sz w:val="22"/>
        </w:rPr>
        <w:t xml:space="preserve"> experience</w:t>
      </w:r>
      <w:r w:rsidR="00F12A8F" w:rsidRPr="006454B5">
        <w:rPr>
          <w:rFonts w:ascii="Arial" w:hAnsi="Arial" w:cs="Arial"/>
          <w:sz w:val="22"/>
        </w:rPr>
        <w:t>s</w:t>
      </w:r>
      <w:r w:rsidR="005F62B1" w:rsidRPr="006454B5">
        <w:rPr>
          <w:rFonts w:ascii="Arial" w:hAnsi="Arial" w:cs="Arial"/>
          <w:sz w:val="22"/>
        </w:rPr>
        <w:t xml:space="preserve"> and access to justice. </w:t>
      </w:r>
      <w:r w:rsidR="00F12A8F" w:rsidRPr="006454B5">
        <w:rPr>
          <w:rFonts w:ascii="Arial" w:hAnsi="Arial" w:cs="Arial"/>
          <w:sz w:val="22"/>
        </w:rPr>
        <w:t xml:space="preserve">For example, cases reported via the </w:t>
      </w:r>
      <w:r w:rsidR="005F62B1" w:rsidRPr="006454B5">
        <w:rPr>
          <w:rFonts w:ascii="Arial" w:hAnsi="Arial" w:cs="Arial"/>
          <w:sz w:val="22"/>
        </w:rPr>
        <w:t xml:space="preserve">DASH </w:t>
      </w:r>
      <w:r w:rsidR="00F12A8F" w:rsidRPr="006454B5">
        <w:rPr>
          <w:rFonts w:ascii="Arial" w:hAnsi="Arial" w:cs="Arial"/>
          <w:sz w:val="22"/>
        </w:rPr>
        <w:t xml:space="preserve">may require a much higher level of victim management and care to guard against </w:t>
      </w:r>
      <w:r w:rsidR="005F62B1" w:rsidRPr="006454B5">
        <w:rPr>
          <w:rFonts w:ascii="Arial" w:hAnsi="Arial" w:cs="Arial"/>
          <w:sz w:val="22"/>
        </w:rPr>
        <w:t xml:space="preserve">victims withdrawing their claims. </w:t>
      </w:r>
      <w:r w:rsidR="00F12A8F" w:rsidRPr="006454B5">
        <w:rPr>
          <w:rFonts w:ascii="Arial" w:hAnsi="Arial" w:cs="Arial"/>
          <w:sz w:val="22"/>
        </w:rPr>
        <w:t>Indeed, f</w:t>
      </w:r>
      <w:r w:rsidR="005F62B1" w:rsidRPr="006454B5">
        <w:rPr>
          <w:rFonts w:ascii="Arial" w:hAnsi="Arial" w:cs="Arial"/>
          <w:sz w:val="22"/>
        </w:rPr>
        <w:t xml:space="preserve">urther work needs to be done to ensure that victims of domestic abuse who are also victims of rape are provided with access to justice. </w:t>
      </w:r>
      <w:r w:rsidR="00547EE7" w:rsidRPr="006454B5">
        <w:rPr>
          <w:rFonts w:ascii="Arial" w:hAnsi="Arial" w:cs="Arial"/>
          <w:sz w:val="22"/>
        </w:rPr>
        <w:t>Additionally, implementing sensitivity training for officers relating to the specific victim vulnerabilities such as mental illness</w:t>
      </w:r>
      <w:r w:rsidR="0096352E" w:rsidRPr="006454B5">
        <w:rPr>
          <w:rFonts w:ascii="Arial" w:hAnsi="Arial" w:cs="Arial"/>
          <w:sz w:val="22"/>
        </w:rPr>
        <w:t>, also appears critical in helping victims to stay engaged and pursue justice in a way that does not result in further issues and trauma</w:t>
      </w:r>
      <w:r w:rsidR="00547EE7" w:rsidRPr="006454B5">
        <w:rPr>
          <w:rFonts w:ascii="Arial" w:hAnsi="Arial" w:cs="Arial"/>
          <w:sz w:val="22"/>
        </w:rPr>
        <w:t xml:space="preserve">. </w:t>
      </w:r>
      <w:r w:rsidR="005B76EC" w:rsidRPr="006454B5">
        <w:rPr>
          <w:rFonts w:ascii="Arial" w:hAnsi="Arial" w:cs="Arial"/>
          <w:sz w:val="22"/>
        </w:rPr>
        <w:t xml:space="preserve">For </w:t>
      </w:r>
      <w:r w:rsidR="005F62B1" w:rsidRPr="006454B5">
        <w:rPr>
          <w:rFonts w:ascii="Arial" w:hAnsi="Arial" w:cs="Arial"/>
          <w:sz w:val="22"/>
        </w:rPr>
        <w:t xml:space="preserve">those victims who provide their technology, the associated impact on their likelihood of case progression needs to be </w:t>
      </w:r>
      <w:r w:rsidR="00F12A8F" w:rsidRPr="006454B5">
        <w:rPr>
          <w:rFonts w:ascii="Arial" w:hAnsi="Arial" w:cs="Arial"/>
          <w:sz w:val="22"/>
        </w:rPr>
        <w:t xml:space="preserve">fully </w:t>
      </w:r>
      <w:r w:rsidR="005F62B1" w:rsidRPr="006454B5">
        <w:rPr>
          <w:rFonts w:ascii="Arial" w:hAnsi="Arial" w:cs="Arial"/>
          <w:sz w:val="22"/>
        </w:rPr>
        <w:t xml:space="preserve">understood, </w:t>
      </w:r>
      <w:r w:rsidR="005D5167" w:rsidRPr="006454B5">
        <w:rPr>
          <w:rFonts w:ascii="Arial" w:hAnsi="Arial" w:cs="Arial"/>
          <w:sz w:val="22"/>
        </w:rPr>
        <w:t xml:space="preserve">including identifying </w:t>
      </w:r>
      <w:r w:rsidR="00F12A8F" w:rsidRPr="006454B5">
        <w:rPr>
          <w:rFonts w:ascii="Arial" w:hAnsi="Arial" w:cs="Arial"/>
          <w:sz w:val="22"/>
        </w:rPr>
        <w:t>the barriers fo</w:t>
      </w:r>
      <w:r w:rsidR="005F62B1" w:rsidRPr="006454B5">
        <w:rPr>
          <w:rFonts w:ascii="Arial" w:hAnsi="Arial" w:cs="Arial"/>
          <w:sz w:val="22"/>
        </w:rPr>
        <w:t xml:space="preserve">r victims who may be reluctant to part with their </w:t>
      </w:r>
      <w:r w:rsidR="0096352E" w:rsidRPr="006454B5">
        <w:rPr>
          <w:rFonts w:ascii="Arial" w:hAnsi="Arial" w:cs="Arial"/>
          <w:sz w:val="22"/>
        </w:rPr>
        <w:t>devices</w:t>
      </w:r>
      <w:r w:rsidR="005D5167" w:rsidRPr="006454B5">
        <w:rPr>
          <w:rFonts w:ascii="Arial" w:hAnsi="Arial" w:cs="Arial"/>
          <w:sz w:val="22"/>
        </w:rPr>
        <w:t>.</w:t>
      </w:r>
      <w:r w:rsidR="00863BEF" w:rsidRPr="006454B5">
        <w:rPr>
          <w:rFonts w:ascii="Arial" w:hAnsi="Arial" w:cs="Arial"/>
          <w:sz w:val="22"/>
        </w:rPr>
        <w:t xml:space="preserve"> </w:t>
      </w:r>
      <w:r w:rsidR="0096352E" w:rsidRPr="006454B5">
        <w:rPr>
          <w:rFonts w:ascii="Arial" w:hAnsi="Arial" w:cs="Arial"/>
          <w:sz w:val="22"/>
        </w:rPr>
        <w:t>Indeed, a</w:t>
      </w:r>
      <w:r w:rsidR="00863BEF" w:rsidRPr="006454B5">
        <w:rPr>
          <w:rFonts w:ascii="Arial" w:hAnsi="Arial" w:cs="Arial"/>
          <w:sz w:val="22"/>
        </w:rPr>
        <w:t xml:space="preserve"> more comprehensive</w:t>
      </w:r>
      <w:r w:rsidR="00547EE7" w:rsidRPr="006454B5">
        <w:rPr>
          <w:rFonts w:ascii="Arial" w:hAnsi="Arial" w:cs="Arial"/>
          <w:sz w:val="22"/>
        </w:rPr>
        <w:t xml:space="preserve"> understanding</w:t>
      </w:r>
      <w:r w:rsidR="005D5167" w:rsidRPr="006454B5">
        <w:rPr>
          <w:rFonts w:ascii="Arial" w:hAnsi="Arial" w:cs="Arial"/>
          <w:sz w:val="22"/>
        </w:rPr>
        <w:t xml:space="preserve"> of</w:t>
      </w:r>
      <w:r w:rsidR="00547EE7" w:rsidRPr="006454B5">
        <w:rPr>
          <w:rFonts w:ascii="Arial" w:hAnsi="Arial" w:cs="Arial"/>
          <w:sz w:val="22"/>
        </w:rPr>
        <w:t xml:space="preserve"> the impact of ha</w:t>
      </w:r>
      <w:r w:rsidR="00863BEF" w:rsidRPr="006454B5">
        <w:rPr>
          <w:rFonts w:ascii="Arial" w:hAnsi="Arial" w:cs="Arial"/>
          <w:sz w:val="22"/>
        </w:rPr>
        <w:t>nding over</w:t>
      </w:r>
      <w:r w:rsidR="00547EE7" w:rsidRPr="006454B5">
        <w:rPr>
          <w:rFonts w:ascii="Arial" w:hAnsi="Arial" w:cs="Arial"/>
          <w:sz w:val="22"/>
        </w:rPr>
        <w:t xml:space="preserve"> a </w:t>
      </w:r>
      <w:r w:rsidR="003D276F" w:rsidRPr="006454B5">
        <w:rPr>
          <w:rFonts w:ascii="Arial" w:hAnsi="Arial" w:cs="Arial"/>
          <w:sz w:val="22"/>
        </w:rPr>
        <w:t>mobile/</w:t>
      </w:r>
      <w:r w:rsidR="00547EE7" w:rsidRPr="006454B5">
        <w:rPr>
          <w:rFonts w:ascii="Arial" w:hAnsi="Arial" w:cs="Arial"/>
          <w:sz w:val="22"/>
        </w:rPr>
        <w:t>cell phone, which may be used for personal and professional purposes</w:t>
      </w:r>
      <w:r w:rsidR="00863BEF" w:rsidRPr="006454B5">
        <w:rPr>
          <w:rFonts w:ascii="Arial" w:hAnsi="Arial" w:cs="Arial"/>
          <w:sz w:val="22"/>
        </w:rPr>
        <w:t>, to an investigation for several months</w:t>
      </w:r>
      <w:r w:rsidR="005D5167" w:rsidRPr="006454B5">
        <w:rPr>
          <w:rFonts w:ascii="Arial" w:hAnsi="Arial" w:cs="Arial"/>
          <w:sz w:val="22"/>
        </w:rPr>
        <w:t xml:space="preserve"> is needed</w:t>
      </w:r>
      <w:r w:rsidR="00547EE7" w:rsidRPr="006454B5">
        <w:rPr>
          <w:rFonts w:ascii="Arial" w:hAnsi="Arial" w:cs="Arial"/>
          <w:sz w:val="22"/>
        </w:rPr>
        <w:t>.</w:t>
      </w:r>
      <w:r w:rsidR="005F62B1" w:rsidRPr="006454B5">
        <w:rPr>
          <w:rFonts w:ascii="Arial" w:hAnsi="Arial" w:cs="Arial"/>
          <w:sz w:val="22"/>
        </w:rPr>
        <w:t xml:space="preserve"> </w:t>
      </w:r>
    </w:p>
    <w:p w14:paraId="2EB0405C" w14:textId="110187DA" w:rsidR="009F4F9E" w:rsidRPr="006454B5" w:rsidRDefault="005D5167" w:rsidP="00D650BF">
      <w:pPr>
        <w:spacing w:before="120" w:after="120"/>
        <w:ind w:firstLine="720"/>
        <w:contextualSpacing/>
        <w:rPr>
          <w:rFonts w:ascii="Arial" w:hAnsi="Arial" w:cs="Arial"/>
          <w:sz w:val="22"/>
        </w:rPr>
      </w:pPr>
      <w:r w:rsidRPr="006454B5">
        <w:rPr>
          <w:rFonts w:ascii="Arial" w:hAnsi="Arial" w:cs="Arial"/>
          <w:sz w:val="22"/>
        </w:rPr>
        <w:t>I</w:t>
      </w:r>
      <w:r w:rsidR="005F62B1" w:rsidRPr="006454B5">
        <w:rPr>
          <w:rFonts w:ascii="Arial" w:hAnsi="Arial" w:cs="Arial"/>
          <w:sz w:val="22"/>
        </w:rPr>
        <w:t>ncorporating evidence</w:t>
      </w:r>
      <w:r w:rsidRPr="006454B5">
        <w:rPr>
          <w:rFonts w:ascii="Arial" w:hAnsi="Arial" w:cs="Arial"/>
          <w:sz w:val="22"/>
        </w:rPr>
        <w:t xml:space="preserve"> </w:t>
      </w:r>
      <w:r w:rsidR="0096352E" w:rsidRPr="006454B5">
        <w:rPr>
          <w:rFonts w:ascii="Arial" w:hAnsi="Arial" w:cs="Arial"/>
          <w:sz w:val="22"/>
        </w:rPr>
        <w:t xml:space="preserve">surrounding the issues outlined above </w:t>
      </w:r>
      <w:r w:rsidRPr="006454B5">
        <w:rPr>
          <w:rFonts w:ascii="Arial" w:hAnsi="Arial" w:cs="Arial"/>
          <w:sz w:val="22"/>
        </w:rPr>
        <w:t>into police</w:t>
      </w:r>
      <w:r w:rsidR="005F62B1" w:rsidRPr="006454B5">
        <w:rPr>
          <w:rFonts w:ascii="Arial" w:hAnsi="Arial" w:cs="Arial"/>
          <w:sz w:val="22"/>
        </w:rPr>
        <w:t xml:space="preserve"> training may provide officers and investigators </w:t>
      </w:r>
      <w:r w:rsidR="0096352E" w:rsidRPr="006454B5">
        <w:rPr>
          <w:rFonts w:ascii="Arial" w:hAnsi="Arial" w:cs="Arial"/>
          <w:sz w:val="22"/>
        </w:rPr>
        <w:t>with an opportunity for</w:t>
      </w:r>
      <w:r w:rsidR="005F62B1" w:rsidRPr="006454B5">
        <w:rPr>
          <w:rFonts w:ascii="Arial" w:hAnsi="Arial" w:cs="Arial"/>
          <w:sz w:val="22"/>
        </w:rPr>
        <w:t xml:space="preserve"> reflection o</w:t>
      </w:r>
      <w:r w:rsidR="0096352E" w:rsidRPr="006454B5">
        <w:rPr>
          <w:rFonts w:ascii="Arial" w:hAnsi="Arial" w:cs="Arial"/>
          <w:sz w:val="22"/>
        </w:rPr>
        <w:t>n</w:t>
      </w:r>
      <w:r w:rsidR="005F62B1" w:rsidRPr="006454B5">
        <w:rPr>
          <w:rFonts w:ascii="Arial" w:hAnsi="Arial" w:cs="Arial"/>
          <w:sz w:val="22"/>
        </w:rPr>
        <w:t xml:space="preserve"> the </w:t>
      </w:r>
      <w:r w:rsidR="0096352E" w:rsidRPr="006454B5">
        <w:rPr>
          <w:rFonts w:ascii="Arial" w:hAnsi="Arial" w:cs="Arial"/>
          <w:sz w:val="22"/>
        </w:rPr>
        <w:t xml:space="preserve">pivotal role </w:t>
      </w:r>
      <w:r w:rsidR="0096352E" w:rsidRPr="006454B5">
        <w:rPr>
          <w:rFonts w:ascii="Arial" w:hAnsi="Arial" w:cs="Arial"/>
          <w:sz w:val="22"/>
        </w:rPr>
        <w:lastRenderedPageBreak/>
        <w:t>such</w:t>
      </w:r>
      <w:r w:rsidR="005F62B1" w:rsidRPr="006454B5">
        <w:rPr>
          <w:rFonts w:ascii="Arial" w:hAnsi="Arial" w:cs="Arial"/>
          <w:sz w:val="22"/>
        </w:rPr>
        <w:t xml:space="preserve"> characteristics have for </w:t>
      </w:r>
      <w:r w:rsidR="00290FFD" w:rsidRPr="006454B5">
        <w:rPr>
          <w:rFonts w:ascii="Arial" w:hAnsi="Arial" w:cs="Arial"/>
          <w:sz w:val="22"/>
        </w:rPr>
        <w:t xml:space="preserve">victims and the trajectories of their </w:t>
      </w:r>
      <w:r w:rsidR="005F62B1" w:rsidRPr="006454B5">
        <w:rPr>
          <w:rFonts w:ascii="Arial" w:hAnsi="Arial" w:cs="Arial"/>
          <w:sz w:val="22"/>
        </w:rPr>
        <w:t>case</w:t>
      </w:r>
      <w:r w:rsidR="00290FFD" w:rsidRPr="006454B5">
        <w:rPr>
          <w:rFonts w:ascii="Arial" w:hAnsi="Arial" w:cs="Arial"/>
          <w:sz w:val="22"/>
        </w:rPr>
        <w:t>s</w:t>
      </w:r>
      <w:r w:rsidR="0096352E" w:rsidRPr="006454B5">
        <w:rPr>
          <w:rFonts w:ascii="Arial" w:hAnsi="Arial" w:cs="Arial"/>
          <w:sz w:val="22"/>
        </w:rPr>
        <w:t>. This could, in turn,</w:t>
      </w:r>
      <w:r w:rsidRPr="006454B5">
        <w:rPr>
          <w:rFonts w:ascii="Arial" w:hAnsi="Arial" w:cs="Arial"/>
          <w:sz w:val="22"/>
        </w:rPr>
        <w:t xml:space="preserve"> </w:t>
      </w:r>
      <w:r w:rsidR="0096352E" w:rsidRPr="006454B5">
        <w:rPr>
          <w:rFonts w:ascii="Arial" w:hAnsi="Arial" w:cs="Arial"/>
          <w:sz w:val="22"/>
        </w:rPr>
        <w:t>inform</w:t>
      </w:r>
      <w:r w:rsidR="00644018" w:rsidRPr="006454B5">
        <w:rPr>
          <w:rFonts w:ascii="Arial" w:hAnsi="Arial" w:cs="Arial"/>
          <w:sz w:val="22"/>
        </w:rPr>
        <w:t xml:space="preserve"> intelligence-based frameworks for enhancing victim experience and procedural adherence in the presence of differential levels of need and risk. </w:t>
      </w:r>
      <w:r w:rsidR="0096352E" w:rsidRPr="006454B5">
        <w:rPr>
          <w:rFonts w:ascii="Arial" w:hAnsi="Arial" w:cs="Arial"/>
          <w:sz w:val="22"/>
        </w:rPr>
        <w:t>Moreover, t</w:t>
      </w:r>
      <w:r w:rsidR="000F2468" w:rsidRPr="006454B5">
        <w:rPr>
          <w:rFonts w:ascii="Arial" w:hAnsi="Arial" w:cs="Arial"/>
          <w:sz w:val="22"/>
        </w:rPr>
        <w:t xml:space="preserve">he development of </w:t>
      </w:r>
      <w:r w:rsidR="00D33913" w:rsidRPr="006454B5">
        <w:rPr>
          <w:rFonts w:ascii="Arial" w:hAnsi="Arial" w:cs="Arial"/>
          <w:sz w:val="22"/>
        </w:rPr>
        <w:t>tool</w:t>
      </w:r>
      <w:r w:rsidR="0096352E" w:rsidRPr="006454B5">
        <w:rPr>
          <w:rFonts w:ascii="Arial" w:hAnsi="Arial" w:cs="Arial"/>
          <w:sz w:val="22"/>
        </w:rPr>
        <w:t>s</w:t>
      </w:r>
      <w:r w:rsidR="00D33913" w:rsidRPr="006454B5">
        <w:rPr>
          <w:rFonts w:ascii="Arial" w:hAnsi="Arial" w:cs="Arial"/>
          <w:sz w:val="22"/>
        </w:rPr>
        <w:t xml:space="preserve"> for assessing interactions with victims</w:t>
      </w:r>
      <w:r w:rsidR="0096352E" w:rsidRPr="006454B5">
        <w:rPr>
          <w:rFonts w:ascii="Arial" w:hAnsi="Arial" w:cs="Arial"/>
          <w:sz w:val="22"/>
        </w:rPr>
        <w:t>,</w:t>
      </w:r>
      <w:r w:rsidR="00D33913" w:rsidRPr="006454B5">
        <w:rPr>
          <w:rFonts w:ascii="Arial" w:hAnsi="Arial" w:cs="Arial"/>
          <w:sz w:val="22"/>
        </w:rPr>
        <w:t xml:space="preserve"> and </w:t>
      </w:r>
      <w:r w:rsidR="0096352E" w:rsidRPr="006454B5">
        <w:rPr>
          <w:rFonts w:ascii="Arial" w:hAnsi="Arial" w:cs="Arial"/>
          <w:sz w:val="22"/>
        </w:rPr>
        <w:t xml:space="preserve">the </w:t>
      </w:r>
      <w:r w:rsidR="00D33913" w:rsidRPr="006454B5">
        <w:rPr>
          <w:rFonts w:ascii="Arial" w:hAnsi="Arial" w:cs="Arial"/>
          <w:sz w:val="22"/>
        </w:rPr>
        <w:t>enhanced development of trauma-informed policing in relation to sexual assault</w:t>
      </w:r>
      <w:r w:rsidR="0096352E" w:rsidRPr="006454B5">
        <w:rPr>
          <w:rFonts w:ascii="Arial" w:hAnsi="Arial" w:cs="Arial"/>
          <w:sz w:val="22"/>
        </w:rPr>
        <w:t>,</w:t>
      </w:r>
      <w:r w:rsidR="00D33913" w:rsidRPr="006454B5">
        <w:rPr>
          <w:rFonts w:ascii="Arial" w:hAnsi="Arial" w:cs="Arial"/>
          <w:sz w:val="22"/>
        </w:rPr>
        <w:t xml:space="preserve"> may serve to </w:t>
      </w:r>
      <w:r w:rsidR="0096352E" w:rsidRPr="006454B5">
        <w:rPr>
          <w:rFonts w:ascii="Arial" w:hAnsi="Arial" w:cs="Arial"/>
          <w:sz w:val="22"/>
        </w:rPr>
        <w:t xml:space="preserve">improve </w:t>
      </w:r>
      <w:r w:rsidR="00D33913" w:rsidRPr="006454B5">
        <w:rPr>
          <w:rFonts w:ascii="Arial" w:hAnsi="Arial" w:cs="Arial"/>
          <w:sz w:val="22"/>
        </w:rPr>
        <w:t xml:space="preserve">victim experience while better understanding the barriers and facilitators to </w:t>
      </w:r>
      <w:r w:rsidR="0096352E" w:rsidRPr="006454B5">
        <w:rPr>
          <w:rFonts w:ascii="Arial" w:hAnsi="Arial" w:cs="Arial"/>
          <w:sz w:val="22"/>
        </w:rPr>
        <w:t>effective, trauma-informed responses to rape cases</w:t>
      </w:r>
      <w:r w:rsidR="00D33913" w:rsidRPr="006454B5">
        <w:rPr>
          <w:rFonts w:ascii="Arial" w:hAnsi="Arial" w:cs="Arial"/>
          <w:sz w:val="22"/>
        </w:rPr>
        <w:t xml:space="preserve">. </w:t>
      </w:r>
    </w:p>
    <w:p w14:paraId="713F9BB0" w14:textId="499D1539" w:rsidR="00B7742F" w:rsidRPr="006454B5" w:rsidRDefault="00B7742F" w:rsidP="006454B5">
      <w:pPr>
        <w:spacing w:before="120" w:after="120"/>
        <w:contextualSpacing/>
        <w:rPr>
          <w:rFonts w:ascii="Arial" w:hAnsi="Arial" w:cs="Arial"/>
          <w:sz w:val="22"/>
        </w:rPr>
      </w:pPr>
    </w:p>
    <w:p w14:paraId="56BD9C2F" w14:textId="3AA1E19D" w:rsidR="009F4F9E" w:rsidRPr="006454B5" w:rsidRDefault="009F4F9E" w:rsidP="000C7544">
      <w:pPr>
        <w:spacing w:before="120" w:after="120"/>
        <w:contextualSpacing/>
        <w:jc w:val="center"/>
        <w:rPr>
          <w:rFonts w:ascii="Arial" w:hAnsi="Arial" w:cs="Arial"/>
          <w:b/>
          <w:bCs/>
          <w:sz w:val="22"/>
        </w:rPr>
      </w:pPr>
      <w:r w:rsidRPr="006454B5">
        <w:rPr>
          <w:rFonts w:ascii="Arial" w:hAnsi="Arial" w:cs="Arial"/>
          <w:b/>
          <w:bCs/>
          <w:sz w:val="22"/>
        </w:rPr>
        <w:t>References</w:t>
      </w:r>
    </w:p>
    <w:p w14:paraId="4C62F32C" w14:textId="0AE5DC70" w:rsidR="006A35F9" w:rsidRPr="006454B5" w:rsidRDefault="006A35F9" w:rsidP="000C7544">
      <w:pPr>
        <w:spacing w:before="120" w:after="120"/>
        <w:ind w:left="720" w:hanging="720"/>
        <w:contextualSpacing/>
        <w:rPr>
          <w:rFonts w:asciiTheme="minorBidi" w:hAnsiTheme="minorBidi"/>
          <w:sz w:val="22"/>
        </w:rPr>
      </w:pPr>
      <w:r w:rsidRPr="006454B5">
        <w:rPr>
          <w:rFonts w:asciiTheme="minorBidi" w:hAnsiTheme="minorBidi"/>
          <w:noProof/>
          <w:sz w:val="22"/>
        </w:rPr>
        <w:t xml:space="preserve">Almond, L., McManus, M., Brian, D., &amp; Merrington, D. P. (2019). Exploration of the risk factors contained within the UK’s existing domestic abuse risk assessment tool (DASH): do these risk factors have individual predictive validity regarding recidivism? </w:t>
      </w:r>
      <w:r w:rsidRPr="006454B5">
        <w:rPr>
          <w:rFonts w:asciiTheme="minorBidi" w:hAnsiTheme="minorBidi"/>
          <w:i/>
          <w:noProof/>
          <w:sz w:val="22"/>
        </w:rPr>
        <w:t>Journal of Aggression, Conflict and Peace Research, 9</w:t>
      </w:r>
      <w:r w:rsidRPr="006454B5">
        <w:rPr>
          <w:rFonts w:asciiTheme="minorBidi" w:hAnsiTheme="minorBidi"/>
          <w:noProof/>
          <w:sz w:val="22"/>
        </w:rPr>
        <w:t xml:space="preserve">, 58-68. </w:t>
      </w:r>
      <w:hyperlink r:id="rId9" w:history="1">
        <w:r w:rsidR="00AC3B55" w:rsidRPr="006454B5">
          <w:rPr>
            <w:rStyle w:val="Hyperlink"/>
            <w:rFonts w:asciiTheme="minorBidi" w:hAnsiTheme="minorBidi"/>
            <w:noProof/>
            <w:sz w:val="22"/>
          </w:rPr>
          <w:t>https://doi:10.1108/JACPR-01-2016-0211</w:t>
        </w:r>
      </w:hyperlink>
      <w:r w:rsidR="00AC3B55" w:rsidRPr="006454B5">
        <w:rPr>
          <w:rFonts w:asciiTheme="minorBidi" w:hAnsiTheme="minorBidi"/>
          <w:noProof/>
          <w:sz w:val="22"/>
        </w:rPr>
        <w:t xml:space="preserve"> </w:t>
      </w:r>
    </w:p>
    <w:p w14:paraId="61DFA093" w14:textId="585B0DE6" w:rsidR="009F4F9E" w:rsidRPr="006454B5" w:rsidRDefault="009F4F9E" w:rsidP="000C7544">
      <w:pPr>
        <w:spacing w:before="120" w:after="120"/>
        <w:ind w:left="720" w:hanging="720"/>
        <w:contextualSpacing/>
        <w:rPr>
          <w:rFonts w:asciiTheme="minorBidi" w:hAnsiTheme="minorBidi"/>
          <w:sz w:val="22"/>
        </w:rPr>
      </w:pPr>
      <w:proofErr w:type="spellStart"/>
      <w:r w:rsidRPr="006454B5">
        <w:rPr>
          <w:rFonts w:asciiTheme="minorBidi" w:hAnsiTheme="minorBidi"/>
          <w:sz w:val="22"/>
        </w:rPr>
        <w:t>Angiolini</w:t>
      </w:r>
      <w:proofErr w:type="spellEnd"/>
      <w:r w:rsidRPr="006454B5">
        <w:rPr>
          <w:rFonts w:asciiTheme="minorBidi" w:hAnsiTheme="minorBidi"/>
          <w:sz w:val="22"/>
        </w:rPr>
        <w:t xml:space="preserve">, E. (2015). </w:t>
      </w:r>
      <w:r w:rsidRPr="006454B5">
        <w:rPr>
          <w:rFonts w:asciiTheme="minorBidi" w:hAnsiTheme="minorBidi"/>
          <w:i/>
          <w:iCs/>
          <w:sz w:val="22"/>
        </w:rPr>
        <w:t xml:space="preserve">Report of the Independent Review into </w:t>
      </w:r>
      <w:proofErr w:type="gramStart"/>
      <w:r w:rsidRPr="006454B5">
        <w:rPr>
          <w:rFonts w:asciiTheme="minorBidi" w:hAnsiTheme="minorBidi"/>
          <w:i/>
          <w:iCs/>
          <w:sz w:val="22"/>
        </w:rPr>
        <w:t>The</w:t>
      </w:r>
      <w:proofErr w:type="gramEnd"/>
      <w:r w:rsidRPr="006454B5">
        <w:rPr>
          <w:rFonts w:asciiTheme="minorBidi" w:hAnsiTheme="minorBidi"/>
          <w:i/>
          <w:iCs/>
          <w:sz w:val="22"/>
        </w:rPr>
        <w:t xml:space="preserve"> Investigation and Prosecution of Rape in London.</w:t>
      </w:r>
      <w:r w:rsidRPr="006454B5">
        <w:rPr>
          <w:rFonts w:asciiTheme="minorBidi" w:hAnsiTheme="minorBidi"/>
          <w:sz w:val="22"/>
        </w:rPr>
        <w:t xml:space="preserve"> </w:t>
      </w:r>
      <w:r w:rsidR="00BF4F5F" w:rsidRPr="006454B5">
        <w:rPr>
          <w:rFonts w:asciiTheme="minorBidi" w:hAnsiTheme="minorBidi"/>
          <w:sz w:val="22"/>
        </w:rPr>
        <w:t xml:space="preserve">Available from: </w:t>
      </w:r>
      <w:hyperlink r:id="rId10" w:history="1">
        <w:r w:rsidR="00BF4F5F" w:rsidRPr="006454B5">
          <w:rPr>
            <w:rStyle w:val="Hyperlink"/>
            <w:rFonts w:asciiTheme="minorBidi" w:hAnsiTheme="minorBidi"/>
            <w:sz w:val="22"/>
          </w:rPr>
          <w:t>https://www.cps.gov.uk/sites/default/files/documents/publications/dame_elish_angiolini_rape_review_2015.pdf</w:t>
        </w:r>
      </w:hyperlink>
      <w:r w:rsidR="00BF4F5F" w:rsidRPr="006454B5">
        <w:rPr>
          <w:rFonts w:asciiTheme="minorBidi" w:hAnsiTheme="minorBidi"/>
          <w:sz w:val="22"/>
        </w:rPr>
        <w:t xml:space="preserve"> [Accessed 14 Apr 2020].</w:t>
      </w:r>
    </w:p>
    <w:p w14:paraId="5B1FFF4B" w14:textId="34A391FE" w:rsidR="009F4F9E" w:rsidRPr="006454B5" w:rsidRDefault="009F4F9E" w:rsidP="000C7544">
      <w:pPr>
        <w:spacing w:before="120" w:after="120"/>
        <w:ind w:left="720" w:hanging="720"/>
        <w:contextualSpacing/>
        <w:rPr>
          <w:rFonts w:asciiTheme="minorBidi" w:hAnsiTheme="minorBidi"/>
          <w:sz w:val="22"/>
        </w:rPr>
      </w:pPr>
      <w:r w:rsidRPr="006454B5">
        <w:rPr>
          <w:rFonts w:asciiTheme="minorBidi" w:hAnsiTheme="minorBidi"/>
          <w:sz w:val="22"/>
        </w:rPr>
        <w:t xml:space="preserve">BBC News. (2019). Rape victims among those to be asked to hand phones to police. </w:t>
      </w:r>
      <w:r w:rsidR="00EC731F" w:rsidRPr="006454B5">
        <w:rPr>
          <w:rFonts w:asciiTheme="minorBidi" w:hAnsiTheme="minorBidi"/>
          <w:sz w:val="22"/>
        </w:rPr>
        <w:t>Available</w:t>
      </w:r>
      <w:r w:rsidRPr="006454B5">
        <w:rPr>
          <w:rFonts w:asciiTheme="minorBidi" w:hAnsiTheme="minorBidi"/>
          <w:sz w:val="22"/>
        </w:rPr>
        <w:t xml:space="preserve"> from</w:t>
      </w:r>
      <w:r w:rsidR="00EC731F" w:rsidRPr="006454B5">
        <w:rPr>
          <w:rFonts w:asciiTheme="minorBidi" w:hAnsiTheme="minorBidi"/>
          <w:sz w:val="22"/>
        </w:rPr>
        <w:t>:</w:t>
      </w:r>
      <w:r w:rsidRPr="006454B5">
        <w:rPr>
          <w:rFonts w:asciiTheme="minorBidi" w:hAnsiTheme="minorBidi"/>
          <w:sz w:val="22"/>
        </w:rPr>
        <w:t xml:space="preserve"> </w:t>
      </w:r>
      <w:hyperlink r:id="rId11" w:history="1">
        <w:r w:rsidR="00EC731F" w:rsidRPr="006454B5">
          <w:rPr>
            <w:rStyle w:val="Hyperlink"/>
            <w:rFonts w:asciiTheme="minorBidi" w:hAnsiTheme="minorBidi"/>
            <w:sz w:val="22"/>
          </w:rPr>
          <w:t>https://www.bbc.com/news/uk-48086244</w:t>
        </w:r>
      </w:hyperlink>
      <w:r w:rsidR="00EC731F" w:rsidRPr="006454B5">
        <w:rPr>
          <w:rFonts w:asciiTheme="minorBidi" w:hAnsiTheme="minorBidi"/>
          <w:sz w:val="22"/>
        </w:rPr>
        <w:t xml:space="preserve"> [Accessed 14 Apr 2020].</w:t>
      </w:r>
    </w:p>
    <w:p w14:paraId="7591BC8E" w14:textId="58199544" w:rsidR="009F4F9E" w:rsidRPr="006454B5" w:rsidRDefault="009F4F9E" w:rsidP="000C7544">
      <w:pPr>
        <w:spacing w:before="120" w:after="120"/>
        <w:ind w:left="720" w:hanging="720"/>
        <w:contextualSpacing/>
        <w:rPr>
          <w:rFonts w:asciiTheme="minorBidi" w:hAnsiTheme="minorBidi"/>
          <w:sz w:val="22"/>
        </w:rPr>
      </w:pPr>
      <w:r w:rsidRPr="006454B5">
        <w:rPr>
          <w:rFonts w:asciiTheme="minorBidi" w:hAnsiTheme="minorBidi"/>
          <w:sz w:val="22"/>
        </w:rPr>
        <w:t xml:space="preserve">Brooks, O., &amp; Burman, M. (2017). Reporting rape: Victim perspectives on advocacy support in the criminal justice process. </w:t>
      </w:r>
      <w:r w:rsidRPr="006454B5">
        <w:rPr>
          <w:rFonts w:asciiTheme="minorBidi" w:hAnsiTheme="minorBidi"/>
          <w:i/>
          <w:iCs/>
          <w:sz w:val="22"/>
        </w:rPr>
        <w:t>Criminology and Criminal Justice, 17</w:t>
      </w:r>
      <w:r w:rsidRPr="006454B5">
        <w:rPr>
          <w:rFonts w:asciiTheme="minorBidi" w:hAnsiTheme="minorBidi"/>
          <w:sz w:val="22"/>
        </w:rPr>
        <w:t xml:space="preserve">(2), 209–225. </w:t>
      </w:r>
      <w:hyperlink r:id="rId12" w:history="1">
        <w:r w:rsidR="009A5BBA" w:rsidRPr="006454B5">
          <w:rPr>
            <w:rStyle w:val="Hyperlink"/>
            <w:rFonts w:asciiTheme="minorBidi" w:hAnsiTheme="minorBidi"/>
            <w:sz w:val="22"/>
          </w:rPr>
          <w:t>https://doi.org/10.1177/1748895816667996</w:t>
        </w:r>
      </w:hyperlink>
      <w:r w:rsidR="009A5BBA" w:rsidRPr="006454B5">
        <w:rPr>
          <w:rFonts w:asciiTheme="minorBidi" w:hAnsiTheme="minorBidi"/>
          <w:sz w:val="22"/>
        </w:rPr>
        <w:t xml:space="preserve"> </w:t>
      </w:r>
    </w:p>
    <w:p w14:paraId="6BA785C0" w14:textId="02E9E7E9" w:rsidR="006454B5" w:rsidRPr="006454B5" w:rsidRDefault="006454B5" w:rsidP="006454B5">
      <w:pPr>
        <w:spacing w:before="120" w:after="120"/>
        <w:ind w:left="720" w:hanging="720"/>
        <w:contextualSpacing/>
        <w:rPr>
          <w:rFonts w:asciiTheme="minorBidi" w:hAnsiTheme="minorBidi"/>
          <w:sz w:val="22"/>
        </w:rPr>
      </w:pPr>
      <w:proofErr w:type="spellStart"/>
      <w:r w:rsidRPr="006454B5">
        <w:rPr>
          <w:rFonts w:asciiTheme="minorBidi" w:hAnsiTheme="minorBidi"/>
          <w:sz w:val="22"/>
        </w:rPr>
        <w:t>Brouillette-Alarie</w:t>
      </w:r>
      <w:proofErr w:type="spellEnd"/>
      <w:r w:rsidRPr="006454B5">
        <w:rPr>
          <w:rFonts w:asciiTheme="minorBidi" w:hAnsiTheme="minorBidi"/>
          <w:sz w:val="22"/>
        </w:rPr>
        <w:t xml:space="preserve">, S., &amp; </w:t>
      </w:r>
      <w:proofErr w:type="spellStart"/>
      <w:r w:rsidRPr="006454B5">
        <w:rPr>
          <w:rFonts w:asciiTheme="minorBidi" w:hAnsiTheme="minorBidi"/>
          <w:sz w:val="22"/>
        </w:rPr>
        <w:t>Proulx</w:t>
      </w:r>
      <w:proofErr w:type="spellEnd"/>
      <w:r w:rsidRPr="006454B5">
        <w:rPr>
          <w:rFonts w:asciiTheme="minorBidi" w:hAnsiTheme="minorBidi"/>
          <w:sz w:val="22"/>
        </w:rPr>
        <w:t xml:space="preserve">, J. (2019). The </w:t>
      </w:r>
      <w:proofErr w:type="spellStart"/>
      <w:r w:rsidRPr="006454B5">
        <w:rPr>
          <w:rFonts w:asciiTheme="minorBidi" w:hAnsiTheme="minorBidi"/>
          <w:sz w:val="22"/>
        </w:rPr>
        <w:t>etiology</w:t>
      </w:r>
      <w:proofErr w:type="spellEnd"/>
      <w:r w:rsidRPr="006454B5">
        <w:rPr>
          <w:rFonts w:asciiTheme="minorBidi" w:hAnsiTheme="minorBidi"/>
          <w:sz w:val="22"/>
        </w:rPr>
        <w:t xml:space="preserve"> of risk in sexual offenders: A preliminary model. </w:t>
      </w:r>
      <w:r w:rsidRPr="006454B5">
        <w:rPr>
          <w:rFonts w:asciiTheme="minorBidi" w:hAnsiTheme="minorBidi"/>
          <w:i/>
          <w:iCs/>
          <w:sz w:val="22"/>
        </w:rPr>
        <w:t>Sexual Abuse</w:t>
      </w:r>
      <w:r w:rsidRPr="006454B5">
        <w:rPr>
          <w:rFonts w:asciiTheme="minorBidi" w:hAnsiTheme="minorBidi"/>
          <w:sz w:val="22"/>
        </w:rPr>
        <w:t>, </w:t>
      </w:r>
      <w:r w:rsidRPr="006454B5">
        <w:rPr>
          <w:rFonts w:asciiTheme="minorBidi" w:hAnsiTheme="minorBidi"/>
          <w:i/>
          <w:iCs/>
          <w:sz w:val="22"/>
        </w:rPr>
        <w:t>31</w:t>
      </w:r>
      <w:r w:rsidRPr="006454B5">
        <w:rPr>
          <w:rFonts w:asciiTheme="minorBidi" w:hAnsiTheme="minorBidi"/>
          <w:sz w:val="22"/>
        </w:rPr>
        <w:t xml:space="preserve">(4), 431. 55. </w:t>
      </w:r>
      <w:hyperlink r:id="rId13" w:history="1">
        <w:r w:rsidRPr="006454B5">
          <w:rPr>
            <w:rStyle w:val="Hyperlink"/>
            <w:rFonts w:ascii="Arial" w:hAnsi="Arial" w:cs="Arial"/>
            <w:color w:val="006ACC"/>
            <w:sz w:val="22"/>
            <w:shd w:val="clear" w:color="auto" w:fill="FFFFFF"/>
          </w:rPr>
          <w:t>https://doi.org/10.1177/1079063218759325</w:t>
        </w:r>
      </w:hyperlink>
    </w:p>
    <w:p w14:paraId="72FB8B65" w14:textId="3158E3BF" w:rsidR="009F4F9E" w:rsidRPr="006454B5" w:rsidRDefault="009F4F9E" w:rsidP="000C7544">
      <w:pPr>
        <w:spacing w:before="120" w:after="120"/>
        <w:ind w:left="720" w:hanging="720"/>
        <w:contextualSpacing/>
        <w:rPr>
          <w:rFonts w:asciiTheme="minorBidi" w:hAnsiTheme="minorBidi"/>
          <w:sz w:val="22"/>
        </w:rPr>
      </w:pPr>
      <w:r w:rsidRPr="006454B5">
        <w:rPr>
          <w:rFonts w:asciiTheme="minorBidi" w:hAnsiTheme="minorBidi"/>
          <w:sz w:val="22"/>
        </w:rPr>
        <w:t xml:space="preserve">Campbell, R. (2006). Rape survivors’ experiences. </w:t>
      </w:r>
      <w:r w:rsidRPr="006454B5">
        <w:rPr>
          <w:rFonts w:asciiTheme="minorBidi" w:hAnsiTheme="minorBidi"/>
          <w:i/>
          <w:iCs/>
          <w:sz w:val="22"/>
        </w:rPr>
        <w:t xml:space="preserve">Violence </w:t>
      </w:r>
      <w:proofErr w:type="gramStart"/>
      <w:r w:rsidRPr="006454B5">
        <w:rPr>
          <w:rFonts w:asciiTheme="minorBidi" w:hAnsiTheme="minorBidi"/>
          <w:i/>
          <w:iCs/>
          <w:sz w:val="22"/>
        </w:rPr>
        <w:t>Against</w:t>
      </w:r>
      <w:proofErr w:type="gramEnd"/>
      <w:r w:rsidRPr="006454B5">
        <w:rPr>
          <w:rFonts w:asciiTheme="minorBidi" w:hAnsiTheme="minorBidi"/>
          <w:i/>
          <w:iCs/>
          <w:sz w:val="22"/>
        </w:rPr>
        <w:t xml:space="preserve"> Women, 12</w:t>
      </w:r>
      <w:r w:rsidRPr="006454B5">
        <w:rPr>
          <w:rFonts w:asciiTheme="minorBidi" w:hAnsiTheme="minorBidi"/>
          <w:sz w:val="22"/>
        </w:rPr>
        <w:t xml:space="preserve">(1), 30–45. </w:t>
      </w:r>
      <w:hyperlink r:id="rId14" w:history="1">
        <w:r w:rsidR="009A5BBA" w:rsidRPr="006454B5">
          <w:rPr>
            <w:rStyle w:val="Hyperlink"/>
            <w:rFonts w:asciiTheme="minorBidi" w:hAnsiTheme="minorBidi"/>
            <w:sz w:val="22"/>
          </w:rPr>
          <w:t>https://doi.org/10.1177/1077801205277539</w:t>
        </w:r>
      </w:hyperlink>
      <w:r w:rsidR="009A5BBA" w:rsidRPr="006454B5">
        <w:rPr>
          <w:rFonts w:asciiTheme="minorBidi" w:hAnsiTheme="minorBidi"/>
          <w:sz w:val="22"/>
        </w:rPr>
        <w:t xml:space="preserve"> </w:t>
      </w:r>
    </w:p>
    <w:p w14:paraId="489271DE" w14:textId="260A6157" w:rsidR="00691FA0" w:rsidRPr="006454B5" w:rsidRDefault="00691FA0" w:rsidP="000C7544">
      <w:pPr>
        <w:spacing w:before="120" w:after="120"/>
        <w:ind w:left="720" w:hanging="720"/>
        <w:contextualSpacing/>
        <w:rPr>
          <w:rFonts w:asciiTheme="minorBidi" w:hAnsiTheme="minorBidi"/>
          <w:noProof/>
          <w:sz w:val="22"/>
        </w:rPr>
      </w:pPr>
      <w:r w:rsidRPr="006454B5">
        <w:rPr>
          <w:rFonts w:asciiTheme="minorBidi" w:hAnsiTheme="minorBidi"/>
          <w:noProof/>
          <w:sz w:val="22"/>
        </w:rPr>
        <w:lastRenderedPageBreak/>
        <w:t xml:space="preserve">Campbell, R., Patterson, D., &amp; Lichty, L. F. (2005). The effectiveness of Sexual Assault Nurse Examiner (SANE) programs: A review of psychological, medical, legal, and community outcomes. </w:t>
      </w:r>
      <w:r w:rsidRPr="006454B5">
        <w:rPr>
          <w:rFonts w:asciiTheme="minorBidi" w:hAnsiTheme="minorBidi"/>
          <w:i/>
          <w:noProof/>
          <w:sz w:val="22"/>
        </w:rPr>
        <w:t>Trauma, Violence, &amp; Abuse, 6</w:t>
      </w:r>
      <w:r w:rsidRPr="006454B5">
        <w:rPr>
          <w:rFonts w:asciiTheme="minorBidi" w:hAnsiTheme="minorBidi"/>
          <w:noProof/>
          <w:sz w:val="22"/>
        </w:rPr>
        <w:t xml:space="preserve">, 313-329. </w:t>
      </w:r>
      <w:hyperlink r:id="rId15" w:history="1">
        <w:r w:rsidR="00AC3B55" w:rsidRPr="006454B5">
          <w:rPr>
            <w:rStyle w:val="Hyperlink"/>
            <w:rFonts w:asciiTheme="minorBidi" w:hAnsiTheme="minorBidi"/>
            <w:noProof/>
            <w:sz w:val="22"/>
          </w:rPr>
          <w:t>https://doi:10.1177/1524838005280328</w:t>
        </w:r>
      </w:hyperlink>
      <w:r w:rsidR="00AC3B55" w:rsidRPr="006454B5">
        <w:rPr>
          <w:rFonts w:asciiTheme="minorBidi" w:hAnsiTheme="minorBidi"/>
          <w:noProof/>
          <w:sz w:val="22"/>
        </w:rPr>
        <w:t xml:space="preserve"> </w:t>
      </w:r>
    </w:p>
    <w:p w14:paraId="125FDC0B" w14:textId="52D8E528" w:rsidR="00BD6F43" w:rsidRPr="006454B5" w:rsidRDefault="00BD6F43" w:rsidP="000C7544">
      <w:pPr>
        <w:spacing w:before="120" w:after="120"/>
        <w:ind w:left="720" w:hanging="720"/>
        <w:contextualSpacing/>
        <w:rPr>
          <w:rFonts w:asciiTheme="minorBidi" w:hAnsiTheme="minorBidi"/>
          <w:sz w:val="22"/>
        </w:rPr>
      </w:pPr>
      <w:r w:rsidRPr="006454B5">
        <w:rPr>
          <w:rFonts w:asciiTheme="minorBidi" w:hAnsiTheme="minorBidi"/>
          <w:sz w:val="22"/>
        </w:rPr>
        <w:t xml:space="preserve">Cashmore, J., Taylor, A., &amp; Parkinson, P. (2020). Fourteen-year trends in the criminal justice response to child sexual abuse reports in New South Wales. </w:t>
      </w:r>
      <w:r w:rsidRPr="006454B5">
        <w:rPr>
          <w:rFonts w:asciiTheme="minorBidi" w:hAnsiTheme="minorBidi"/>
          <w:i/>
          <w:iCs/>
          <w:sz w:val="22"/>
        </w:rPr>
        <w:t>Child Maltreatment, 25</w:t>
      </w:r>
      <w:r w:rsidRPr="006454B5">
        <w:rPr>
          <w:rFonts w:asciiTheme="minorBidi" w:hAnsiTheme="minorBidi"/>
          <w:sz w:val="22"/>
        </w:rPr>
        <w:t xml:space="preserve">(1), 85-95. </w:t>
      </w:r>
      <w:hyperlink r:id="rId16" w:history="1">
        <w:r w:rsidRPr="006454B5">
          <w:rPr>
            <w:rStyle w:val="Hyperlink"/>
            <w:rFonts w:asciiTheme="minorBidi" w:hAnsiTheme="minorBidi"/>
            <w:sz w:val="22"/>
          </w:rPr>
          <w:t>https://doi.org/10.1177/1077559519853042</w:t>
        </w:r>
      </w:hyperlink>
    </w:p>
    <w:p w14:paraId="371F8C9D" w14:textId="50BBF894" w:rsidR="009F4F9E" w:rsidRPr="006454B5" w:rsidRDefault="009F4F9E" w:rsidP="000C7544">
      <w:pPr>
        <w:spacing w:before="120" w:after="120"/>
        <w:ind w:left="720" w:hanging="720"/>
        <w:contextualSpacing/>
        <w:rPr>
          <w:rFonts w:asciiTheme="minorBidi" w:hAnsiTheme="minorBidi"/>
          <w:sz w:val="22"/>
        </w:rPr>
      </w:pPr>
      <w:r w:rsidRPr="006454B5">
        <w:rPr>
          <w:rFonts w:asciiTheme="minorBidi" w:hAnsiTheme="minorBidi"/>
          <w:sz w:val="22"/>
        </w:rPr>
        <w:t xml:space="preserve">Chambers, G., &amp; Miller, A. G. (1986). </w:t>
      </w:r>
      <w:r w:rsidRPr="006454B5">
        <w:rPr>
          <w:rFonts w:asciiTheme="minorBidi" w:hAnsiTheme="minorBidi"/>
          <w:i/>
          <w:iCs/>
          <w:sz w:val="22"/>
        </w:rPr>
        <w:t>Prosecuting Sexual Assault.</w:t>
      </w:r>
      <w:r w:rsidRPr="006454B5">
        <w:rPr>
          <w:rFonts w:asciiTheme="minorBidi" w:hAnsiTheme="minorBidi"/>
          <w:sz w:val="22"/>
        </w:rPr>
        <w:t xml:space="preserve"> </w:t>
      </w:r>
      <w:r w:rsidR="001641E4" w:rsidRPr="006454B5">
        <w:rPr>
          <w:rFonts w:asciiTheme="minorBidi" w:hAnsiTheme="minorBidi"/>
          <w:sz w:val="22"/>
        </w:rPr>
        <w:t xml:space="preserve">Edinburgh: </w:t>
      </w:r>
      <w:r w:rsidRPr="006454B5">
        <w:rPr>
          <w:rFonts w:asciiTheme="minorBidi" w:hAnsiTheme="minorBidi"/>
          <w:sz w:val="22"/>
        </w:rPr>
        <w:t>HMSO.</w:t>
      </w:r>
    </w:p>
    <w:p w14:paraId="506244AB" w14:textId="2D76B355" w:rsidR="009F4F9E" w:rsidRPr="006454B5" w:rsidRDefault="009F4F9E" w:rsidP="000C7544">
      <w:pPr>
        <w:spacing w:before="120" w:after="120"/>
        <w:ind w:left="720" w:hanging="720"/>
        <w:contextualSpacing/>
        <w:rPr>
          <w:rFonts w:asciiTheme="minorBidi" w:hAnsiTheme="minorBidi"/>
          <w:sz w:val="22"/>
        </w:rPr>
      </w:pPr>
      <w:r w:rsidRPr="006454B5">
        <w:rPr>
          <w:rFonts w:asciiTheme="minorBidi" w:hAnsiTheme="minorBidi"/>
          <w:sz w:val="22"/>
        </w:rPr>
        <w:t xml:space="preserve">Chen, Y., &amp; Ullman, S. E. (2010). Women’s reporting of sexual and physical assaults to police in the national violence against women survey. </w:t>
      </w:r>
      <w:r w:rsidRPr="006454B5">
        <w:rPr>
          <w:rFonts w:asciiTheme="minorBidi" w:hAnsiTheme="minorBidi"/>
          <w:i/>
          <w:iCs/>
          <w:sz w:val="22"/>
        </w:rPr>
        <w:t xml:space="preserve">Violence </w:t>
      </w:r>
      <w:proofErr w:type="gramStart"/>
      <w:r w:rsidRPr="006454B5">
        <w:rPr>
          <w:rFonts w:asciiTheme="minorBidi" w:hAnsiTheme="minorBidi"/>
          <w:i/>
          <w:iCs/>
          <w:sz w:val="22"/>
        </w:rPr>
        <w:t>Against</w:t>
      </w:r>
      <w:proofErr w:type="gramEnd"/>
      <w:r w:rsidRPr="006454B5">
        <w:rPr>
          <w:rFonts w:asciiTheme="minorBidi" w:hAnsiTheme="minorBidi"/>
          <w:i/>
          <w:iCs/>
          <w:sz w:val="22"/>
        </w:rPr>
        <w:t xml:space="preserve"> Women, 16</w:t>
      </w:r>
      <w:r w:rsidRPr="006454B5">
        <w:rPr>
          <w:rFonts w:asciiTheme="minorBidi" w:hAnsiTheme="minorBidi"/>
          <w:sz w:val="22"/>
        </w:rPr>
        <w:t>(3), 262– 279</w:t>
      </w:r>
      <w:r w:rsidR="0081573C" w:rsidRPr="006454B5">
        <w:rPr>
          <w:rFonts w:asciiTheme="minorBidi" w:hAnsiTheme="minorBidi"/>
          <w:sz w:val="22"/>
        </w:rPr>
        <w:t xml:space="preserve">. </w:t>
      </w:r>
      <w:hyperlink r:id="rId17" w:history="1">
        <w:r w:rsidR="005D1681" w:rsidRPr="006454B5">
          <w:rPr>
            <w:rStyle w:val="Hyperlink"/>
            <w:rFonts w:asciiTheme="minorBidi" w:hAnsiTheme="minorBidi"/>
            <w:sz w:val="22"/>
          </w:rPr>
          <w:t>https://doi.org/10.1177/1077801209360861</w:t>
        </w:r>
      </w:hyperlink>
      <w:r w:rsidR="009A5BBA" w:rsidRPr="006454B5">
        <w:rPr>
          <w:rFonts w:asciiTheme="minorBidi" w:hAnsiTheme="minorBidi"/>
          <w:sz w:val="22"/>
        </w:rPr>
        <w:t xml:space="preserve"> </w:t>
      </w:r>
    </w:p>
    <w:p w14:paraId="79C25336" w14:textId="77777777" w:rsidR="001B7705" w:rsidRPr="006454B5" w:rsidRDefault="001B7705" w:rsidP="000C7544">
      <w:pPr>
        <w:spacing w:before="120" w:after="120"/>
        <w:ind w:left="720" w:hanging="720"/>
        <w:contextualSpacing/>
        <w:rPr>
          <w:rFonts w:asciiTheme="minorBidi" w:hAnsiTheme="minorBidi"/>
          <w:sz w:val="22"/>
        </w:rPr>
      </w:pPr>
      <w:r w:rsidRPr="006454B5">
        <w:rPr>
          <w:rFonts w:asciiTheme="minorBidi" w:hAnsiTheme="minorBidi"/>
          <w:sz w:val="22"/>
        </w:rPr>
        <w:t xml:space="preserve">Cohn, E. S., Dupuis, E. C., &amp; Brown, T. M. (2009). In the eye of the beholder: Do </w:t>
      </w:r>
      <w:proofErr w:type="spellStart"/>
      <w:r w:rsidRPr="006454B5">
        <w:rPr>
          <w:rFonts w:asciiTheme="minorBidi" w:hAnsiTheme="minorBidi"/>
          <w:sz w:val="22"/>
        </w:rPr>
        <w:t>behavior</w:t>
      </w:r>
      <w:proofErr w:type="spellEnd"/>
      <w:r w:rsidRPr="006454B5">
        <w:rPr>
          <w:rFonts w:asciiTheme="minorBidi" w:hAnsiTheme="minorBidi"/>
          <w:sz w:val="22"/>
        </w:rPr>
        <w:t xml:space="preserve"> and character affect victim and perpetrator responsibility for acquaintance rape? </w:t>
      </w:r>
      <w:r w:rsidRPr="006454B5">
        <w:rPr>
          <w:rFonts w:asciiTheme="minorBidi" w:hAnsiTheme="minorBidi"/>
          <w:i/>
          <w:sz w:val="22"/>
        </w:rPr>
        <w:t>Journal of Applied Social Psychology, 39</w:t>
      </w:r>
      <w:r w:rsidRPr="006454B5">
        <w:rPr>
          <w:rFonts w:asciiTheme="minorBidi" w:hAnsiTheme="minorBidi"/>
          <w:sz w:val="22"/>
        </w:rPr>
        <w:t xml:space="preserve">, 1513–1535. </w:t>
      </w:r>
      <w:hyperlink r:id="rId18" w:history="1">
        <w:r w:rsidRPr="006454B5">
          <w:rPr>
            <w:rStyle w:val="Hyperlink"/>
            <w:rFonts w:asciiTheme="minorBidi" w:hAnsiTheme="minorBidi"/>
            <w:sz w:val="22"/>
          </w:rPr>
          <w:t>http://dx.doi.org/10.1111/j. 1559-1816.2009.00493.x.</w:t>
        </w:r>
      </w:hyperlink>
    </w:p>
    <w:p w14:paraId="2C468AAA" w14:textId="03599F6E" w:rsidR="005179A8" w:rsidRPr="006454B5" w:rsidRDefault="009F4F9E" w:rsidP="000C7544">
      <w:pPr>
        <w:spacing w:before="120" w:after="120"/>
        <w:ind w:left="720" w:hanging="720"/>
        <w:contextualSpacing/>
        <w:rPr>
          <w:rFonts w:asciiTheme="minorBidi" w:hAnsiTheme="minorBidi"/>
          <w:sz w:val="22"/>
        </w:rPr>
      </w:pPr>
      <w:r w:rsidRPr="006454B5">
        <w:rPr>
          <w:rFonts w:asciiTheme="minorBidi" w:hAnsiTheme="minorBidi"/>
          <w:sz w:val="22"/>
        </w:rPr>
        <w:t>Daly, K., &amp;</w:t>
      </w:r>
      <w:r w:rsidR="001641E4" w:rsidRPr="006454B5">
        <w:rPr>
          <w:rFonts w:asciiTheme="minorBidi" w:hAnsiTheme="minorBidi"/>
          <w:sz w:val="22"/>
        </w:rPr>
        <w:t xml:space="preserve"> </w:t>
      </w:r>
      <w:proofErr w:type="spellStart"/>
      <w:r w:rsidR="001641E4" w:rsidRPr="006454B5">
        <w:rPr>
          <w:rFonts w:asciiTheme="minorBidi" w:hAnsiTheme="minorBidi"/>
          <w:sz w:val="22"/>
        </w:rPr>
        <w:t>Bouhours</w:t>
      </w:r>
      <w:proofErr w:type="spellEnd"/>
      <w:r w:rsidR="001641E4" w:rsidRPr="006454B5">
        <w:rPr>
          <w:rFonts w:asciiTheme="minorBidi" w:hAnsiTheme="minorBidi"/>
          <w:sz w:val="22"/>
        </w:rPr>
        <w:t>, B. (2010). Rape and attrition in the legal process: A comparative a</w:t>
      </w:r>
      <w:r w:rsidRPr="006454B5">
        <w:rPr>
          <w:rFonts w:asciiTheme="minorBidi" w:hAnsiTheme="minorBidi"/>
          <w:sz w:val="22"/>
        </w:rPr>
        <w:t xml:space="preserve">nalysis. </w:t>
      </w:r>
      <w:r w:rsidRPr="006454B5">
        <w:rPr>
          <w:rFonts w:asciiTheme="minorBidi" w:hAnsiTheme="minorBidi"/>
          <w:i/>
          <w:iCs/>
          <w:sz w:val="22"/>
        </w:rPr>
        <w:t>Crime and Justice, 39</w:t>
      </w:r>
      <w:r w:rsidRPr="006454B5">
        <w:rPr>
          <w:rFonts w:asciiTheme="minorBidi" w:hAnsiTheme="minorBidi"/>
          <w:sz w:val="22"/>
        </w:rPr>
        <w:t>(1), 565–650.</w:t>
      </w:r>
    </w:p>
    <w:p w14:paraId="2B480110" w14:textId="56D3DB11" w:rsidR="009F4F9E" w:rsidRPr="006454B5" w:rsidRDefault="009F4F9E" w:rsidP="000C7544">
      <w:pPr>
        <w:spacing w:before="120" w:after="120"/>
        <w:ind w:left="720" w:hanging="720"/>
        <w:contextualSpacing/>
        <w:rPr>
          <w:rFonts w:asciiTheme="minorBidi" w:hAnsiTheme="minorBidi"/>
          <w:sz w:val="22"/>
        </w:rPr>
      </w:pPr>
      <w:r w:rsidRPr="006454B5">
        <w:rPr>
          <w:rFonts w:asciiTheme="minorBidi" w:hAnsiTheme="minorBidi"/>
          <w:sz w:val="22"/>
        </w:rPr>
        <w:t xml:space="preserve">Davidson, J. (2008). </w:t>
      </w:r>
      <w:r w:rsidRPr="006454B5">
        <w:rPr>
          <w:rFonts w:asciiTheme="minorBidi" w:hAnsiTheme="minorBidi"/>
          <w:i/>
          <w:iCs/>
          <w:sz w:val="22"/>
        </w:rPr>
        <w:t>Child sexual abuse: Media representations and government reactions.</w:t>
      </w:r>
      <w:r w:rsidRPr="006454B5">
        <w:rPr>
          <w:rFonts w:asciiTheme="minorBidi" w:hAnsiTheme="minorBidi"/>
          <w:sz w:val="22"/>
        </w:rPr>
        <w:t xml:space="preserve"> Routledge-Cavendish.</w:t>
      </w:r>
    </w:p>
    <w:p w14:paraId="16CDFEA7" w14:textId="5C7F8560" w:rsidR="009F4F9E" w:rsidRPr="006454B5" w:rsidRDefault="009F4F9E" w:rsidP="000C7544">
      <w:pPr>
        <w:spacing w:before="120" w:after="120"/>
        <w:ind w:left="720" w:hanging="720"/>
        <w:contextualSpacing/>
        <w:rPr>
          <w:rFonts w:asciiTheme="minorBidi" w:hAnsiTheme="minorBidi"/>
          <w:sz w:val="22"/>
        </w:rPr>
      </w:pPr>
      <w:proofErr w:type="spellStart"/>
      <w:r w:rsidRPr="006454B5">
        <w:rPr>
          <w:rFonts w:asciiTheme="minorBidi" w:hAnsiTheme="minorBidi"/>
          <w:sz w:val="22"/>
        </w:rPr>
        <w:t>Dinos</w:t>
      </w:r>
      <w:proofErr w:type="spellEnd"/>
      <w:r w:rsidRPr="006454B5">
        <w:rPr>
          <w:rFonts w:asciiTheme="minorBidi" w:hAnsiTheme="minorBidi"/>
          <w:sz w:val="22"/>
        </w:rPr>
        <w:t xml:space="preserve">, S., </w:t>
      </w:r>
      <w:proofErr w:type="spellStart"/>
      <w:r w:rsidRPr="006454B5">
        <w:rPr>
          <w:rFonts w:asciiTheme="minorBidi" w:hAnsiTheme="minorBidi"/>
          <w:sz w:val="22"/>
        </w:rPr>
        <w:t>Burrowes</w:t>
      </w:r>
      <w:proofErr w:type="spellEnd"/>
      <w:r w:rsidRPr="006454B5">
        <w:rPr>
          <w:rFonts w:asciiTheme="minorBidi" w:hAnsiTheme="minorBidi"/>
          <w:sz w:val="22"/>
        </w:rPr>
        <w:t xml:space="preserve">, N., Hammond, K., &amp; </w:t>
      </w:r>
      <w:proofErr w:type="spellStart"/>
      <w:r w:rsidRPr="006454B5">
        <w:rPr>
          <w:rFonts w:asciiTheme="minorBidi" w:hAnsiTheme="minorBidi"/>
          <w:sz w:val="22"/>
        </w:rPr>
        <w:t>Cunliffe</w:t>
      </w:r>
      <w:proofErr w:type="spellEnd"/>
      <w:r w:rsidRPr="006454B5">
        <w:rPr>
          <w:rFonts w:asciiTheme="minorBidi" w:hAnsiTheme="minorBidi"/>
          <w:sz w:val="22"/>
        </w:rPr>
        <w:t>, C. (2015). A systematic review of juries’ assessment of rape victims: Do rape myths impact on juror decision-making?</w:t>
      </w:r>
      <w:r w:rsidR="00CF252A" w:rsidRPr="006454B5">
        <w:rPr>
          <w:rFonts w:asciiTheme="minorBidi" w:hAnsiTheme="minorBidi"/>
          <w:i/>
          <w:iCs/>
          <w:sz w:val="22"/>
        </w:rPr>
        <w:t xml:space="preserve"> </w:t>
      </w:r>
      <w:r w:rsidRPr="006454B5">
        <w:rPr>
          <w:rFonts w:asciiTheme="minorBidi" w:hAnsiTheme="minorBidi"/>
          <w:i/>
          <w:iCs/>
          <w:sz w:val="22"/>
        </w:rPr>
        <w:t>International Journal of Law, Crime and Justice, 43</w:t>
      </w:r>
      <w:r w:rsidRPr="006454B5">
        <w:rPr>
          <w:rFonts w:asciiTheme="minorBidi" w:hAnsiTheme="minorBidi"/>
          <w:sz w:val="22"/>
        </w:rPr>
        <w:t xml:space="preserve">(1), 36–49. </w:t>
      </w:r>
      <w:hyperlink r:id="rId19" w:history="1">
        <w:r w:rsidR="00CF252A" w:rsidRPr="006454B5">
          <w:rPr>
            <w:rStyle w:val="Hyperlink"/>
            <w:rFonts w:asciiTheme="minorBidi" w:hAnsiTheme="minorBidi"/>
            <w:sz w:val="22"/>
          </w:rPr>
          <w:t>https://doi.org/10.1016/j.ijlcj.2014.07.001</w:t>
        </w:r>
      </w:hyperlink>
      <w:r w:rsidR="00CF252A" w:rsidRPr="006454B5">
        <w:rPr>
          <w:rFonts w:asciiTheme="minorBidi" w:hAnsiTheme="minorBidi"/>
          <w:sz w:val="22"/>
        </w:rPr>
        <w:t xml:space="preserve"> </w:t>
      </w:r>
    </w:p>
    <w:p w14:paraId="77AF0A2E" w14:textId="4E3E89E8" w:rsidR="009F4F9E" w:rsidRPr="006454B5" w:rsidRDefault="009F4F9E" w:rsidP="000C7544">
      <w:pPr>
        <w:spacing w:before="120" w:after="120"/>
        <w:ind w:left="720" w:hanging="720"/>
        <w:contextualSpacing/>
        <w:rPr>
          <w:rFonts w:asciiTheme="minorBidi" w:hAnsiTheme="minorBidi"/>
          <w:sz w:val="22"/>
        </w:rPr>
      </w:pPr>
      <w:r w:rsidRPr="006454B5">
        <w:rPr>
          <w:rFonts w:asciiTheme="minorBidi" w:hAnsiTheme="minorBidi"/>
          <w:sz w:val="22"/>
        </w:rPr>
        <w:t xml:space="preserve">Du Mont, J., Miller, K. L., &amp; </w:t>
      </w:r>
      <w:proofErr w:type="spellStart"/>
      <w:r w:rsidRPr="006454B5">
        <w:rPr>
          <w:rFonts w:asciiTheme="minorBidi" w:hAnsiTheme="minorBidi"/>
          <w:sz w:val="22"/>
        </w:rPr>
        <w:t>Myhr</w:t>
      </w:r>
      <w:proofErr w:type="spellEnd"/>
      <w:r w:rsidRPr="006454B5">
        <w:rPr>
          <w:rFonts w:asciiTheme="minorBidi" w:hAnsiTheme="minorBidi"/>
          <w:sz w:val="22"/>
        </w:rPr>
        <w:t xml:space="preserve">, T. L. (2003). The role of “real rape” and “real victim” stereotypes in the police reporting practices of sexually assaulted women. </w:t>
      </w:r>
      <w:r w:rsidRPr="006454B5">
        <w:rPr>
          <w:rFonts w:asciiTheme="minorBidi" w:hAnsiTheme="minorBidi"/>
          <w:i/>
          <w:iCs/>
          <w:sz w:val="22"/>
        </w:rPr>
        <w:t xml:space="preserve">Violence </w:t>
      </w:r>
      <w:proofErr w:type="gramStart"/>
      <w:r w:rsidRPr="006454B5">
        <w:rPr>
          <w:rFonts w:asciiTheme="minorBidi" w:hAnsiTheme="minorBidi"/>
          <w:i/>
          <w:iCs/>
          <w:sz w:val="22"/>
        </w:rPr>
        <w:t>Against</w:t>
      </w:r>
      <w:proofErr w:type="gramEnd"/>
      <w:r w:rsidRPr="006454B5">
        <w:rPr>
          <w:rFonts w:asciiTheme="minorBidi" w:hAnsiTheme="minorBidi"/>
          <w:i/>
          <w:iCs/>
          <w:sz w:val="22"/>
        </w:rPr>
        <w:t xml:space="preserve"> Women, 9</w:t>
      </w:r>
      <w:r w:rsidRPr="006454B5">
        <w:rPr>
          <w:rFonts w:asciiTheme="minorBidi" w:hAnsiTheme="minorBidi"/>
          <w:sz w:val="22"/>
        </w:rPr>
        <w:t xml:space="preserve">(4), 466–486. </w:t>
      </w:r>
      <w:hyperlink r:id="rId20" w:history="1">
        <w:r w:rsidR="00CF252A" w:rsidRPr="006454B5">
          <w:rPr>
            <w:rStyle w:val="Hyperlink"/>
            <w:rFonts w:asciiTheme="minorBidi" w:hAnsiTheme="minorBidi"/>
            <w:sz w:val="22"/>
          </w:rPr>
          <w:t>https://doi.org/10.1177/1077801202250960</w:t>
        </w:r>
      </w:hyperlink>
      <w:r w:rsidR="00CF252A" w:rsidRPr="006454B5">
        <w:rPr>
          <w:rFonts w:asciiTheme="minorBidi" w:hAnsiTheme="minorBidi"/>
          <w:sz w:val="22"/>
        </w:rPr>
        <w:t xml:space="preserve"> </w:t>
      </w:r>
    </w:p>
    <w:p w14:paraId="1CC10F2F" w14:textId="13FEA6E1" w:rsidR="001B7705" w:rsidRPr="006454B5" w:rsidRDefault="00016364" w:rsidP="000C7544">
      <w:pPr>
        <w:spacing w:before="120" w:after="120"/>
        <w:ind w:left="720" w:hanging="720"/>
        <w:contextualSpacing/>
        <w:rPr>
          <w:rFonts w:asciiTheme="minorBidi" w:hAnsiTheme="minorBidi"/>
          <w:sz w:val="22"/>
        </w:rPr>
      </w:pPr>
      <w:r>
        <w:rPr>
          <w:rFonts w:asciiTheme="minorBidi" w:hAnsiTheme="minorBidi"/>
          <w:sz w:val="22"/>
        </w:rPr>
        <w:lastRenderedPageBreak/>
        <w:t>Ellison L., Munro V. E. (</w:t>
      </w:r>
      <w:bookmarkStart w:id="0" w:name="_GoBack"/>
      <w:bookmarkEnd w:id="0"/>
      <w:r w:rsidR="001B7705" w:rsidRPr="006454B5">
        <w:rPr>
          <w:rFonts w:asciiTheme="minorBidi" w:hAnsiTheme="minorBidi"/>
          <w:sz w:val="22"/>
        </w:rPr>
        <w:t xml:space="preserve">2009). Turning mirrors into windows? Assessing the impact of (mock) juror education in rape trials. </w:t>
      </w:r>
      <w:r w:rsidR="001B7705" w:rsidRPr="006454B5">
        <w:rPr>
          <w:rFonts w:asciiTheme="minorBidi" w:hAnsiTheme="minorBidi"/>
          <w:i/>
          <w:sz w:val="22"/>
        </w:rPr>
        <w:t>British Journal of Criminology, 49</w:t>
      </w:r>
      <w:r w:rsidR="001B7705" w:rsidRPr="006454B5">
        <w:rPr>
          <w:rFonts w:asciiTheme="minorBidi" w:hAnsiTheme="minorBidi"/>
          <w:sz w:val="22"/>
        </w:rPr>
        <w:t xml:space="preserve">, 363–383. </w:t>
      </w:r>
      <w:hyperlink r:id="rId21" w:history="1">
        <w:r w:rsidR="001B7705" w:rsidRPr="006454B5">
          <w:rPr>
            <w:rStyle w:val="Hyperlink"/>
            <w:rFonts w:asciiTheme="minorBidi" w:hAnsiTheme="minorBidi"/>
            <w:sz w:val="22"/>
          </w:rPr>
          <w:t>https://doi.org/10.1093/bjc/azp013</w:t>
        </w:r>
      </w:hyperlink>
      <w:r w:rsidR="001B7705" w:rsidRPr="006454B5">
        <w:rPr>
          <w:rFonts w:asciiTheme="minorBidi" w:hAnsiTheme="minorBidi"/>
          <w:sz w:val="22"/>
        </w:rPr>
        <w:t xml:space="preserve"> </w:t>
      </w:r>
    </w:p>
    <w:p w14:paraId="11268BC9" w14:textId="503D606C" w:rsidR="009F4F9E" w:rsidRPr="006454B5" w:rsidRDefault="009F4F9E" w:rsidP="000C7544">
      <w:pPr>
        <w:spacing w:before="120" w:after="120"/>
        <w:ind w:left="720" w:hanging="720"/>
        <w:contextualSpacing/>
        <w:rPr>
          <w:rFonts w:asciiTheme="minorBidi" w:hAnsiTheme="minorBidi"/>
          <w:sz w:val="22"/>
        </w:rPr>
      </w:pPr>
      <w:proofErr w:type="spellStart"/>
      <w:r w:rsidRPr="006454B5">
        <w:rPr>
          <w:rFonts w:asciiTheme="minorBidi" w:hAnsiTheme="minorBidi"/>
          <w:sz w:val="22"/>
        </w:rPr>
        <w:t>Estrich</w:t>
      </w:r>
      <w:proofErr w:type="spellEnd"/>
      <w:r w:rsidRPr="006454B5">
        <w:rPr>
          <w:rFonts w:asciiTheme="minorBidi" w:hAnsiTheme="minorBidi"/>
          <w:sz w:val="22"/>
        </w:rPr>
        <w:t xml:space="preserve">, S. (1987). </w:t>
      </w:r>
      <w:r w:rsidRPr="006454B5">
        <w:rPr>
          <w:rFonts w:asciiTheme="minorBidi" w:hAnsiTheme="minorBidi"/>
          <w:i/>
          <w:iCs/>
          <w:sz w:val="22"/>
        </w:rPr>
        <w:t>Real Rape</w:t>
      </w:r>
      <w:r w:rsidRPr="006454B5">
        <w:rPr>
          <w:rFonts w:asciiTheme="minorBidi" w:hAnsiTheme="minorBidi"/>
          <w:sz w:val="22"/>
        </w:rPr>
        <w:t>. Harvard University Press.</w:t>
      </w:r>
    </w:p>
    <w:p w14:paraId="0ECD6847" w14:textId="6F1027B6" w:rsidR="009F4F9E" w:rsidRPr="006454B5" w:rsidRDefault="009F4F9E" w:rsidP="000C7544">
      <w:pPr>
        <w:spacing w:before="120" w:after="120"/>
        <w:ind w:left="720" w:hanging="720"/>
        <w:contextualSpacing/>
        <w:rPr>
          <w:rFonts w:asciiTheme="minorBidi" w:hAnsiTheme="minorBidi"/>
          <w:sz w:val="22"/>
        </w:rPr>
      </w:pPr>
      <w:r w:rsidRPr="006454B5">
        <w:rPr>
          <w:rFonts w:asciiTheme="minorBidi" w:hAnsiTheme="minorBidi"/>
          <w:sz w:val="22"/>
        </w:rPr>
        <w:t xml:space="preserve">Feist, A., Ashe, J., Lawrence, J., </w:t>
      </w:r>
      <w:proofErr w:type="spellStart"/>
      <w:r w:rsidRPr="006454B5">
        <w:rPr>
          <w:rFonts w:asciiTheme="minorBidi" w:hAnsiTheme="minorBidi"/>
          <w:sz w:val="22"/>
        </w:rPr>
        <w:t>Mcphee</w:t>
      </w:r>
      <w:proofErr w:type="spellEnd"/>
      <w:r w:rsidRPr="006454B5">
        <w:rPr>
          <w:rFonts w:asciiTheme="minorBidi" w:hAnsiTheme="minorBidi"/>
          <w:sz w:val="22"/>
        </w:rPr>
        <w:t xml:space="preserve">, D., &amp; Wilson, R. (2007). </w:t>
      </w:r>
      <w:r w:rsidRPr="006454B5">
        <w:rPr>
          <w:rFonts w:asciiTheme="minorBidi" w:hAnsiTheme="minorBidi"/>
          <w:i/>
          <w:iCs/>
          <w:sz w:val="22"/>
        </w:rPr>
        <w:t xml:space="preserve">Investigating and detecting recorded offences of rape offences of rape. </w:t>
      </w:r>
      <w:r w:rsidRPr="006454B5">
        <w:rPr>
          <w:rFonts w:asciiTheme="minorBidi" w:hAnsiTheme="minorBidi"/>
          <w:sz w:val="22"/>
        </w:rPr>
        <w:t>Home Office.</w:t>
      </w:r>
      <w:r w:rsidR="00D9063B" w:rsidRPr="006454B5">
        <w:rPr>
          <w:rFonts w:asciiTheme="minorBidi" w:hAnsiTheme="minorBidi"/>
          <w:sz w:val="22"/>
        </w:rPr>
        <w:t xml:space="preserve"> Available from: </w:t>
      </w:r>
      <w:hyperlink r:id="rId22" w:history="1">
        <w:r w:rsidR="00D9063B" w:rsidRPr="006454B5">
          <w:rPr>
            <w:rStyle w:val="Hyperlink"/>
            <w:rFonts w:asciiTheme="minorBidi" w:hAnsiTheme="minorBidi"/>
            <w:sz w:val="22"/>
          </w:rPr>
          <w:t>http://eprints.uwe.ac.uk/23624</w:t>
        </w:r>
      </w:hyperlink>
      <w:r w:rsidR="00D9063B" w:rsidRPr="006454B5">
        <w:rPr>
          <w:rFonts w:asciiTheme="minorBidi" w:hAnsiTheme="minorBidi"/>
          <w:sz w:val="22"/>
        </w:rPr>
        <w:t xml:space="preserve"> [Accessed 14 Apr 2020].</w:t>
      </w:r>
    </w:p>
    <w:p w14:paraId="1C78E627" w14:textId="7095AFD4" w:rsidR="007A0B18" w:rsidRPr="006454B5" w:rsidRDefault="009F4F9E" w:rsidP="000C7544">
      <w:pPr>
        <w:spacing w:before="120" w:after="120"/>
        <w:ind w:left="720" w:hanging="720"/>
        <w:contextualSpacing/>
        <w:rPr>
          <w:rFonts w:asciiTheme="minorBidi" w:hAnsiTheme="minorBidi"/>
          <w:sz w:val="22"/>
        </w:rPr>
      </w:pPr>
      <w:proofErr w:type="spellStart"/>
      <w:r w:rsidRPr="006454B5">
        <w:rPr>
          <w:rFonts w:asciiTheme="minorBidi" w:hAnsiTheme="minorBidi"/>
          <w:sz w:val="22"/>
        </w:rPr>
        <w:t>Frohmann</w:t>
      </w:r>
      <w:proofErr w:type="spellEnd"/>
      <w:r w:rsidRPr="006454B5">
        <w:rPr>
          <w:rFonts w:asciiTheme="minorBidi" w:hAnsiTheme="minorBidi"/>
          <w:sz w:val="22"/>
        </w:rPr>
        <w:t xml:space="preserve">, L. (1997). </w:t>
      </w:r>
      <w:proofErr w:type="spellStart"/>
      <w:r w:rsidRPr="006454B5">
        <w:rPr>
          <w:rFonts w:asciiTheme="minorBidi" w:hAnsiTheme="minorBidi"/>
          <w:sz w:val="22"/>
        </w:rPr>
        <w:t>Convictability</w:t>
      </w:r>
      <w:proofErr w:type="spellEnd"/>
      <w:r w:rsidRPr="006454B5">
        <w:rPr>
          <w:rFonts w:asciiTheme="minorBidi" w:hAnsiTheme="minorBidi"/>
          <w:sz w:val="22"/>
        </w:rPr>
        <w:t xml:space="preserve"> and discordant locales: Reproducing race, class, and gender ideologies in prosecutorial </w:t>
      </w:r>
      <w:r w:rsidR="0086787D">
        <w:rPr>
          <w:rFonts w:asciiTheme="minorBidi" w:hAnsiTheme="minorBidi"/>
          <w:sz w:val="22"/>
        </w:rPr>
        <w:t>decision-making</w:t>
      </w:r>
      <w:r w:rsidRPr="006454B5">
        <w:rPr>
          <w:rFonts w:asciiTheme="minorBidi" w:hAnsiTheme="minorBidi"/>
          <w:sz w:val="22"/>
        </w:rPr>
        <w:t xml:space="preserve">. </w:t>
      </w:r>
      <w:r w:rsidRPr="006454B5">
        <w:rPr>
          <w:rFonts w:asciiTheme="minorBidi" w:hAnsiTheme="minorBidi"/>
          <w:i/>
          <w:iCs/>
          <w:sz w:val="22"/>
        </w:rPr>
        <w:t>Law &amp; Society Review, 31</w:t>
      </w:r>
      <w:r w:rsidRPr="006454B5">
        <w:rPr>
          <w:rFonts w:asciiTheme="minorBidi" w:hAnsiTheme="minorBidi"/>
          <w:sz w:val="22"/>
        </w:rPr>
        <w:t xml:space="preserve">, 531- 556. </w:t>
      </w:r>
      <w:hyperlink r:id="rId23" w:history="1">
        <w:r w:rsidR="00D9063B" w:rsidRPr="006454B5">
          <w:rPr>
            <w:rStyle w:val="Hyperlink"/>
            <w:rFonts w:asciiTheme="minorBidi" w:hAnsiTheme="minorBidi"/>
            <w:sz w:val="22"/>
          </w:rPr>
          <w:t>https://doi.org/10.2307/3054045</w:t>
        </w:r>
      </w:hyperlink>
      <w:r w:rsidR="00D9063B" w:rsidRPr="006454B5">
        <w:rPr>
          <w:rFonts w:asciiTheme="minorBidi" w:hAnsiTheme="minorBidi"/>
          <w:sz w:val="22"/>
        </w:rPr>
        <w:t xml:space="preserve">   </w:t>
      </w:r>
    </w:p>
    <w:p w14:paraId="46930B5A" w14:textId="6C3513DE" w:rsidR="009F4F9E" w:rsidRPr="006454B5" w:rsidRDefault="009F4F9E" w:rsidP="000C7544">
      <w:pPr>
        <w:spacing w:before="120" w:after="120"/>
        <w:ind w:left="720" w:hanging="720"/>
        <w:contextualSpacing/>
        <w:rPr>
          <w:rFonts w:asciiTheme="minorBidi" w:hAnsiTheme="minorBidi"/>
          <w:sz w:val="22"/>
        </w:rPr>
      </w:pPr>
      <w:r w:rsidRPr="006454B5">
        <w:rPr>
          <w:rFonts w:asciiTheme="minorBidi" w:hAnsiTheme="minorBidi"/>
          <w:sz w:val="22"/>
        </w:rPr>
        <w:t>Grace</w:t>
      </w:r>
      <w:r w:rsidR="005F3DD7" w:rsidRPr="006454B5">
        <w:rPr>
          <w:rFonts w:asciiTheme="minorBidi" w:hAnsiTheme="minorBidi"/>
          <w:sz w:val="22"/>
        </w:rPr>
        <w:t>,</w:t>
      </w:r>
      <w:r w:rsidRPr="006454B5">
        <w:rPr>
          <w:rFonts w:asciiTheme="minorBidi" w:hAnsiTheme="minorBidi"/>
          <w:sz w:val="22"/>
        </w:rPr>
        <w:t xml:space="preserve"> S., Lloyd, C., &amp; Smith, L. (1992). </w:t>
      </w:r>
      <w:r w:rsidRPr="006454B5">
        <w:rPr>
          <w:rFonts w:asciiTheme="minorBidi" w:hAnsiTheme="minorBidi"/>
          <w:i/>
          <w:iCs/>
          <w:sz w:val="22"/>
        </w:rPr>
        <w:t>Rape: From recording to conviction</w:t>
      </w:r>
      <w:r w:rsidRPr="006454B5">
        <w:rPr>
          <w:rFonts w:asciiTheme="minorBidi" w:hAnsiTheme="minorBidi"/>
          <w:sz w:val="22"/>
        </w:rPr>
        <w:t>, Research and Planning Unit Paper 71. Home Office.</w:t>
      </w:r>
      <w:r w:rsidR="007A0B18" w:rsidRPr="006454B5">
        <w:rPr>
          <w:rFonts w:asciiTheme="minorBidi" w:hAnsiTheme="minorBidi"/>
          <w:sz w:val="22"/>
        </w:rPr>
        <w:t xml:space="preserve"> Available from: </w:t>
      </w:r>
      <w:hyperlink r:id="rId24" w:history="1">
        <w:r w:rsidR="007A0B18" w:rsidRPr="006454B5">
          <w:rPr>
            <w:rStyle w:val="Hyperlink"/>
            <w:rFonts w:asciiTheme="minorBidi" w:hAnsiTheme="minorBidi"/>
            <w:sz w:val="22"/>
          </w:rPr>
          <w:t>http://www.ncjrs.gov/App/publications/abstract.aspx?ID=142244</w:t>
        </w:r>
      </w:hyperlink>
      <w:r w:rsidR="007A0B18" w:rsidRPr="006454B5">
        <w:rPr>
          <w:rFonts w:asciiTheme="minorBidi" w:hAnsiTheme="minorBidi"/>
          <w:sz w:val="22"/>
        </w:rPr>
        <w:t xml:space="preserve"> [Accessed 14 Apr 2020]</w:t>
      </w:r>
      <w:r w:rsidR="004056D2" w:rsidRPr="006454B5">
        <w:rPr>
          <w:rFonts w:asciiTheme="minorBidi" w:hAnsiTheme="minorBidi"/>
          <w:sz w:val="22"/>
        </w:rPr>
        <w:t>.</w:t>
      </w:r>
    </w:p>
    <w:p w14:paraId="122748CD" w14:textId="4476C869" w:rsidR="009F4F9E" w:rsidRPr="006454B5" w:rsidRDefault="009F4F9E" w:rsidP="000C7544">
      <w:pPr>
        <w:spacing w:before="120" w:after="120"/>
        <w:ind w:left="720" w:hanging="720"/>
        <w:contextualSpacing/>
        <w:rPr>
          <w:rFonts w:asciiTheme="minorBidi" w:hAnsiTheme="minorBidi"/>
          <w:sz w:val="22"/>
        </w:rPr>
      </w:pPr>
      <w:r w:rsidRPr="006454B5">
        <w:rPr>
          <w:rFonts w:asciiTheme="minorBidi" w:hAnsiTheme="minorBidi"/>
          <w:sz w:val="22"/>
        </w:rPr>
        <w:t>Gregor</w:t>
      </w:r>
      <w:r w:rsidR="00724599" w:rsidRPr="006454B5">
        <w:rPr>
          <w:rFonts w:asciiTheme="minorBidi" w:hAnsiTheme="minorBidi"/>
          <w:sz w:val="22"/>
        </w:rPr>
        <w:t>y</w:t>
      </w:r>
      <w:r w:rsidRPr="006454B5">
        <w:rPr>
          <w:rFonts w:asciiTheme="minorBidi" w:hAnsiTheme="minorBidi"/>
          <w:sz w:val="22"/>
        </w:rPr>
        <w:t xml:space="preserve">, J., &amp; Lees, S. (1996). Attrition in rape and sexual assault cases. </w:t>
      </w:r>
      <w:r w:rsidRPr="006454B5">
        <w:rPr>
          <w:rFonts w:asciiTheme="minorBidi" w:hAnsiTheme="minorBidi"/>
          <w:i/>
          <w:iCs/>
          <w:sz w:val="22"/>
        </w:rPr>
        <w:t>British Journal of Criminology, 36</w:t>
      </w:r>
      <w:r w:rsidRPr="006454B5">
        <w:rPr>
          <w:rFonts w:asciiTheme="minorBidi" w:hAnsiTheme="minorBidi"/>
          <w:sz w:val="22"/>
        </w:rPr>
        <w:t>(1), 1-17.</w:t>
      </w:r>
      <w:r w:rsidR="00724599" w:rsidRPr="006454B5">
        <w:rPr>
          <w:rFonts w:asciiTheme="minorBidi" w:hAnsiTheme="minorBidi"/>
          <w:sz w:val="22"/>
        </w:rPr>
        <w:t xml:space="preserve"> </w:t>
      </w:r>
      <w:hyperlink r:id="rId25" w:history="1">
        <w:r w:rsidR="00724599" w:rsidRPr="006454B5">
          <w:rPr>
            <w:rStyle w:val="Hyperlink"/>
            <w:rFonts w:asciiTheme="minorBidi" w:hAnsiTheme="minorBidi"/>
            <w:sz w:val="22"/>
          </w:rPr>
          <w:t>https://doi.org/10.1093/oxfordjournals.bjc.a014060</w:t>
        </w:r>
      </w:hyperlink>
    </w:p>
    <w:p w14:paraId="0820906E" w14:textId="4AB3BC6C" w:rsidR="009F4F9E" w:rsidRPr="006454B5" w:rsidRDefault="009F4F9E" w:rsidP="000C7544">
      <w:pPr>
        <w:spacing w:before="120" w:after="120"/>
        <w:ind w:left="720" w:hanging="720"/>
        <w:contextualSpacing/>
        <w:rPr>
          <w:rFonts w:asciiTheme="minorBidi" w:hAnsiTheme="minorBidi"/>
          <w:sz w:val="22"/>
        </w:rPr>
      </w:pPr>
      <w:proofErr w:type="spellStart"/>
      <w:r w:rsidRPr="006454B5">
        <w:rPr>
          <w:rFonts w:asciiTheme="minorBidi" w:hAnsiTheme="minorBidi"/>
          <w:sz w:val="22"/>
        </w:rPr>
        <w:t>Greuel</w:t>
      </w:r>
      <w:proofErr w:type="spellEnd"/>
      <w:r w:rsidRPr="006454B5">
        <w:rPr>
          <w:rFonts w:asciiTheme="minorBidi" w:hAnsiTheme="minorBidi"/>
          <w:sz w:val="22"/>
        </w:rPr>
        <w:t xml:space="preserve">, L. (2011). Police </w:t>
      </w:r>
      <w:r w:rsidR="007A0B18" w:rsidRPr="006454B5">
        <w:rPr>
          <w:rFonts w:asciiTheme="minorBidi" w:hAnsiTheme="minorBidi"/>
          <w:sz w:val="22"/>
        </w:rPr>
        <w:t>o</w:t>
      </w:r>
      <w:r w:rsidRPr="006454B5">
        <w:rPr>
          <w:rFonts w:asciiTheme="minorBidi" w:hAnsiTheme="minorBidi"/>
          <w:sz w:val="22"/>
        </w:rPr>
        <w:t xml:space="preserve">fficers’ </w:t>
      </w:r>
      <w:r w:rsidR="007A0B18" w:rsidRPr="006454B5">
        <w:rPr>
          <w:rFonts w:asciiTheme="minorBidi" w:hAnsiTheme="minorBidi"/>
          <w:sz w:val="22"/>
        </w:rPr>
        <w:t>b</w:t>
      </w:r>
      <w:r w:rsidRPr="006454B5">
        <w:rPr>
          <w:rFonts w:asciiTheme="minorBidi" w:hAnsiTheme="minorBidi"/>
          <w:sz w:val="22"/>
        </w:rPr>
        <w:t xml:space="preserve">eliefs </w:t>
      </w:r>
      <w:r w:rsidR="007A0B18" w:rsidRPr="006454B5">
        <w:rPr>
          <w:rFonts w:asciiTheme="minorBidi" w:hAnsiTheme="minorBidi"/>
          <w:sz w:val="22"/>
        </w:rPr>
        <w:t>a</w:t>
      </w:r>
      <w:r w:rsidRPr="006454B5">
        <w:rPr>
          <w:rFonts w:asciiTheme="minorBidi" w:hAnsiTheme="minorBidi"/>
          <w:sz w:val="22"/>
        </w:rPr>
        <w:t xml:space="preserve">bout </w:t>
      </w:r>
      <w:r w:rsidR="007A0B18" w:rsidRPr="006454B5">
        <w:rPr>
          <w:rFonts w:asciiTheme="minorBidi" w:hAnsiTheme="minorBidi"/>
          <w:sz w:val="22"/>
        </w:rPr>
        <w:t>c</w:t>
      </w:r>
      <w:r w:rsidRPr="006454B5">
        <w:rPr>
          <w:rFonts w:asciiTheme="minorBidi" w:hAnsiTheme="minorBidi"/>
          <w:sz w:val="22"/>
        </w:rPr>
        <w:t xml:space="preserve">ues </w:t>
      </w:r>
      <w:r w:rsidR="007A0B18" w:rsidRPr="006454B5">
        <w:rPr>
          <w:rFonts w:asciiTheme="minorBidi" w:hAnsiTheme="minorBidi"/>
          <w:sz w:val="22"/>
        </w:rPr>
        <w:t>a</w:t>
      </w:r>
      <w:r w:rsidRPr="006454B5">
        <w:rPr>
          <w:rFonts w:asciiTheme="minorBidi" w:hAnsiTheme="minorBidi"/>
          <w:sz w:val="22"/>
        </w:rPr>
        <w:t xml:space="preserve">ssociated </w:t>
      </w:r>
      <w:r w:rsidR="007A0B18" w:rsidRPr="006454B5">
        <w:rPr>
          <w:rFonts w:asciiTheme="minorBidi" w:hAnsiTheme="minorBidi"/>
          <w:sz w:val="22"/>
        </w:rPr>
        <w:t>w</w:t>
      </w:r>
      <w:r w:rsidRPr="006454B5">
        <w:rPr>
          <w:rFonts w:asciiTheme="minorBidi" w:hAnsiTheme="minorBidi"/>
          <w:sz w:val="22"/>
        </w:rPr>
        <w:t xml:space="preserve">ith </w:t>
      </w:r>
      <w:r w:rsidR="007A0B18" w:rsidRPr="006454B5">
        <w:rPr>
          <w:rFonts w:asciiTheme="minorBidi" w:hAnsiTheme="minorBidi"/>
          <w:sz w:val="22"/>
        </w:rPr>
        <w:t>d</w:t>
      </w:r>
      <w:r w:rsidRPr="006454B5">
        <w:rPr>
          <w:rFonts w:asciiTheme="minorBidi" w:hAnsiTheme="minorBidi"/>
          <w:sz w:val="22"/>
        </w:rPr>
        <w:t xml:space="preserve">eception in </w:t>
      </w:r>
      <w:r w:rsidR="007A0B18" w:rsidRPr="006454B5">
        <w:rPr>
          <w:rFonts w:asciiTheme="minorBidi" w:hAnsiTheme="minorBidi"/>
          <w:sz w:val="22"/>
        </w:rPr>
        <w:t>r</w:t>
      </w:r>
      <w:r w:rsidRPr="006454B5">
        <w:rPr>
          <w:rFonts w:asciiTheme="minorBidi" w:hAnsiTheme="minorBidi"/>
          <w:sz w:val="22"/>
        </w:rPr>
        <w:t xml:space="preserve">ape </w:t>
      </w:r>
      <w:r w:rsidR="007A0B18" w:rsidRPr="006454B5">
        <w:rPr>
          <w:rFonts w:asciiTheme="minorBidi" w:hAnsiTheme="minorBidi"/>
          <w:sz w:val="22"/>
        </w:rPr>
        <w:t>c</w:t>
      </w:r>
      <w:r w:rsidRPr="006454B5">
        <w:rPr>
          <w:rFonts w:asciiTheme="minorBidi" w:hAnsiTheme="minorBidi"/>
          <w:sz w:val="22"/>
        </w:rPr>
        <w:t>ases.</w:t>
      </w:r>
      <w:r w:rsidR="003507F3" w:rsidRPr="006454B5">
        <w:rPr>
          <w:rFonts w:asciiTheme="minorBidi" w:hAnsiTheme="minorBidi"/>
          <w:sz w:val="22"/>
        </w:rPr>
        <w:t xml:space="preserve"> In F. </w:t>
      </w:r>
      <w:proofErr w:type="spellStart"/>
      <w:r w:rsidR="003507F3" w:rsidRPr="006454B5">
        <w:rPr>
          <w:rFonts w:asciiTheme="minorBidi" w:hAnsiTheme="minorBidi"/>
          <w:sz w:val="22"/>
        </w:rPr>
        <w:t>Lösel</w:t>
      </w:r>
      <w:proofErr w:type="spellEnd"/>
      <w:r w:rsidR="003507F3" w:rsidRPr="006454B5">
        <w:rPr>
          <w:rFonts w:asciiTheme="minorBidi" w:hAnsiTheme="minorBidi"/>
          <w:sz w:val="22"/>
        </w:rPr>
        <w:t xml:space="preserve">, D. Bender, &amp; T. </w:t>
      </w:r>
      <w:proofErr w:type="spellStart"/>
      <w:r w:rsidR="003507F3" w:rsidRPr="006454B5">
        <w:rPr>
          <w:rFonts w:asciiTheme="minorBidi" w:hAnsiTheme="minorBidi"/>
          <w:sz w:val="22"/>
        </w:rPr>
        <w:t>Bliesener</w:t>
      </w:r>
      <w:proofErr w:type="spellEnd"/>
      <w:r w:rsidR="003507F3" w:rsidRPr="006454B5">
        <w:rPr>
          <w:rFonts w:asciiTheme="minorBidi" w:hAnsiTheme="minorBidi"/>
          <w:sz w:val="22"/>
        </w:rPr>
        <w:t xml:space="preserve"> (Eds.), </w:t>
      </w:r>
      <w:r w:rsidR="003507F3" w:rsidRPr="006454B5">
        <w:rPr>
          <w:rFonts w:asciiTheme="minorBidi" w:hAnsiTheme="minorBidi"/>
          <w:i/>
          <w:iCs/>
          <w:sz w:val="22"/>
        </w:rPr>
        <w:t>Psychology and law: International perspectives</w:t>
      </w:r>
      <w:r w:rsidR="003507F3" w:rsidRPr="006454B5">
        <w:rPr>
          <w:rFonts w:asciiTheme="minorBidi" w:hAnsiTheme="minorBidi"/>
          <w:sz w:val="22"/>
        </w:rPr>
        <w:t xml:space="preserve"> (p. 234–239). Walter De </w:t>
      </w:r>
      <w:proofErr w:type="spellStart"/>
      <w:r w:rsidR="003507F3" w:rsidRPr="006454B5">
        <w:rPr>
          <w:rFonts w:asciiTheme="minorBidi" w:hAnsiTheme="minorBidi"/>
          <w:sz w:val="22"/>
        </w:rPr>
        <w:t>Gruyter</w:t>
      </w:r>
      <w:proofErr w:type="spellEnd"/>
      <w:r w:rsidR="003507F3" w:rsidRPr="006454B5">
        <w:rPr>
          <w:rFonts w:asciiTheme="minorBidi" w:hAnsiTheme="minorBidi"/>
          <w:sz w:val="22"/>
        </w:rPr>
        <w:t xml:space="preserve">. </w:t>
      </w:r>
      <w:hyperlink r:id="rId26" w:history="1">
        <w:r w:rsidR="007A0B18" w:rsidRPr="006454B5">
          <w:rPr>
            <w:rStyle w:val="Hyperlink"/>
            <w:rFonts w:asciiTheme="minorBidi" w:hAnsiTheme="minorBidi"/>
            <w:sz w:val="22"/>
          </w:rPr>
          <w:t>https://doi.org/10.1515/9783110879773.234</w:t>
        </w:r>
      </w:hyperlink>
      <w:r w:rsidR="007A0B18" w:rsidRPr="006454B5">
        <w:rPr>
          <w:rFonts w:asciiTheme="minorBidi" w:hAnsiTheme="minorBidi"/>
          <w:sz w:val="22"/>
        </w:rPr>
        <w:t xml:space="preserve"> </w:t>
      </w:r>
    </w:p>
    <w:p w14:paraId="124DE870" w14:textId="60C97ADA" w:rsidR="001B7705" w:rsidRPr="006454B5" w:rsidRDefault="001B7705" w:rsidP="000C7544">
      <w:pPr>
        <w:spacing w:before="120" w:after="120"/>
        <w:ind w:left="720" w:hanging="720"/>
        <w:contextualSpacing/>
        <w:rPr>
          <w:rFonts w:asciiTheme="minorBidi" w:hAnsiTheme="minorBidi"/>
          <w:sz w:val="22"/>
        </w:rPr>
      </w:pPr>
      <w:r w:rsidRPr="006454B5">
        <w:rPr>
          <w:rFonts w:asciiTheme="minorBidi" w:hAnsiTheme="minorBidi"/>
          <w:sz w:val="22"/>
        </w:rPr>
        <w:t xml:space="preserve">Grubb, A., &amp; Harrower, J. (2008). Attribution of blame in cases of rape: An analysis of participant gender, type of rape and perceived similarity to the victim. </w:t>
      </w:r>
      <w:r w:rsidRPr="006454B5">
        <w:rPr>
          <w:rFonts w:asciiTheme="minorBidi" w:hAnsiTheme="minorBidi"/>
          <w:i/>
          <w:sz w:val="22"/>
        </w:rPr>
        <w:t xml:space="preserve">Aggression and Violent </w:t>
      </w:r>
      <w:proofErr w:type="spellStart"/>
      <w:r w:rsidRPr="006454B5">
        <w:rPr>
          <w:rFonts w:asciiTheme="minorBidi" w:hAnsiTheme="minorBidi"/>
          <w:i/>
          <w:sz w:val="22"/>
        </w:rPr>
        <w:t>Behavior</w:t>
      </w:r>
      <w:proofErr w:type="spellEnd"/>
      <w:r w:rsidRPr="006454B5">
        <w:rPr>
          <w:rFonts w:asciiTheme="minorBidi" w:hAnsiTheme="minorBidi"/>
          <w:i/>
          <w:sz w:val="22"/>
        </w:rPr>
        <w:t>, 13</w:t>
      </w:r>
      <w:r w:rsidRPr="006454B5">
        <w:rPr>
          <w:rFonts w:asciiTheme="minorBidi" w:hAnsiTheme="minorBidi"/>
          <w:sz w:val="22"/>
        </w:rPr>
        <w:t xml:space="preserve">, 396–405. </w:t>
      </w:r>
      <w:hyperlink r:id="rId27" w:history="1">
        <w:r w:rsidRPr="006454B5">
          <w:rPr>
            <w:rStyle w:val="Hyperlink"/>
            <w:rFonts w:asciiTheme="minorBidi" w:hAnsiTheme="minorBidi"/>
            <w:sz w:val="22"/>
          </w:rPr>
          <w:t>http://dx.doi.org/10.1016/j.avb.2008.06.006</w:t>
        </w:r>
      </w:hyperlink>
      <w:r w:rsidRPr="006454B5">
        <w:rPr>
          <w:rFonts w:asciiTheme="minorBidi" w:hAnsiTheme="minorBidi"/>
          <w:sz w:val="22"/>
        </w:rPr>
        <w:t>.</w:t>
      </w:r>
    </w:p>
    <w:p w14:paraId="64518907" w14:textId="2A18832D" w:rsidR="009F4F9E" w:rsidRPr="006454B5" w:rsidRDefault="009F4F9E" w:rsidP="000C7544">
      <w:pPr>
        <w:spacing w:before="120" w:after="120"/>
        <w:ind w:left="720" w:hanging="720"/>
        <w:contextualSpacing/>
        <w:rPr>
          <w:rFonts w:asciiTheme="minorBidi" w:hAnsiTheme="minorBidi"/>
          <w:sz w:val="22"/>
        </w:rPr>
      </w:pPr>
      <w:r w:rsidRPr="006454B5">
        <w:rPr>
          <w:rFonts w:asciiTheme="minorBidi" w:hAnsiTheme="minorBidi"/>
          <w:sz w:val="22"/>
        </w:rPr>
        <w:t xml:space="preserve">Hackett, L., Day, A., &amp; Mohr, P. (2008). Expectancy violation and perceptions of rape victim credibility. </w:t>
      </w:r>
      <w:r w:rsidRPr="006454B5">
        <w:rPr>
          <w:rFonts w:asciiTheme="minorBidi" w:hAnsiTheme="minorBidi"/>
          <w:i/>
          <w:iCs/>
          <w:sz w:val="22"/>
        </w:rPr>
        <w:t>Legal and Criminological Psychology, 13</w:t>
      </w:r>
      <w:r w:rsidRPr="006454B5">
        <w:rPr>
          <w:rFonts w:asciiTheme="minorBidi" w:hAnsiTheme="minorBidi"/>
          <w:sz w:val="22"/>
        </w:rPr>
        <w:t xml:space="preserve">(2), 323–334. </w:t>
      </w:r>
      <w:hyperlink r:id="rId28" w:history="1">
        <w:r w:rsidR="003507F3" w:rsidRPr="006454B5">
          <w:rPr>
            <w:rStyle w:val="Hyperlink"/>
            <w:rFonts w:asciiTheme="minorBidi" w:hAnsiTheme="minorBidi"/>
            <w:sz w:val="22"/>
          </w:rPr>
          <w:t>https://doi.org/10.1348/135532507X228458</w:t>
        </w:r>
      </w:hyperlink>
      <w:r w:rsidR="003507F3" w:rsidRPr="006454B5">
        <w:rPr>
          <w:rFonts w:asciiTheme="minorBidi" w:hAnsiTheme="minorBidi"/>
          <w:sz w:val="22"/>
        </w:rPr>
        <w:t xml:space="preserve"> </w:t>
      </w:r>
    </w:p>
    <w:p w14:paraId="2702ACCF" w14:textId="3CA576CE" w:rsidR="009F4F9E" w:rsidRPr="006454B5" w:rsidRDefault="009F4F9E" w:rsidP="000C7544">
      <w:pPr>
        <w:spacing w:before="120" w:after="120"/>
        <w:ind w:left="720" w:hanging="720"/>
        <w:contextualSpacing/>
        <w:rPr>
          <w:rFonts w:asciiTheme="minorBidi" w:hAnsiTheme="minorBidi"/>
          <w:sz w:val="22"/>
        </w:rPr>
      </w:pPr>
      <w:r w:rsidRPr="006454B5">
        <w:rPr>
          <w:rFonts w:asciiTheme="minorBidi" w:hAnsiTheme="minorBidi"/>
          <w:sz w:val="22"/>
        </w:rPr>
        <w:t>Harri</w:t>
      </w:r>
      <w:r w:rsidR="004056D2" w:rsidRPr="006454B5">
        <w:rPr>
          <w:rFonts w:asciiTheme="minorBidi" w:hAnsiTheme="minorBidi"/>
          <w:sz w:val="22"/>
        </w:rPr>
        <w:t>s</w:t>
      </w:r>
      <w:r w:rsidRPr="006454B5">
        <w:rPr>
          <w:rFonts w:asciiTheme="minorBidi" w:hAnsiTheme="minorBidi"/>
          <w:sz w:val="22"/>
        </w:rPr>
        <w:t xml:space="preserve">, J., &amp; Grace, S. (1999). </w:t>
      </w:r>
      <w:r w:rsidRPr="006454B5">
        <w:rPr>
          <w:rFonts w:asciiTheme="minorBidi" w:hAnsiTheme="minorBidi"/>
          <w:i/>
          <w:iCs/>
          <w:sz w:val="22"/>
        </w:rPr>
        <w:t>A question of evidence? Investigating and prosecuting rape in the 1990s.</w:t>
      </w:r>
      <w:r w:rsidRPr="006454B5">
        <w:rPr>
          <w:rFonts w:asciiTheme="minorBidi" w:hAnsiTheme="minorBidi"/>
          <w:sz w:val="22"/>
        </w:rPr>
        <w:t xml:space="preserve"> Home Office.</w:t>
      </w:r>
      <w:r w:rsidR="004056D2" w:rsidRPr="006454B5">
        <w:rPr>
          <w:rFonts w:asciiTheme="minorBidi" w:hAnsiTheme="minorBidi"/>
          <w:sz w:val="22"/>
        </w:rPr>
        <w:t xml:space="preserve"> Available from: </w:t>
      </w:r>
      <w:hyperlink r:id="rId29" w:history="1">
        <w:r w:rsidR="004056D2" w:rsidRPr="006454B5">
          <w:rPr>
            <w:rStyle w:val="Hyperlink"/>
            <w:rFonts w:asciiTheme="minorBidi" w:hAnsiTheme="minorBidi"/>
            <w:sz w:val="22"/>
          </w:rPr>
          <w:t>http://www.ncjrs.gov/App/publications/abstract.aspx?ID=180356</w:t>
        </w:r>
      </w:hyperlink>
      <w:r w:rsidR="004056D2" w:rsidRPr="006454B5">
        <w:rPr>
          <w:rFonts w:asciiTheme="minorBidi" w:hAnsiTheme="minorBidi"/>
          <w:sz w:val="22"/>
        </w:rPr>
        <w:t xml:space="preserve"> [Accessed 14 Apr 2020].</w:t>
      </w:r>
    </w:p>
    <w:p w14:paraId="32CB9C39" w14:textId="5334A60C" w:rsidR="00C47258" w:rsidRPr="006454B5" w:rsidRDefault="00C47258" w:rsidP="000C7544">
      <w:pPr>
        <w:spacing w:before="120" w:after="120"/>
        <w:ind w:left="720" w:hanging="720"/>
        <w:contextualSpacing/>
        <w:rPr>
          <w:rFonts w:asciiTheme="minorBidi" w:hAnsiTheme="minorBidi"/>
          <w:sz w:val="22"/>
        </w:rPr>
      </w:pPr>
      <w:r w:rsidRPr="006454B5">
        <w:rPr>
          <w:rFonts w:asciiTheme="minorBidi" w:hAnsiTheme="minorBidi"/>
          <w:noProof/>
          <w:sz w:val="22"/>
        </w:rPr>
        <w:t xml:space="preserve">Hartwig, M., Granhag, P. A., Strömwall, L. A., &amp; Kronkvist, O. (2006). Strategic use of evidence during police interviews: When training to detect deception works. </w:t>
      </w:r>
      <w:r w:rsidRPr="006454B5">
        <w:rPr>
          <w:rFonts w:asciiTheme="minorBidi" w:hAnsiTheme="minorBidi"/>
          <w:i/>
          <w:noProof/>
          <w:sz w:val="22"/>
        </w:rPr>
        <w:t>Law and Human Behavior, 30</w:t>
      </w:r>
      <w:r w:rsidRPr="006454B5">
        <w:rPr>
          <w:rFonts w:asciiTheme="minorBidi" w:hAnsiTheme="minorBidi"/>
          <w:noProof/>
          <w:sz w:val="22"/>
        </w:rPr>
        <w:t xml:space="preserve">, 603-619. </w:t>
      </w:r>
      <w:hyperlink r:id="rId30" w:history="1">
        <w:r w:rsidR="00AC3B55" w:rsidRPr="006454B5">
          <w:rPr>
            <w:rStyle w:val="Hyperlink"/>
            <w:rFonts w:asciiTheme="minorBidi" w:hAnsiTheme="minorBidi"/>
            <w:noProof/>
            <w:sz w:val="22"/>
          </w:rPr>
          <w:t>https://doi:10.1007/s10979-006-9053-9</w:t>
        </w:r>
      </w:hyperlink>
      <w:r w:rsidR="00AC3B55" w:rsidRPr="006454B5">
        <w:rPr>
          <w:rFonts w:asciiTheme="minorBidi" w:hAnsiTheme="minorBidi"/>
          <w:noProof/>
          <w:sz w:val="22"/>
        </w:rPr>
        <w:t xml:space="preserve"> </w:t>
      </w:r>
    </w:p>
    <w:p w14:paraId="2CAC3DD1" w14:textId="1C7E95FF" w:rsidR="009F4F9E" w:rsidRPr="006454B5" w:rsidRDefault="009F4F9E" w:rsidP="000C7544">
      <w:pPr>
        <w:spacing w:before="120" w:after="120"/>
        <w:ind w:left="720" w:hanging="720"/>
        <w:contextualSpacing/>
        <w:rPr>
          <w:rFonts w:asciiTheme="minorBidi" w:hAnsiTheme="minorBidi"/>
          <w:sz w:val="22"/>
        </w:rPr>
      </w:pPr>
      <w:r w:rsidRPr="006454B5">
        <w:rPr>
          <w:rFonts w:asciiTheme="minorBidi" w:hAnsiTheme="minorBidi"/>
          <w:sz w:val="22"/>
        </w:rPr>
        <w:t xml:space="preserve">Hester, M., &amp; Lilley, S. (2017). Rape investigation and attrition in acquaintance, domestic violence and historical rape cases. </w:t>
      </w:r>
      <w:r w:rsidRPr="006454B5">
        <w:rPr>
          <w:rFonts w:asciiTheme="minorBidi" w:hAnsiTheme="minorBidi"/>
          <w:i/>
          <w:iCs/>
          <w:sz w:val="22"/>
        </w:rPr>
        <w:t>Journal of Investigative Psychology and Offender Profiling, 14</w:t>
      </w:r>
      <w:r w:rsidRPr="006454B5">
        <w:rPr>
          <w:rFonts w:asciiTheme="minorBidi" w:hAnsiTheme="minorBidi"/>
          <w:sz w:val="22"/>
        </w:rPr>
        <w:t xml:space="preserve">, 175-188. </w:t>
      </w:r>
      <w:hyperlink r:id="rId31" w:history="1">
        <w:r w:rsidR="004056D2" w:rsidRPr="006454B5">
          <w:rPr>
            <w:rStyle w:val="Hyperlink"/>
            <w:rFonts w:asciiTheme="minorBidi" w:hAnsiTheme="minorBidi"/>
            <w:sz w:val="22"/>
          </w:rPr>
          <w:t>http://doi.org/10.1002/jip.1469</w:t>
        </w:r>
      </w:hyperlink>
      <w:r w:rsidR="004056D2" w:rsidRPr="006454B5">
        <w:rPr>
          <w:rFonts w:asciiTheme="minorBidi" w:hAnsiTheme="minorBidi"/>
          <w:sz w:val="22"/>
        </w:rPr>
        <w:t xml:space="preserve"> </w:t>
      </w:r>
    </w:p>
    <w:p w14:paraId="66CC52BD" w14:textId="6EBFC5A5" w:rsidR="009F4F9E" w:rsidRPr="006454B5" w:rsidRDefault="009F4F9E" w:rsidP="000C7544">
      <w:pPr>
        <w:spacing w:before="120" w:after="120"/>
        <w:ind w:left="720" w:hanging="720"/>
        <w:contextualSpacing/>
        <w:rPr>
          <w:rFonts w:asciiTheme="minorBidi" w:hAnsiTheme="minorBidi"/>
          <w:sz w:val="22"/>
        </w:rPr>
      </w:pPr>
      <w:r w:rsidRPr="006454B5">
        <w:rPr>
          <w:rFonts w:asciiTheme="minorBidi" w:hAnsiTheme="minorBidi"/>
          <w:sz w:val="22"/>
        </w:rPr>
        <w:t xml:space="preserve">Hine, B., &amp; Murphy, A. (2017). The impact of victim-perpetrator relationship, reputation and initial point of resistance on officers’ responsibility and authenticity ratings towards hypothetical rape cases. </w:t>
      </w:r>
      <w:r w:rsidRPr="006454B5">
        <w:rPr>
          <w:rFonts w:asciiTheme="minorBidi" w:hAnsiTheme="minorBidi"/>
          <w:i/>
          <w:iCs/>
          <w:sz w:val="22"/>
        </w:rPr>
        <w:t>Journal of Criminal Justice, 49</w:t>
      </w:r>
      <w:r w:rsidRPr="006454B5">
        <w:rPr>
          <w:rFonts w:asciiTheme="minorBidi" w:hAnsiTheme="minorBidi"/>
          <w:sz w:val="22"/>
        </w:rPr>
        <w:t>, 1–13.</w:t>
      </w:r>
      <w:r w:rsidR="004056D2" w:rsidRPr="006454B5">
        <w:rPr>
          <w:rFonts w:asciiTheme="minorBidi" w:hAnsiTheme="minorBidi"/>
          <w:sz w:val="22"/>
        </w:rPr>
        <w:t xml:space="preserve"> </w:t>
      </w:r>
      <w:hyperlink r:id="rId32" w:history="1">
        <w:r w:rsidR="004056D2" w:rsidRPr="006454B5">
          <w:rPr>
            <w:rStyle w:val="Hyperlink"/>
            <w:rFonts w:asciiTheme="minorBidi" w:hAnsiTheme="minorBidi"/>
            <w:sz w:val="22"/>
          </w:rPr>
          <w:t>https://doi.org/10.1016/j.jcrimjus.2017.01.001</w:t>
        </w:r>
      </w:hyperlink>
      <w:r w:rsidR="004056D2" w:rsidRPr="006454B5">
        <w:rPr>
          <w:rFonts w:asciiTheme="minorBidi" w:hAnsiTheme="minorBidi"/>
          <w:sz w:val="22"/>
        </w:rPr>
        <w:t xml:space="preserve"> </w:t>
      </w:r>
    </w:p>
    <w:p w14:paraId="478F185E" w14:textId="78B4406C" w:rsidR="009F4F9E" w:rsidRPr="006454B5" w:rsidRDefault="009F4F9E" w:rsidP="000C7544">
      <w:pPr>
        <w:spacing w:before="120" w:after="120"/>
        <w:ind w:left="720" w:hanging="720"/>
        <w:contextualSpacing/>
        <w:rPr>
          <w:rFonts w:asciiTheme="minorBidi" w:hAnsiTheme="minorBidi"/>
          <w:sz w:val="22"/>
        </w:rPr>
      </w:pPr>
      <w:r w:rsidRPr="006454B5">
        <w:rPr>
          <w:rFonts w:asciiTheme="minorBidi" w:hAnsiTheme="minorBidi"/>
          <w:sz w:val="22"/>
        </w:rPr>
        <w:t xml:space="preserve">Hine, B., &amp; Murphy, A. (2019). The influence of ‘High’ vs. ‘Low’ rape myth acceptance on police officers’ judgements of victim and perpetrator responsibility, and rape authenticity. </w:t>
      </w:r>
      <w:r w:rsidRPr="006454B5">
        <w:rPr>
          <w:rFonts w:asciiTheme="minorBidi" w:hAnsiTheme="minorBidi"/>
          <w:i/>
          <w:iCs/>
          <w:sz w:val="22"/>
        </w:rPr>
        <w:t>Journal of Criminal Justice, 60</w:t>
      </w:r>
      <w:r w:rsidRPr="006454B5">
        <w:rPr>
          <w:rFonts w:asciiTheme="minorBidi" w:hAnsiTheme="minorBidi"/>
          <w:sz w:val="22"/>
        </w:rPr>
        <w:t xml:space="preserve">, 100–107. </w:t>
      </w:r>
      <w:hyperlink r:id="rId33" w:history="1">
        <w:r w:rsidR="004056D2" w:rsidRPr="006454B5">
          <w:rPr>
            <w:rStyle w:val="Hyperlink"/>
            <w:rFonts w:asciiTheme="minorBidi" w:hAnsiTheme="minorBidi"/>
            <w:sz w:val="22"/>
          </w:rPr>
          <w:t>https://doi.org/10.1016/j.jcrimjus.2018.08.001</w:t>
        </w:r>
      </w:hyperlink>
      <w:r w:rsidR="004056D2" w:rsidRPr="006454B5">
        <w:rPr>
          <w:rFonts w:asciiTheme="minorBidi" w:hAnsiTheme="minorBidi"/>
          <w:sz w:val="22"/>
        </w:rPr>
        <w:t xml:space="preserve"> </w:t>
      </w:r>
    </w:p>
    <w:p w14:paraId="4CB1DC06" w14:textId="1146DF10" w:rsidR="006454B5" w:rsidRPr="006454B5" w:rsidRDefault="006454B5" w:rsidP="006454B5">
      <w:pPr>
        <w:spacing w:before="120" w:after="120"/>
        <w:ind w:left="720" w:hanging="720"/>
        <w:contextualSpacing/>
        <w:rPr>
          <w:rFonts w:asciiTheme="minorBidi" w:hAnsiTheme="minorBidi"/>
          <w:sz w:val="22"/>
        </w:rPr>
      </w:pPr>
      <w:r w:rsidRPr="006454B5">
        <w:rPr>
          <w:rFonts w:asciiTheme="minorBidi" w:hAnsiTheme="minorBidi"/>
          <w:sz w:val="22"/>
        </w:rPr>
        <w:t xml:space="preserve">Hine, B. A., Murphy, A. D., Yesberg, J. A., </w:t>
      </w:r>
      <w:proofErr w:type="spellStart"/>
      <w:r w:rsidRPr="006454B5">
        <w:rPr>
          <w:rFonts w:asciiTheme="minorBidi" w:hAnsiTheme="minorBidi"/>
          <w:sz w:val="22"/>
        </w:rPr>
        <w:t>Wunsch</w:t>
      </w:r>
      <w:proofErr w:type="spellEnd"/>
      <w:r w:rsidRPr="006454B5">
        <w:rPr>
          <w:rFonts w:asciiTheme="minorBidi" w:hAnsiTheme="minorBidi"/>
          <w:sz w:val="22"/>
        </w:rPr>
        <w:t xml:space="preserve">, D., </w:t>
      </w:r>
      <w:proofErr w:type="spellStart"/>
      <w:r w:rsidRPr="006454B5">
        <w:rPr>
          <w:rFonts w:asciiTheme="minorBidi" w:hAnsiTheme="minorBidi"/>
          <w:sz w:val="22"/>
        </w:rPr>
        <w:t>Charleton</w:t>
      </w:r>
      <w:proofErr w:type="spellEnd"/>
      <w:r w:rsidRPr="006454B5">
        <w:rPr>
          <w:rFonts w:asciiTheme="minorBidi" w:hAnsiTheme="minorBidi"/>
          <w:sz w:val="22"/>
        </w:rPr>
        <w:t>, B., &amp; Widanaralalage Don, B. K. (2020). Mapping the landscape of male-on-male rape in London: an analysis of cases involving male victims reported between 2005 and 2012. </w:t>
      </w:r>
      <w:r w:rsidRPr="006454B5">
        <w:rPr>
          <w:rFonts w:asciiTheme="minorBidi" w:hAnsiTheme="minorBidi"/>
          <w:i/>
          <w:iCs/>
          <w:sz w:val="22"/>
        </w:rPr>
        <w:t>Police Practice and Research</w:t>
      </w:r>
      <w:r w:rsidRPr="006454B5">
        <w:rPr>
          <w:rFonts w:asciiTheme="minorBidi" w:hAnsiTheme="minorBidi"/>
          <w:sz w:val="22"/>
        </w:rPr>
        <w:t xml:space="preserve">, 1-18. </w:t>
      </w:r>
      <w:hyperlink r:id="rId34" w:history="1">
        <w:r w:rsidRPr="006454B5">
          <w:rPr>
            <w:rStyle w:val="Hyperlink"/>
            <w:rFonts w:ascii="Arial" w:hAnsi="Arial" w:cs="Arial"/>
            <w:color w:val="006DB4"/>
            <w:sz w:val="22"/>
          </w:rPr>
          <w:t>https://doi.org/10.1080/15614263.2020.1843458</w:t>
        </w:r>
      </w:hyperlink>
    </w:p>
    <w:p w14:paraId="57A6A3B7" w14:textId="537C5F21" w:rsidR="009F4F9E" w:rsidRPr="006454B5" w:rsidRDefault="009F4F9E" w:rsidP="000C7544">
      <w:pPr>
        <w:spacing w:before="120" w:after="120"/>
        <w:ind w:left="720" w:hanging="720"/>
        <w:contextualSpacing/>
        <w:rPr>
          <w:rFonts w:asciiTheme="minorBidi" w:hAnsiTheme="minorBidi"/>
          <w:sz w:val="22"/>
        </w:rPr>
      </w:pPr>
      <w:proofErr w:type="spellStart"/>
      <w:r w:rsidRPr="006454B5">
        <w:rPr>
          <w:rFonts w:asciiTheme="minorBidi" w:hAnsiTheme="minorBidi"/>
          <w:sz w:val="22"/>
        </w:rPr>
        <w:t>Hohl</w:t>
      </w:r>
      <w:proofErr w:type="spellEnd"/>
      <w:r w:rsidRPr="006454B5">
        <w:rPr>
          <w:rFonts w:asciiTheme="minorBidi" w:hAnsiTheme="minorBidi"/>
          <w:sz w:val="22"/>
        </w:rPr>
        <w:t xml:space="preserve">, K., &amp; </w:t>
      </w:r>
      <w:proofErr w:type="spellStart"/>
      <w:r w:rsidRPr="006454B5">
        <w:rPr>
          <w:rFonts w:asciiTheme="minorBidi" w:hAnsiTheme="minorBidi"/>
          <w:sz w:val="22"/>
        </w:rPr>
        <w:t>Stanko</w:t>
      </w:r>
      <w:proofErr w:type="spellEnd"/>
      <w:r w:rsidRPr="006454B5">
        <w:rPr>
          <w:rFonts w:asciiTheme="minorBidi" w:hAnsiTheme="minorBidi"/>
          <w:sz w:val="22"/>
        </w:rPr>
        <w:t xml:space="preserve">, E. A. (2015). Complaints of rape and the criminal justice system: Fresh evidence on the attrition problem in England and Wales. </w:t>
      </w:r>
      <w:r w:rsidRPr="006454B5">
        <w:rPr>
          <w:rFonts w:asciiTheme="minorBidi" w:hAnsiTheme="minorBidi"/>
          <w:i/>
          <w:iCs/>
          <w:sz w:val="22"/>
        </w:rPr>
        <w:t>European Journal of Criminology, 12</w:t>
      </w:r>
      <w:r w:rsidRPr="006454B5">
        <w:rPr>
          <w:rFonts w:asciiTheme="minorBidi" w:hAnsiTheme="minorBidi"/>
          <w:sz w:val="22"/>
        </w:rPr>
        <w:t xml:space="preserve">(3), 324–341. </w:t>
      </w:r>
      <w:hyperlink r:id="rId35" w:history="1">
        <w:r w:rsidR="004056D2" w:rsidRPr="006454B5">
          <w:rPr>
            <w:rStyle w:val="Hyperlink"/>
            <w:rFonts w:asciiTheme="minorBidi" w:hAnsiTheme="minorBidi"/>
            <w:sz w:val="22"/>
          </w:rPr>
          <w:t>https://doi.org/10.1177/1477370815571949</w:t>
        </w:r>
      </w:hyperlink>
      <w:r w:rsidR="004056D2" w:rsidRPr="006454B5">
        <w:rPr>
          <w:rFonts w:asciiTheme="minorBidi" w:hAnsiTheme="minorBidi"/>
          <w:sz w:val="22"/>
        </w:rPr>
        <w:t xml:space="preserve"> </w:t>
      </w:r>
    </w:p>
    <w:p w14:paraId="55354FFC" w14:textId="14635A3A" w:rsidR="009F4F9E" w:rsidRPr="006454B5" w:rsidRDefault="009F4F9E" w:rsidP="000C7544">
      <w:pPr>
        <w:spacing w:before="120" w:after="120"/>
        <w:ind w:left="720" w:hanging="720"/>
        <w:contextualSpacing/>
        <w:rPr>
          <w:rFonts w:asciiTheme="minorBidi" w:hAnsiTheme="minorBidi"/>
          <w:sz w:val="22"/>
        </w:rPr>
      </w:pPr>
      <w:r w:rsidRPr="006454B5">
        <w:rPr>
          <w:rFonts w:asciiTheme="minorBidi" w:hAnsiTheme="minorBidi"/>
          <w:sz w:val="22"/>
        </w:rPr>
        <w:t xml:space="preserve">Home Office. (2019). </w:t>
      </w:r>
      <w:r w:rsidRPr="006454B5">
        <w:rPr>
          <w:rFonts w:asciiTheme="minorBidi" w:hAnsiTheme="minorBidi"/>
          <w:i/>
          <w:iCs/>
          <w:sz w:val="22"/>
        </w:rPr>
        <w:t>Crime outcomes in England and Wales, year to December 2018: data tables.</w:t>
      </w:r>
      <w:r w:rsidRPr="006454B5">
        <w:rPr>
          <w:rFonts w:asciiTheme="minorBidi" w:hAnsiTheme="minorBidi"/>
          <w:sz w:val="22"/>
        </w:rPr>
        <w:t xml:space="preserve"> </w:t>
      </w:r>
      <w:r w:rsidR="00EA3A01" w:rsidRPr="006454B5">
        <w:rPr>
          <w:rFonts w:asciiTheme="minorBidi" w:hAnsiTheme="minorBidi"/>
          <w:sz w:val="22"/>
        </w:rPr>
        <w:t>Available</w:t>
      </w:r>
      <w:r w:rsidRPr="006454B5">
        <w:rPr>
          <w:rFonts w:asciiTheme="minorBidi" w:hAnsiTheme="minorBidi"/>
          <w:sz w:val="22"/>
        </w:rPr>
        <w:t xml:space="preserve"> from: </w:t>
      </w:r>
      <w:hyperlink r:id="rId36" w:history="1">
        <w:r w:rsidR="00EA3A01" w:rsidRPr="006454B5">
          <w:rPr>
            <w:rStyle w:val="Hyperlink"/>
            <w:rFonts w:asciiTheme="minorBidi" w:hAnsiTheme="minorBidi"/>
            <w:sz w:val="22"/>
          </w:rPr>
          <w:t>https://www.gov.uk/government/statistics/crime-outcomes-in-england-and-wales-year-to-december-2018-data-tables</w:t>
        </w:r>
      </w:hyperlink>
      <w:r w:rsidR="00EA3A01" w:rsidRPr="006454B5">
        <w:rPr>
          <w:rFonts w:asciiTheme="minorBidi" w:hAnsiTheme="minorBidi"/>
          <w:sz w:val="22"/>
        </w:rPr>
        <w:t xml:space="preserve"> [Accessed 14 Apr 2020].   </w:t>
      </w:r>
    </w:p>
    <w:p w14:paraId="42891CEA" w14:textId="61E6A134" w:rsidR="008306EB" w:rsidRPr="006454B5" w:rsidRDefault="008306EB" w:rsidP="00AC3B55">
      <w:pPr>
        <w:spacing w:before="120" w:after="120"/>
        <w:ind w:left="720" w:hanging="720"/>
        <w:contextualSpacing/>
        <w:rPr>
          <w:rFonts w:asciiTheme="minorBidi" w:hAnsiTheme="minorBidi"/>
          <w:sz w:val="22"/>
        </w:rPr>
      </w:pPr>
      <w:r w:rsidRPr="006454B5">
        <w:rPr>
          <w:rFonts w:asciiTheme="minorBidi" w:hAnsiTheme="minorBidi"/>
          <w:sz w:val="22"/>
        </w:rPr>
        <w:lastRenderedPageBreak/>
        <w:t xml:space="preserve">Home Office. (2020). </w:t>
      </w:r>
      <w:r w:rsidRPr="006454B5">
        <w:rPr>
          <w:rFonts w:asciiTheme="minorBidi" w:hAnsiTheme="minorBidi"/>
          <w:i/>
          <w:iCs/>
          <w:sz w:val="22"/>
        </w:rPr>
        <w:t xml:space="preserve">Home office counting rules for recorded crime. </w:t>
      </w:r>
      <w:r w:rsidR="00AC3B55" w:rsidRPr="006454B5">
        <w:rPr>
          <w:rFonts w:asciiTheme="minorBidi" w:hAnsiTheme="minorBidi"/>
          <w:sz w:val="22"/>
        </w:rPr>
        <w:t>Retrieved</w:t>
      </w:r>
      <w:r w:rsidRPr="006454B5">
        <w:rPr>
          <w:rFonts w:asciiTheme="minorBidi" w:hAnsiTheme="minorBidi"/>
          <w:sz w:val="22"/>
        </w:rPr>
        <w:t xml:space="preserve"> from: </w:t>
      </w:r>
      <w:hyperlink r:id="rId37" w:history="1">
        <w:r w:rsidRPr="006454B5">
          <w:rPr>
            <w:rStyle w:val="Hyperlink"/>
            <w:rFonts w:asciiTheme="minorBidi" w:hAnsiTheme="minorBidi"/>
            <w:sz w:val="22"/>
          </w:rPr>
          <w:t>https://assets.publishing.service.gov.uk/government/uploads/system/uploads/attachment_data/file/877783/count-general-apr-2020.pdf</w:t>
        </w:r>
      </w:hyperlink>
      <w:r w:rsidRPr="006454B5">
        <w:rPr>
          <w:rFonts w:asciiTheme="minorBidi" w:hAnsiTheme="minorBidi"/>
          <w:sz w:val="22"/>
        </w:rPr>
        <w:t xml:space="preserve"> [Accessed Apr 2020].</w:t>
      </w:r>
    </w:p>
    <w:p w14:paraId="794A4B4A" w14:textId="766A7DAD" w:rsidR="009F4F9E" w:rsidRPr="006454B5" w:rsidRDefault="009F4F9E" w:rsidP="000C7544">
      <w:pPr>
        <w:spacing w:before="120" w:after="120"/>
        <w:ind w:left="720" w:hanging="720"/>
        <w:contextualSpacing/>
        <w:rPr>
          <w:rFonts w:asciiTheme="minorBidi" w:hAnsiTheme="minorBidi"/>
          <w:sz w:val="22"/>
        </w:rPr>
      </w:pPr>
      <w:r w:rsidRPr="006454B5">
        <w:rPr>
          <w:rFonts w:asciiTheme="minorBidi" w:hAnsiTheme="minorBidi"/>
          <w:sz w:val="22"/>
        </w:rPr>
        <w:t xml:space="preserve">Horvath, M. A. H., &amp; Brown, J. M. (2009). </w:t>
      </w:r>
      <w:r w:rsidRPr="006454B5">
        <w:rPr>
          <w:rFonts w:asciiTheme="minorBidi" w:hAnsiTheme="minorBidi"/>
          <w:i/>
          <w:iCs/>
          <w:sz w:val="22"/>
        </w:rPr>
        <w:t>Rape: Challenging contemporary thinking</w:t>
      </w:r>
      <w:r w:rsidRPr="006454B5">
        <w:rPr>
          <w:rFonts w:asciiTheme="minorBidi" w:hAnsiTheme="minorBidi"/>
          <w:sz w:val="22"/>
        </w:rPr>
        <w:t xml:space="preserve">. </w:t>
      </w:r>
      <w:proofErr w:type="spellStart"/>
      <w:r w:rsidR="00AF15D6" w:rsidRPr="006454B5">
        <w:rPr>
          <w:rFonts w:asciiTheme="minorBidi" w:hAnsiTheme="minorBidi"/>
          <w:sz w:val="22"/>
        </w:rPr>
        <w:t>Willan</w:t>
      </w:r>
      <w:proofErr w:type="spellEnd"/>
      <w:r w:rsidRPr="006454B5">
        <w:rPr>
          <w:rFonts w:asciiTheme="minorBidi" w:hAnsiTheme="minorBidi"/>
          <w:sz w:val="22"/>
        </w:rPr>
        <w:t xml:space="preserve">. </w:t>
      </w:r>
    </w:p>
    <w:p w14:paraId="3237406F" w14:textId="39BE1E85" w:rsidR="009F4F9E" w:rsidRPr="006454B5" w:rsidRDefault="009F4F9E" w:rsidP="000C7544">
      <w:pPr>
        <w:spacing w:before="120" w:after="120"/>
        <w:ind w:left="720" w:hanging="720"/>
        <w:contextualSpacing/>
        <w:rPr>
          <w:rFonts w:asciiTheme="minorBidi" w:hAnsiTheme="minorBidi"/>
          <w:sz w:val="22"/>
        </w:rPr>
      </w:pPr>
      <w:r w:rsidRPr="006454B5">
        <w:rPr>
          <w:rFonts w:asciiTheme="minorBidi" w:hAnsiTheme="minorBidi"/>
          <w:sz w:val="22"/>
        </w:rPr>
        <w:t xml:space="preserve">Jordan, J. (2001). Worlds apart? Women, rape and the police reporting process. </w:t>
      </w:r>
      <w:r w:rsidRPr="006454B5">
        <w:rPr>
          <w:rFonts w:asciiTheme="minorBidi" w:hAnsiTheme="minorBidi"/>
          <w:i/>
          <w:iCs/>
          <w:sz w:val="22"/>
        </w:rPr>
        <w:t>British Journal of Criminology, 41</w:t>
      </w:r>
      <w:r w:rsidRPr="006454B5">
        <w:rPr>
          <w:rFonts w:asciiTheme="minorBidi" w:hAnsiTheme="minorBidi"/>
          <w:sz w:val="22"/>
        </w:rPr>
        <w:t xml:space="preserve">(4), 679-706. </w:t>
      </w:r>
      <w:hyperlink r:id="rId38" w:history="1">
        <w:r w:rsidR="00AF15D6" w:rsidRPr="006454B5">
          <w:rPr>
            <w:rStyle w:val="Hyperlink"/>
            <w:rFonts w:asciiTheme="minorBidi" w:hAnsiTheme="minorBidi"/>
            <w:sz w:val="22"/>
          </w:rPr>
          <w:t>https://doi.org/10.1093/bjc/41.4.679</w:t>
        </w:r>
      </w:hyperlink>
      <w:r w:rsidR="00AF15D6" w:rsidRPr="006454B5">
        <w:rPr>
          <w:rFonts w:asciiTheme="minorBidi" w:hAnsiTheme="minorBidi"/>
          <w:sz w:val="22"/>
        </w:rPr>
        <w:t xml:space="preserve"> </w:t>
      </w:r>
    </w:p>
    <w:p w14:paraId="0CAFA131" w14:textId="38D5DB1B" w:rsidR="009F4F9E" w:rsidRPr="006454B5" w:rsidRDefault="009F4F9E" w:rsidP="000C7544">
      <w:pPr>
        <w:spacing w:before="120" w:after="120"/>
        <w:ind w:left="720" w:hanging="720"/>
        <w:contextualSpacing/>
        <w:rPr>
          <w:rFonts w:asciiTheme="minorBidi" w:hAnsiTheme="minorBidi"/>
          <w:sz w:val="22"/>
        </w:rPr>
      </w:pPr>
      <w:r w:rsidRPr="006454B5">
        <w:rPr>
          <w:rFonts w:asciiTheme="minorBidi" w:hAnsiTheme="minorBidi"/>
          <w:sz w:val="22"/>
        </w:rPr>
        <w:t>Jordan, J. (2011). Here we go round the review-go-round: Rape investigation and prosecution—are things getting worse not better?</w:t>
      </w:r>
      <w:r w:rsidR="00AF15D6" w:rsidRPr="006454B5">
        <w:rPr>
          <w:rFonts w:asciiTheme="minorBidi" w:hAnsiTheme="minorBidi"/>
          <w:sz w:val="22"/>
        </w:rPr>
        <w:t xml:space="preserve"> </w:t>
      </w:r>
      <w:r w:rsidRPr="006454B5">
        <w:rPr>
          <w:rFonts w:asciiTheme="minorBidi" w:hAnsiTheme="minorBidi"/>
          <w:i/>
          <w:iCs/>
          <w:sz w:val="22"/>
        </w:rPr>
        <w:t>Journal of Sexual Aggression, 17</w:t>
      </w:r>
      <w:r w:rsidRPr="006454B5">
        <w:rPr>
          <w:rFonts w:asciiTheme="minorBidi" w:hAnsiTheme="minorBidi"/>
          <w:sz w:val="22"/>
        </w:rPr>
        <w:t xml:space="preserve">(3), 234-249. </w:t>
      </w:r>
      <w:hyperlink r:id="rId39" w:history="1">
        <w:r w:rsidR="00AF15D6" w:rsidRPr="006454B5">
          <w:rPr>
            <w:rStyle w:val="Hyperlink"/>
            <w:rFonts w:asciiTheme="minorBidi" w:hAnsiTheme="minorBidi"/>
            <w:sz w:val="22"/>
          </w:rPr>
          <w:t>https://doi.org/10.1080/13552600.2011.613278</w:t>
        </w:r>
      </w:hyperlink>
      <w:r w:rsidR="00AF15D6" w:rsidRPr="006454B5">
        <w:rPr>
          <w:rFonts w:asciiTheme="minorBidi" w:hAnsiTheme="minorBidi"/>
          <w:sz w:val="22"/>
        </w:rPr>
        <w:t xml:space="preserve"> </w:t>
      </w:r>
    </w:p>
    <w:p w14:paraId="61834D7C" w14:textId="151D2746" w:rsidR="001B7705" w:rsidRPr="006454B5" w:rsidRDefault="001B7705" w:rsidP="000C7544">
      <w:pPr>
        <w:spacing w:before="120" w:after="120"/>
        <w:ind w:left="720" w:hanging="720"/>
        <w:contextualSpacing/>
        <w:rPr>
          <w:rFonts w:asciiTheme="minorBidi" w:hAnsiTheme="minorBidi"/>
          <w:sz w:val="22"/>
        </w:rPr>
      </w:pPr>
      <w:proofErr w:type="spellStart"/>
      <w:r w:rsidRPr="006454B5">
        <w:rPr>
          <w:rFonts w:asciiTheme="minorBidi" w:hAnsiTheme="minorBidi"/>
          <w:sz w:val="22"/>
        </w:rPr>
        <w:t>Kassing</w:t>
      </w:r>
      <w:proofErr w:type="spellEnd"/>
      <w:r w:rsidRPr="006454B5">
        <w:rPr>
          <w:rFonts w:asciiTheme="minorBidi" w:hAnsiTheme="minorBidi"/>
          <w:sz w:val="22"/>
        </w:rPr>
        <w:t xml:space="preserve">, L. R., &amp; Prieto, L. R. (2003). The rape myth and blame-based beliefs of counsellors- in training towards male victims of rape. </w:t>
      </w:r>
      <w:r w:rsidRPr="006454B5">
        <w:rPr>
          <w:rFonts w:asciiTheme="minorBidi" w:hAnsiTheme="minorBidi"/>
          <w:i/>
          <w:sz w:val="22"/>
        </w:rPr>
        <w:t>Journal of Counselling and Development, 81</w:t>
      </w:r>
      <w:r w:rsidRPr="006454B5">
        <w:rPr>
          <w:rFonts w:asciiTheme="minorBidi" w:hAnsiTheme="minorBidi"/>
          <w:sz w:val="22"/>
        </w:rPr>
        <w:t xml:space="preserve">, 455–461. </w:t>
      </w:r>
      <w:hyperlink r:id="rId40" w:history="1">
        <w:r w:rsidRPr="006454B5">
          <w:rPr>
            <w:rStyle w:val="Hyperlink"/>
            <w:rFonts w:asciiTheme="minorBidi" w:hAnsiTheme="minorBidi"/>
            <w:sz w:val="22"/>
          </w:rPr>
          <w:t>http://dx.doi.org/10.1002/j.1556-6678.2003.tb00272.x</w:t>
        </w:r>
      </w:hyperlink>
      <w:r w:rsidRPr="006454B5">
        <w:rPr>
          <w:rFonts w:asciiTheme="minorBidi" w:hAnsiTheme="minorBidi"/>
          <w:sz w:val="22"/>
        </w:rPr>
        <w:t>.</w:t>
      </w:r>
    </w:p>
    <w:p w14:paraId="2C0B6337" w14:textId="6381944B" w:rsidR="009F4F9E" w:rsidRPr="006454B5" w:rsidRDefault="009F4F9E" w:rsidP="000C7544">
      <w:pPr>
        <w:spacing w:before="120" w:after="120"/>
        <w:ind w:left="720" w:hanging="720"/>
        <w:contextualSpacing/>
        <w:rPr>
          <w:rFonts w:asciiTheme="minorBidi" w:hAnsiTheme="minorBidi"/>
          <w:sz w:val="22"/>
        </w:rPr>
      </w:pPr>
      <w:r w:rsidRPr="006454B5">
        <w:rPr>
          <w:rFonts w:asciiTheme="minorBidi" w:hAnsiTheme="minorBidi"/>
          <w:sz w:val="22"/>
        </w:rPr>
        <w:t>Kelly, L. (2010). The (in) credible words of women: False allegations in European rape research.</w:t>
      </w:r>
      <w:r w:rsidR="0081573C" w:rsidRPr="006454B5">
        <w:rPr>
          <w:rFonts w:asciiTheme="minorBidi" w:hAnsiTheme="minorBidi"/>
          <w:sz w:val="22"/>
        </w:rPr>
        <w:t xml:space="preserve"> </w:t>
      </w:r>
      <w:r w:rsidRPr="006454B5">
        <w:rPr>
          <w:rFonts w:asciiTheme="minorBidi" w:hAnsiTheme="minorBidi"/>
          <w:i/>
          <w:iCs/>
          <w:sz w:val="22"/>
        </w:rPr>
        <w:t xml:space="preserve">Violence </w:t>
      </w:r>
      <w:proofErr w:type="gramStart"/>
      <w:r w:rsidRPr="006454B5">
        <w:rPr>
          <w:rFonts w:asciiTheme="minorBidi" w:hAnsiTheme="minorBidi"/>
          <w:i/>
          <w:iCs/>
          <w:sz w:val="22"/>
        </w:rPr>
        <w:t>Against</w:t>
      </w:r>
      <w:proofErr w:type="gramEnd"/>
      <w:r w:rsidRPr="006454B5">
        <w:rPr>
          <w:rFonts w:asciiTheme="minorBidi" w:hAnsiTheme="minorBidi"/>
          <w:i/>
          <w:iCs/>
          <w:sz w:val="22"/>
        </w:rPr>
        <w:t xml:space="preserve"> Women, 16</w:t>
      </w:r>
      <w:r w:rsidRPr="006454B5">
        <w:rPr>
          <w:rFonts w:asciiTheme="minorBidi" w:hAnsiTheme="minorBidi"/>
          <w:sz w:val="22"/>
        </w:rPr>
        <w:t>(12), 1345-1355.</w:t>
      </w:r>
      <w:r w:rsidR="001C68B7" w:rsidRPr="006454B5">
        <w:rPr>
          <w:rFonts w:asciiTheme="minorBidi" w:hAnsiTheme="minorBidi"/>
          <w:sz w:val="22"/>
        </w:rPr>
        <w:t xml:space="preserve"> </w:t>
      </w:r>
      <w:hyperlink r:id="rId41" w:history="1">
        <w:r w:rsidR="001C68B7" w:rsidRPr="006454B5">
          <w:rPr>
            <w:rStyle w:val="Hyperlink"/>
            <w:rFonts w:asciiTheme="minorBidi" w:hAnsiTheme="minorBidi"/>
            <w:sz w:val="22"/>
          </w:rPr>
          <w:t>https://doi.org/10.1177/1077801210387748</w:t>
        </w:r>
      </w:hyperlink>
      <w:r w:rsidR="001C68B7" w:rsidRPr="006454B5">
        <w:rPr>
          <w:rFonts w:asciiTheme="minorBidi" w:hAnsiTheme="minorBidi"/>
          <w:sz w:val="22"/>
        </w:rPr>
        <w:t xml:space="preserve"> </w:t>
      </w:r>
    </w:p>
    <w:p w14:paraId="6892F625" w14:textId="2FFC329B" w:rsidR="009F4F9E" w:rsidRPr="006454B5" w:rsidRDefault="009F4F9E" w:rsidP="000C7544">
      <w:pPr>
        <w:spacing w:before="120" w:after="120"/>
        <w:ind w:left="720" w:hanging="720"/>
        <w:contextualSpacing/>
        <w:rPr>
          <w:rFonts w:asciiTheme="minorBidi" w:hAnsiTheme="minorBidi"/>
          <w:i/>
          <w:iCs/>
          <w:sz w:val="22"/>
        </w:rPr>
      </w:pPr>
      <w:r w:rsidRPr="006454B5">
        <w:rPr>
          <w:rFonts w:asciiTheme="minorBidi" w:hAnsiTheme="minorBidi"/>
          <w:sz w:val="22"/>
        </w:rPr>
        <w:t xml:space="preserve">Kelly, L., Lovett, J., &amp; Regan, L. (2005). </w:t>
      </w:r>
      <w:r w:rsidRPr="006454B5">
        <w:rPr>
          <w:rFonts w:asciiTheme="minorBidi" w:hAnsiTheme="minorBidi"/>
          <w:i/>
          <w:iCs/>
          <w:sz w:val="22"/>
        </w:rPr>
        <w:t>A gap or a chasm? Attrition in reported rape cases.</w:t>
      </w:r>
      <w:r w:rsidR="0081573C" w:rsidRPr="006454B5">
        <w:rPr>
          <w:rFonts w:asciiTheme="minorBidi" w:hAnsiTheme="minorBidi"/>
          <w:i/>
          <w:iCs/>
          <w:sz w:val="22"/>
        </w:rPr>
        <w:t xml:space="preserve"> </w:t>
      </w:r>
      <w:r w:rsidRPr="006454B5">
        <w:rPr>
          <w:rFonts w:asciiTheme="minorBidi" w:hAnsiTheme="minorBidi"/>
          <w:sz w:val="22"/>
        </w:rPr>
        <w:t>Home Office.</w:t>
      </w:r>
      <w:r w:rsidR="003830C8" w:rsidRPr="006454B5">
        <w:rPr>
          <w:rFonts w:asciiTheme="minorBidi" w:hAnsiTheme="minorBidi"/>
          <w:sz w:val="22"/>
        </w:rPr>
        <w:t xml:space="preserve"> Available from:</w:t>
      </w:r>
      <w:r w:rsidR="00693508" w:rsidRPr="006454B5">
        <w:rPr>
          <w:rFonts w:asciiTheme="minorBidi" w:hAnsiTheme="minorBidi"/>
          <w:sz w:val="22"/>
        </w:rPr>
        <w:t xml:space="preserve"> </w:t>
      </w:r>
      <w:hyperlink r:id="rId42" w:history="1">
        <w:r w:rsidR="00693508" w:rsidRPr="006454B5">
          <w:rPr>
            <w:rStyle w:val="Hyperlink"/>
            <w:rFonts w:asciiTheme="minorBidi" w:hAnsiTheme="minorBidi"/>
            <w:sz w:val="22"/>
          </w:rPr>
          <w:t>http://www.ncjrs.gov/App/publications/abstract.aspx?ID=232617</w:t>
        </w:r>
      </w:hyperlink>
      <w:r w:rsidR="00693508" w:rsidRPr="006454B5">
        <w:rPr>
          <w:rFonts w:asciiTheme="minorBidi" w:hAnsiTheme="minorBidi"/>
          <w:sz w:val="22"/>
        </w:rPr>
        <w:t xml:space="preserve"> [Accessed 14 Apr 2020].</w:t>
      </w:r>
    </w:p>
    <w:p w14:paraId="68F9E991" w14:textId="7BD8771C" w:rsidR="009F4F9E" w:rsidRPr="006454B5" w:rsidRDefault="009F4F9E" w:rsidP="000C7544">
      <w:pPr>
        <w:spacing w:before="120" w:after="120"/>
        <w:ind w:left="720" w:hanging="720"/>
        <w:contextualSpacing/>
        <w:rPr>
          <w:rFonts w:asciiTheme="minorBidi" w:hAnsiTheme="minorBidi"/>
          <w:sz w:val="22"/>
        </w:rPr>
      </w:pPr>
      <w:proofErr w:type="spellStart"/>
      <w:r w:rsidRPr="006454B5">
        <w:rPr>
          <w:rFonts w:asciiTheme="minorBidi" w:hAnsiTheme="minorBidi"/>
          <w:sz w:val="22"/>
        </w:rPr>
        <w:t>Kerstetter</w:t>
      </w:r>
      <w:proofErr w:type="spellEnd"/>
      <w:r w:rsidRPr="006454B5">
        <w:rPr>
          <w:rFonts w:asciiTheme="minorBidi" w:hAnsiTheme="minorBidi"/>
          <w:sz w:val="22"/>
        </w:rPr>
        <w:t xml:space="preserve">, W. A. (1990). Gateway to justice: Police and prosecutorial response to sexual assaults against women. </w:t>
      </w:r>
      <w:r w:rsidRPr="006454B5">
        <w:rPr>
          <w:rFonts w:asciiTheme="minorBidi" w:hAnsiTheme="minorBidi"/>
          <w:i/>
          <w:iCs/>
          <w:sz w:val="22"/>
        </w:rPr>
        <w:t>Journal of Criminal Law and Criminology, 81</w:t>
      </w:r>
      <w:r w:rsidRPr="006454B5">
        <w:rPr>
          <w:rFonts w:asciiTheme="minorBidi" w:hAnsiTheme="minorBidi"/>
          <w:sz w:val="22"/>
        </w:rPr>
        <w:t>, 267–313.</w:t>
      </w:r>
      <w:r w:rsidR="00F0349C" w:rsidRPr="006454B5">
        <w:rPr>
          <w:rFonts w:asciiTheme="minorBidi" w:hAnsiTheme="minorBidi"/>
          <w:sz w:val="22"/>
        </w:rPr>
        <w:t xml:space="preserve"> </w:t>
      </w:r>
    </w:p>
    <w:p w14:paraId="304613F3" w14:textId="77777777" w:rsidR="00F12D69" w:rsidRPr="006454B5" w:rsidRDefault="00F12D69" w:rsidP="000C7544">
      <w:pPr>
        <w:spacing w:before="120" w:after="120"/>
        <w:ind w:left="720" w:hanging="720"/>
        <w:contextualSpacing/>
        <w:rPr>
          <w:rFonts w:asciiTheme="minorBidi" w:hAnsiTheme="minorBidi"/>
          <w:sz w:val="22"/>
        </w:rPr>
      </w:pPr>
      <w:r w:rsidRPr="006454B5">
        <w:rPr>
          <w:rFonts w:asciiTheme="minorBidi" w:hAnsiTheme="minorBidi"/>
          <w:sz w:val="22"/>
        </w:rPr>
        <w:t xml:space="preserve">Lathan, E., </w:t>
      </w:r>
      <w:proofErr w:type="spellStart"/>
      <w:r w:rsidRPr="006454B5">
        <w:rPr>
          <w:rFonts w:asciiTheme="minorBidi" w:hAnsiTheme="minorBidi"/>
          <w:sz w:val="22"/>
        </w:rPr>
        <w:t>Langhinrichsen-Rohling</w:t>
      </w:r>
      <w:proofErr w:type="spellEnd"/>
      <w:r w:rsidRPr="006454B5">
        <w:rPr>
          <w:rFonts w:asciiTheme="minorBidi" w:hAnsiTheme="minorBidi"/>
          <w:sz w:val="22"/>
        </w:rPr>
        <w:t xml:space="preserve">, J., Duncan, J., &amp; </w:t>
      </w:r>
      <w:proofErr w:type="spellStart"/>
      <w:r w:rsidRPr="006454B5">
        <w:rPr>
          <w:rFonts w:asciiTheme="minorBidi" w:hAnsiTheme="minorBidi"/>
          <w:sz w:val="22"/>
        </w:rPr>
        <w:t>Stefurak</w:t>
      </w:r>
      <w:proofErr w:type="spellEnd"/>
      <w:r w:rsidRPr="006454B5">
        <w:rPr>
          <w:rFonts w:asciiTheme="minorBidi" w:hAnsiTheme="minorBidi"/>
          <w:sz w:val="22"/>
        </w:rPr>
        <w:t xml:space="preserve">, J. T. (2019). The promise initiative: Promoting a trauma-informed police response to sexual assault in a mid-size Southern community. </w:t>
      </w:r>
      <w:r w:rsidRPr="006454B5">
        <w:rPr>
          <w:rFonts w:asciiTheme="minorBidi" w:hAnsiTheme="minorBidi"/>
          <w:i/>
          <w:iCs/>
          <w:sz w:val="22"/>
        </w:rPr>
        <w:t>Journal of Community Psychology, 47</w:t>
      </w:r>
      <w:r w:rsidRPr="006454B5">
        <w:rPr>
          <w:rFonts w:asciiTheme="minorBidi" w:hAnsiTheme="minorBidi"/>
          <w:sz w:val="22"/>
        </w:rPr>
        <w:t xml:space="preserve">(4), 1733-1749. </w:t>
      </w:r>
      <w:hyperlink r:id="rId43" w:history="1">
        <w:r w:rsidRPr="006454B5">
          <w:rPr>
            <w:rStyle w:val="Hyperlink"/>
            <w:rFonts w:asciiTheme="minorBidi" w:hAnsiTheme="minorBidi"/>
            <w:sz w:val="22"/>
          </w:rPr>
          <w:t>https://doi.org/10.1002/jcop.22223</w:t>
        </w:r>
      </w:hyperlink>
    </w:p>
    <w:p w14:paraId="568250BE" w14:textId="380EDE1A" w:rsidR="009F4F9E" w:rsidRPr="006454B5" w:rsidRDefault="009F4F9E" w:rsidP="000C7544">
      <w:pPr>
        <w:spacing w:before="120" w:after="120"/>
        <w:ind w:left="720" w:hanging="720"/>
        <w:contextualSpacing/>
        <w:rPr>
          <w:rFonts w:asciiTheme="minorBidi" w:hAnsiTheme="minorBidi"/>
          <w:sz w:val="22"/>
        </w:rPr>
      </w:pPr>
      <w:r w:rsidRPr="006454B5">
        <w:rPr>
          <w:rFonts w:asciiTheme="minorBidi" w:hAnsiTheme="minorBidi"/>
          <w:sz w:val="22"/>
        </w:rPr>
        <w:t>Lea, S. J.</w:t>
      </w:r>
      <w:r w:rsidR="00A915F7" w:rsidRPr="006454B5">
        <w:rPr>
          <w:rFonts w:asciiTheme="minorBidi" w:hAnsiTheme="minorBidi"/>
          <w:sz w:val="22"/>
        </w:rPr>
        <w:t>,</w:t>
      </w:r>
      <w:r w:rsidRPr="006454B5">
        <w:rPr>
          <w:rFonts w:asciiTheme="minorBidi" w:hAnsiTheme="minorBidi"/>
          <w:sz w:val="22"/>
        </w:rPr>
        <w:t xml:space="preserve"> </w:t>
      </w:r>
      <w:proofErr w:type="spellStart"/>
      <w:r w:rsidRPr="006454B5">
        <w:rPr>
          <w:rFonts w:asciiTheme="minorBidi" w:hAnsiTheme="minorBidi"/>
          <w:sz w:val="22"/>
        </w:rPr>
        <w:t>Lanvers</w:t>
      </w:r>
      <w:proofErr w:type="spellEnd"/>
      <w:r w:rsidRPr="006454B5">
        <w:rPr>
          <w:rFonts w:asciiTheme="minorBidi" w:hAnsiTheme="minorBidi"/>
          <w:sz w:val="22"/>
        </w:rPr>
        <w:t xml:space="preserve">, U. Shaw, S. (2003). Attrition in </w:t>
      </w:r>
      <w:r w:rsidR="001641E4" w:rsidRPr="006454B5">
        <w:rPr>
          <w:rFonts w:asciiTheme="minorBidi" w:hAnsiTheme="minorBidi"/>
          <w:sz w:val="22"/>
        </w:rPr>
        <w:t>rape cases. Developing a profile and identifying relevant f</w:t>
      </w:r>
      <w:r w:rsidRPr="006454B5">
        <w:rPr>
          <w:rFonts w:asciiTheme="minorBidi" w:hAnsiTheme="minorBidi"/>
          <w:sz w:val="22"/>
        </w:rPr>
        <w:t xml:space="preserve">actors. </w:t>
      </w:r>
      <w:r w:rsidRPr="006454B5">
        <w:rPr>
          <w:rFonts w:asciiTheme="minorBidi" w:hAnsiTheme="minorBidi"/>
          <w:i/>
          <w:iCs/>
          <w:sz w:val="22"/>
        </w:rPr>
        <w:t>British Journal of Criminology, 43</w:t>
      </w:r>
      <w:r w:rsidRPr="006454B5">
        <w:rPr>
          <w:rFonts w:asciiTheme="minorBidi" w:hAnsiTheme="minorBidi"/>
          <w:sz w:val="22"/>
        </w:rPr>
        <w:t xml:space="preserve">(3), 583–599. </w:t>
      </w:r>
      <w:hyperlink r:id="rId44" w:history="1">
        <w:r w:rsidR="00693508" w:rsidRPr="006454B5">
          <w:rPr>
            <w:rStyle w:val="Hyperlink"/>
            <w:rFonts w:asciiTheme="minorBidi" w:hAnsiTheme="minorBidi"/>
            <w:sz w:val="22"/>
          </w:rPr>
          <w:t>https://doi.org/10.1093/bjc/azg583</w:t>
        </w:r>
      </w:hyperlink>
      <w:r w:rsidR="00693508" w:rsidRPr="006454B5">
        <w:rPr>
          <w:rFonts w:asciiTheme="minorBidi" w:hAnsiTheme="minorBidi"/>
          <w:sz w:val="22"/>
        </w:rPr>
        <w:t xml:space="preserve"> </w:t>
      </w:r>
    </w:p>
    <w:p w14:paraId="60606688" w14:textId="574B1497" w:rsidR="009F4F9E" w:rsidRPr="006454B5" w:rsidRDefault="009F4F9E" w:rsidP="000C7544">
      <w:pPr>
        <w:spacing w:before="120" w:after="120"/>
        <w:ind w:left="720" w:hanging="720"/>
        <w:contextualSpacing/>
        <w:rPr>
          <w:rFonts w:asciiTheme="minorBidi" w:hAnsiTheme="minorBidi"/>
          <w:sz w:val="22"/>
        </w:rPr>
      </w:pPr>
      <w:proofErr w:type="spellStart"/>
      <w:r w:rsidRPr="006454B5">
        <w:rPr>
          <w:rFonts w:asciiTheme="minorBidi" w:hAnsiTheme="minorBidi"/>
          <w:sz w:val="22"/>
        </w:rPr>
        <w:lastRenderedPageBreak/>
        <w:t>Lonsway</w:t>
      </w:r>
      <w:proofErr w:type="spellEnd"/>
      <w:r w:rsidRPr="006454B5">
        <w:rPr>
          <w:rFonts w:asciiTheme="minorBidi" w:hAnsiTheme="minorBidi"/>
          <w:sz w:val="22"/>
        </w:rPr>
        <w:t xml:space="preserve">, K. A., &amp; </w:t>
      </w:r>
      <w:proofErr w:type="spellStart"/>
      <w:r w:rsidRPr="006454B5">
        <w:rPr>
          <w:rFonts w:asciiTheme="minorBidi" w:hAnsiTheme="minorBidi"/>
          <w:sz w:val="22"/>
        </w:rPr>
        <w:t>Archambault</w:t>
      </w:r>
      <w:proofErr w:type="spellEnd"/>
      <w:r w:rsidRPr="006454B5">
        <w:rPr>
          <w:rFonts w:asciiTheme="minorBidi" w:hAnsiTheme="minorBidi"/>
          <w:sz w:val="22"/>
        </w:rPr>
        <w:t xml:space="preserve">, J. (2012). The “Justice Gap” for sexual assault cases: Future directions for research and reform. </w:t>
      </w:r>
      <w:r w:rsidRPr="006454B5">
        <w:rPr>
          <w:rFonts w:asciiTheme="minorBidi" w:hAnsiTheme="minorBidi"/>
          <w:i/>
          <w:iCs/>
          <w:sz w:val="22"/>
        </w:rPr>
        <w:t xml:space="preserve">Violence </w:t>
      </w:r>
      <w:proofErr w:type="gramStart"/>
      <w:r w:rsidRPr="006454B5">
        <w:rPr>
          <w:rFonts w:asciiTheme="minorBidi" w:hAnsiTheme="minorBidi"/>
          <w:i/>
          <w:iCs/>
          <w:sz w:val="22"/>
        </w:rPr>
        <w:t>Against</w:t>
      </w:r>
      <w:proofErr w:type="gramEnd"/>
      <w:r w:rsidRPr="006454B5">
        <w:rPr>
          <w:rFonts w:asciiTheme="minorBidi" w:hAnsiTheme="minorBidi"/>
          <w:i/>
          <w:iCs/>
          <w:sz w:val="22"/>
        </w:rPr>
        <w:t xml:space="preserve"> Women, 18</w:t>
      </w:r>
      <w:r w:rsidRPr="006454B5">
        <w:rPr>
          <w:rFonts w:asciiTheme="minorBidi" w:hAnsiTheme="minorBidi"/>
          <w:sz w:val="22"/>
        </w:rPr>
        <w:t xml:space="preserve">(2), 145–168. </w:t>
      </w:r>
      <w:hyperlink r:id="rId45" w:history="1">
        <w:r w:rsidR="00693508" w:rsidRPr="006454B5">
          <w:rPr>
            <w:rStyle w:val="Hyperlink"/>
            <w:rFonts w:asciiTheme="minorBidi" w:hAnsiTheme="minorBidi"/>
            <w:sz w:val="22"/>
          </w:rPr>
          <w:t>https://doi.org/10.1177/1077801212440017</w:t>
        </w:r>
      </w:hyperlink>
      <w:r w:rsidR="00693508" w:rsidRPr="006454B5">
        <w:rPr>
          <w:rFonts w:asciiTheme="minorBidi" w:hAnsiTheme="minorBidi"/>
          <w:sz w:val="22"/>
        </w:rPr>
        <w:t xml:space="preserve"> </w:t>
      </w:r>
    </w:p>
    <w:p w14:paraId="6D4A639E" w14:textId="0B63403F" w:rsidR="009F4F9E" w:rsidRPr="006454B5" w:rsidRDefault="009F4F9E" w:rsidP="000C7544">
      <w:pPr>
        <w:spacing w:before="120" w:after="120"/>
        <w:ind w:left="720" w:hanging="720"/>
        <w:contextualSpacing/>
        <w:rPr>
          <w:rFonts w:asciiTheme="minorBidi" w:hAnsiTheme="minorBidi"/>
          <w:sz w:val="22"/>
        </w:rPr>
      </w:pPr>
      <w:proofErr w:type="spellStart"/>
      <w:r w:rsidRPr="006454B5">
        <w:rPr>
          <w:rFonts w:asciiTheme="minorBidi" w:hAnsiTheme="minorBidi"/>
          <w:sz w:val="22"/>
        </w:rPr>
        <w:t>Lonsway</w:t>
      </w:r>
      <w:proofErr w:type="spellEnd"/>
      <w:r w:rsidRPr="006454B5">
        <w:rPr>
          <w:rFonts w:asciiTheme="minorBidi" w:hAnsiTheme="minorBidi"/>
          <w:sz w:val="22"/>
        </w:rPr>
        <w:t xml:space="preserve">, K. A., Welch, S., &amp; Fitzgerald, L. F. (2001). Police training in sexual assault response. </w:t>
      </w:r>
      <w:r w:rsidRPr="006454B5">
        <w:rPr>
          <w:rFonts w:asciiTheme="minorBidi" w:hAnsiTheme="minorBidi"/>
          <w:i/>
          <w:iCs/>
          <w:sz w:val="22"/>
        </w:rPr>
        <w:t xml:space="preserve">Criminal Justice and </w:t>
      </w:r>
      <w:proofErr w:type="spellStart"/>
      <w:r w:rsidRPr="006454B5">
        <w:rPr>
          <w:rFonts w:asciiTheme="minorBidi" w:hAnsiTheme="minorBidi"/>
          <w:i/>
          <w:iCs/>
          <w:sz w:val="22"/>
        </w:rPr>
        <w:t>Behavior</w:t>
      </w:r>
      <w:proofErr w:type="spellEnd"/>
      <w:r w:rsidRPr="006454B5">
        <w:rPr>
          <w:rFonts w:asciiTheme="minorBidi" w:hAnsiTheme="minorBidi"/>
          <w:i/>
          <w:iCs/>
          <w:sz w:val="22"/>
        </w:rPr>
        <w:t>, 28</w:t>
      </w:r>
      <w:r w:rsidRPr="006454B5">
        <w:rPr>
          <w:rFonts w:asciiTheme="minorBidi" w:hAnsiTheme="minorBidi"/>
          <w:sz w:val="22"/>
        </w:rPr>
        <w:t xml:space="preserve">(6), 695–730. </w:t>
      </w:r>
      <w:hyperlink r:id="rId46" w:history="1">
        <w:r w:rsidR="00693508" w:rsidRPr="006454B5">
          <w:rPr>
            <w:rStyle w:val="Hyperlink"/>
            <w:rFonts w:asciiTheme="minorBidi" w:hAnsiTheme="minorBidi"/>
            <w:sz w:val="22"/>
          </w:rPr>
          <w:t>https://doi.org/10.1177/009385480102800602</w:t>
        </w:r>
      </w:hyperlink>
      <w:r w:rsidR="00693508" w:rsidRPr="006454B5">
        <w:rPr>
          <w:rFonts w:asciiTheme="minorBidi" w:hAnsiTheme="minorBidi"/>
          <w:sz w:val="22"/>
        </w:rPr>
        <w:t xml:space="preserve"> </w:t>
      </w:r>
    </w:p>
    <w:p w14:paraId="41E6E8C9" w14:textId="747F9AA7" w:rsidR="001641E4" w:rsidRPr="006454B5" w:rsidRDefault="001641E4" w:rsidP="000C7544">
      <w:pPr>
        <w:spacing w:before="120" w:after="120"/>
        <w:ind w:left="720" w:hanging="720"/>
        <w:contextualSpacing/>
        <w:rPr>
          <w:rFonts w:asciiTheme="minorBidi" w:hAnsiTheme="minorBidi"/>
          <w:sz w:val="22"/>
          <w:lang w:val="en-US"/>
        </w:rPr>
      </w:pPr>
      <w:r w:rsidRPr="006454B5">
        <w:rPr>
          <w:rFonts w:asciiTheme="minorBidi" w:hAnsiTheme="minorBidi"/>
          <w:sz w:val="22"/>
          <w:lang w:val="en-US"/>
        </w:rPr>
        <w:fldChar w:fldCharType="begin"/>
      </w:r>
      <w:r w:rsidRPr="006454B5">
        <w:rPr>
          <w:rFonts w:asciiTheme="minorBidi" w:hAnsiTheme="minorBidi"/>
          <w:sz w:val="22"/>
          <w:lang w:val="en-US"/>
        </w:rPr>
        <w:instrText xml:space="preserve"> ADDIN EN.REFLIST </w:instrText>
      </w:r>
      <w:r w:rsidRPr="006454B5">
        <w:rPr>
          <w:rFonts w:asciiTheme="minorBidi" w:hAnsiTheme="minorBidi"/>
          <w:sz w:val="22"/>
          <w:lang w:val="en-US"/>
        </w:rPr>
        <w:fldChar w:fldCharType="separate"/>
      </w:r>
      <w:r w:rsidRPr="006454B5">
        <w:rPr>
          <w:rFonts w:asciiTheme="minorBidi" w:hAnsiTheme="minorBidi"/>
          <w:sz w:val="22"/>
          <w:lang w:val="en-US"/>
        </w:rPr>
        <w:t xml:space="preserve">Lovett, J., &amp; Kelly, L. (2009). </w:t>
      </w:r>
      <w:r w:rsidRPr="006454B5">
        <w:rPr>
          <w:rFonts w:asciiTheme="minorBidi" w:hAnsiTheme="minorBidi"/>
          <w:i/>
          <w:sz w:val="22"/>
          <w:lang w:val="en-US"/>
        </w:rPr>
        <w:t>Different systems, similar outcomes? Tracking attrition in reported rape cases across Europe</w:t>
      </w:r>
      <w:r w:rsidR="00AC3B55" w:rsidRPr="006454B5">
        <w:rPr>
          <w:rFonts w:asciiTheme="minorBidi" w:hAnsiTheme="minorBidi"/>
          <w:sz w:val="22"/>
          <w:lang w:val="en-US"/>
        </w:rPr>
        <w:t>. Retrieved</w:t>
      </w:r>
      <w:r w:rsidRPr="006454B5">
        <w:rPr>
          <w:rFonts w:asciiTheme="minorBidi" w:hAnsiTheme="minorBidi"/>
          <w:sz w:val="22"/>
          <w:lang w:val="en-US"/>
        </w:rPr>
        <w:t xml:space="preserve"> from: </w:t>
      </w:r>
      <w:hyperlink r:id="rId47" w:history="1">
        <w:r w:rsidRPr="006454B5">
          <w:rPr>
            <w:rStyle w:val="Hyperlink"/>
            <w:rFonts w:asciiTheme="minorBidi" w:hAnsiTheme="minorBidi"/>
            <w:sz w:val="22"/>
          </w:rPr>
          <w:t>https://www.researchgate.net/publication/228847968_Different_systems_similar_outcomes_Tracking_attrition_in_reported_rape_cases_in_eleven_countries</w:t>
        </w:r>
      </w:hyperlink>
      <w:r w:rsidRPr="006454B5">
        <w:rPr>
          <w:rFonts w:asciiTheme="minorBidi" w:hAnsiTheme="minorBidi"/>
          <w:sz w:val="22"/>
        </w:rPr>
        <w:t xml:space="preserve"> [Accessed 14 Apr 2020]</w:t>
      </w:r>
      <w:r w:rsidRPr="006454B5">
        <w:rPr>
          <w:rFonts w:asciiTheme="minorBidi" w:hAnsiTheme="minorBidi"/>
          <w:sz w:val="22"/>
          <w:lang w:val="en-US"/>
        </w:rPr>
        <w:t>.</w:t>
      </w:r>
    </w:p>
    <w:p w14:paraId="625E95D3" w14:textId="25E1B224" w:rsidR="00D650BF" w:rsidRPr="006454B5" w:rsidRDefault="00D650BF" w:rsidP="000C7544">
      <w:pPr>
        <w:spacing w:before="120" w:after="120"/>
        <w:ind w:left="720" w:hanging="720"/>
        <w:contextualSpacing/>
        <w:rPr>
          <w:rFonts w:asciiTheme="minorBidi" w:hAnsiTheme="minorBidi"/>
          <w:sz w:val="22"/>
          <w:lang w:val="en-US"/>
        </w:rPr>
      </w:pPr>
      <w:r w:rsidRPr="006454B5">
        <w:rPr>
          <w:rFonts w:asciiTheme="minorBidi" w:hAnsiTheme="minorBidi"/>
          <w:noProof/>
          <w:sz w:val="22"/>
        </w:rPr>
        <w:t xml:space="preserve">Lundrigan, S., Dhami, M. K., &amp; Agudelo, K. (2019). Factors predicting conviction in stranger rape cases. </w:t>
      </w:r>
      <w:r w:rsidRPr="006454B5">
        <w:rPr>
          <w:rFonts w:asciiTheme="minorBidi" w:hAnsiTheme="minorBidi"/>
          <w:i/>
          <w:noProof/>
          <w:sz w:val="22"/>
        </w:rPr>
        <w:t>Frontiers in Psychology, 10</w:t>
      </w:r>
      <w:r w:rsidRPr="006454B5">
        <w:rPr>
          <w:rFonts w:asciiTheme="minorBidi" w:hAnsiTheme="minorBidi"/>
          <w:noProof/>
          <w:sz w:val="22"/>
        </w:rPr>
        <w:t>, 526. doi:doi.org/10.3389/fpsyg.2019.00526</w:t>
      </w:r>
    </w:p>
    <w:p w14:paraId="7F0E2C00" w14:textId="527D5098" w:rsidR="009F4F9E" w:rsidRPr="006454B5" w:rsidRDefault="001641E4" w:rsidP="000C7544">
      <w:pPr>
        <w:spacing w:before="120" w:after="120"/>
        <w:ind w:left="720" w:hanging="720"/>
        <w:contextualSpacing/>
        <w:rPr>
          <w:rFonts w:asciiTheme="minorBidi" w:hAnsiTheme="minorBidi"/>
          <w:sz w:val="22"/>
        </w:rPr>
      </w:pPr>
      <w:r w:rsidRPr="006454B5">
        <w:rPr>
          <w:rFonts w:asciiTheme="minorBidi" w:hAnsiTheme="minorBidi"/>
          <w:sz w:val="22"/>
        </w:rPr>
        <w:fldChar w:fldCharType="end"/>
      </w:r>
      <w:r w:rsidR="009F4F9E" w:rsidRPr="006454B5">
        <w:rPr>
          <w:rFonts w:asciiTheme="minorBidi" w:hAnsiTheme="minorBidi"/>
          <w:sz w:val="22"/>
        </w:rPr>
        <w:t>McMillan, L. (2015). The role of the specially trained officer in rape and sexual offence cases.</w:t>
      </w:r>
      <w:r w:rsidR="00EC491B" w:rsidRPr="006454B5">
        <w:rPr>
          <w:rFonts w:asciiTheme="minorBidi" w:hAnsiTheme="minorBidi"/>
          <w:sz w:val="22"/>
        </w:rPr>
        <w:t xml:space="preserve"> </w:t>
      </w:r>
      <w:r w:rsidR="009F4F9E" w:rsidRPr="006454B5">
        <w:rPr>
          <w:rFonts w:asciiTheme="minorBidi" w:hAnsiTheme="minorBidi"/>
          <w:i/>
          <w:iCs/>
          <w:sz w:val="22"/>
        </w:rPr>
        <w:t>Policing and Society, 25</w:t>
      </w:r>
      <w:r w:rsidR="009F4F9E" w:rsidRPr="006454B5">
        <w:rPr>
          <w:rFonts w:asciiTheme="minorBidi" w:hAnsiTheme="minorBidi"/>
          <w:sz w:val="22"/>
        </w:rPr>
        <w:t xml:space="preserve">(6), 622–640. </w:t>
      </w:r>
      <w:hyperlink r:id="rId48" w:history="1">
        <w:r w:rsidR="00693508" w:rsidRPr="006454B5">
          <w:rPr>
            <w:rStyle w:val="Hyperlink"/>
            <w:rFonts w:asciiTheme="minorBidi" w:hAnsiTheme="minorBidi"/>
            <w:sz w:val="22"/>
          </w:rPr>
          <w:t>https://doi.org/10.1080/10439463.2014.912648</w:t>
        </w:r>
      </w:hyperlink>
      <w:r w:rsidR="00693508" w:rsidRPr="006454B5">
        <w:rPr>
          <w:rFonts w:asciiTheme="minorBidi" w:hAnsiTheme="minorBidi"/>
          <w:sz w:val="22"/>
        </w:rPr>
        <w:t xml:space="preserve"> </w:t>
      </w:r>
    </w:p>
    <w:p w14:paraId="5DBAE8F2" w14:textId="0FAB31DA" w:rsidR="009F4F9E" w:rsidRPr="006454B5" w:rsidRDefault="009F4F9E" w:rsidP="000C7544">
      <w:pPr>
        <w:spacing w:before="120" w:after="120"/>
        <w:ind w:left="720" w:hanging="720"/>
        <w:contextualSpacing/>
        <w:rPr>
          <w:rFonts w:asciiTheme="minorBidi" w:hAnsiTheme="minorBidi"/>
          <w:sz w:val="22"/>
        </w:rPr>
      </w:pPr>
      <w:r w:rsidRPr="006454B5">
        <w:rPr>
          <w:rFonts w:asciiTheme="minorBidi" w:hAnsiTheme="minorBidi"/>
          <w:sz w:val="22"/>
        </w:rPr>
        <w:t>Metropolitan Police Service (2018). Freed</w:t>
      </w:r>
      <w:r w:rsidR="00AC7AB5" w:rsidRPr="006454B5">
        <w:rPr>
          <w:rFonts w:asciiTheme="minorBidi" w:hAnsiTheme="minorBidi"/>
          <w:sz w:val="22"/>
        </w:rPr>
        <w:t>om</w:t>
      </w:r>
      <w:r w:rsidRPr="006454B5">
        <w:rPr>
          <w:rFonts w:asciiTheme="minorBidi" w:hAnsiTheme="minorBidi"/>
          <w:sz w:val="22"/>
        </w:rPr>
        <w:t xml:space="preserve"> of Information Application Disclosure Guidelines. </w:t>
      </w:r>
      <w:r w:rsidR="00AC3B55" w:rsidRPr="006454B5">
        <w:rPr>
          <w:rFonts w:asciiTheme="minorBidi" w:hAnsiTheme="minorBidi"/>
          <w:sz w:val="22"/>
        </w:rPr>
        <w:t>Retrieved</w:t>
      </w:r>
      <w:r w:rsidRPr="006454B5">
        <w:rPr>
          <w:rFonts w:asciiTheme="minorBidi" w:hAnsiTheme="minorBidi"/>
          <w:sz w:val="22"/>
        </w:rPr>
        <w:t xml:space="preserve"> from</w:t>
      </w:r>
      <w:r w:rsidR="00FA77B2" w:rsidRPr="006454B5">
        <w:rPr>
          <w:rFonts w:asciiTheme="minorBidi" w:hAnsiTheme="minorBidi"/>
          <w:sz w:val="22"/>
        </w:rPr>
        <w:t>:</w:t>
      </w:r>
      <w:r w:rsidRPr="006454B5">
        <w:rPr>
          <w:rFonts w:asciiTheme="minorBidi" w:hAnsiTheme="minorBidi"/>
          <w:sz w:val="22"/>
        </w:rPr>
        <w:t xml:space="preserve"> </w:t>
      </w:r>
      <w:hyperlink r:id="rId49" w:history="1">
        <w:r w:rsidR="00FA77B2" w:rsidRPr="006454B5">
          <w:rPr>
            <w:rStyle w:val="Hyperlink"/>
            <w:rFonts w:asciiTheme="minorBidi" w:hAnsiTheme="minorBidi"/>
            <w:sz w:val="22"/>
          </w:rPr>
          <w:t>https://www.met.police.uk/SysSiteAssets/foi-media/metropolitan-police/disclosure_2018/march_2018/information-rights-unit---cris-reports-and-the-investigators-role-in-a-reported-incident</w:t>
        </w:r>
      </w:hyperlink>
      <w:r w:rsidR="00FA77B2" w:rsidRPr="006454B5">
        <w:rPr>
          <w:rFonts w:asciiTheme="minorBidi" w:hAnsiTheme="minorBidi"/>
          <w:sz w:val="22"/>
        </w:rPr>
        <w:t xml:space="preserve"> [Accessed 14 Apr 2020].</w:t>
      </w:r>
    </w:p>
    <w:p w14:paraId="31D7C3E8" w14:textId="70D44C02" w:rsidR="000E7CFB" w:rsidRPr="006454B5" w:rsidRDefault="000E7CFB" w:rsidP="000C7544">
      <w:pPr>
        <w:spacing w:before="120" w:after="120"/>
        <w:ind w:left="720" w:hanging="720"/>
        <w:contextualSpacing/>
        <w:rPr>
          <w:rFonts w:asciiTheme="minorBidi" w:hAnsiTheme="minorBidi"/>
          <w:sz w:val="22"/>
        </w:rPr>
      </w:pPr>
      <w:r w:rsidRPr="006454B5">
        <w:rPr>
          <w:rFonts w:asciiTheme="minorBidi" w:hAnsiTheme="minorBidi"/>
          <w:noProof/>
          <w:sz w:val="22"/>
        </w:rPr>
        <w:t xml:space="preserve">Millie, A. (2014). What are the police for? Re-thinking policing post-austerity. In J. M. Brown (Ed.), </w:t>
      </w:r>
      <w:r w:rsidRPr="006454B5">
        <w:rPr>
          <w:rFonts w:asciiTheme="minorBidi" w:hAnsiTheme="minorBidi"/>
          <w:i/>
          <w:noProof/>
          <w:sz w:val="22"/>
        </w:rPr>
        <w:t>The Future of Policing</w:t>
      </w:r>
      <w:r w:rsidRPr="006454B5">
        <w:rPr>
          <w:rFonts w:asciiTheme="minorBidi" w:hAnsiTheme="minorBidi"/>
          <w:noProof/>
          <w:sz w:val="22"/>
        </w:rPr>
        <w:t xml:space="preserve"> (pp. 52-63). Abingdon: Routledge.</w:t>
      </w:r>
    </w:p>
    <w:p w14:paraId="73F8678A" w14:textId="653E2062" w:rsidR="009F4F9E" w:rsidRPr="006454B5" w:rsidRDefault="009F4F9E" w:rsidP="000C7544">
      <w:pPr>
        <w:spacing w:before="120" w:after="120"/>
        <w:ind w:left="720" w:hanging="720"/>
        <w:contextualSpacing/>
        <w:rPr>
          <w:rFonts w:asciiTheme="minorBidi" w:hAnsiTheme="minorBidi"/>
          <w:sz w:val="22"/>
        </w:rPr>
      </w:pPr>
      <w:r w:rsidRPr="006454B5">
        <w:rPr>
          <w:rFonts w:asciiTheme="minorBidi" w:hAnsiTheme="minorBidi"/>
          <w:sz w:val="22"/>
        </w:rPr>
        <w:t>Munro, V. E., &amp; Kelly, L. (2009). A vicious cycle? Attrition and conviction patterns i</w:t>
      </w:r>
      <w:r w:rsidR="00993403" w:rsidRPr="006454B5">
        <w:rPr>
          <w:rFonts w:asciiTheme="minorBidi" w:hAnsiTheme="minorBidi"/>
          <w:sz w:val="22"/>
        </w:rPr>
        <w:t xml:space="preserve">n </w:t>
      </w:r>
      <w:r w:rsidRPr="006454B5">
        <w:rPr>
          <w:rFonts w:asciiTheme="minorBidi" w:hAnsiTheme="minorBidi"/>
          <w:sz w:val="22"/>
        </w:rPr>
        <w:t xml:space="preserve">contemporary rape cases in England and Wales. </w:t>
      </w:r>
      <w:r w:rsidR="00993403" w:rsidRPr="006454B5">
        <w:rPr>
          <w:rFonts w:asciiTheme="minorBidi" w:hAnsiTheme="minorBidi"/>
          <w:sz w:val="22"/>
        </w:rPr>
        <w:t xml:space="preserve">In J. Brown, &amp; M. Horvath (Eds.), </w:t>
      </w:r>
      <w:r w:rsidRPr="006454B5">
        <w:rPr>
          <w:rFonts w:asciiTheme="minorBidi" w:hAnsiTheme="minorBidi"/>
          <w:i/>
          <w:iCs/>
          <w:sz w:val="22"/>
        </w:rPr>
        <w:t>Rape: Challenging contemporary thinking</w:t>
      </w:r>
      <w:r w:rsidRPr="006454B5">
        <w:rPr>
          <w:rFonts w:asciiTheme="minorBidi" w:hAnsiTheme="minorBidi"/>
          <w:sz w:val="22"/>
        </w:rPr>
        <w:t xml:space="preserve"> </w:t>
      </w:r>
      <w:r w:rsidR="00993403" w:rsidRPr="006454B5">
        <w:rPr>
          <w:rFonts w:asciiTheme="minorBidi" w:hAnsiTheme="minorBidi"/>
          <w:sz w:val="22"/>
        </w:rPr>
        <w:t>(</w:t>
      </w:r>
      <w:r w:rsidR="00EC491B" w:rsidRPr="006454B5">
        <w:rPr>
          <w:rFonts w:asciiTheme="minorBidi" w:hAnsiTheme="minorBidi"/>
          <w:sz w:val="22"/>
        </w:rPr>
        <w:t>p</w:t>
      </w:r>
      <w:r w:rsidR="00993403" w:rsidRPr="006454B5">
        <w:rPr>
          <w:rFonts w:asciiTheme="minorBidi" w:hAnsiTheme="minorBidi"/>
          <w:sz w:val="22"/>
        </w:rPr>
        <w:t xml:space="preserve">p. </w:t>
      </w:r>
      <w:r w:rsidRPr="006454B5">
        <w:rPr>
          <w:rFonts w:asciiTheme="minorBidi" w:hAnsiTheme="minorBidi"/>
          <w:sz w:val="22"/>
        </w:rPr>
        <w:t>281-300</w:t>
      </w:r>
      <w:r w:rsidR="00993403" w:rsidRPr="006454B5">
        <w:rPr>
          <w:rFonts w:asciiTheme="minorBidi" w:hAnsiTheme="minorBidi"/>
          <w:sz w:val="22"/>
        </w:rPr>
        <w:t>)</w:t>
      </w:r>
      <w:r w:rsidRPr="006454B5">
        <w:rPr>
          <w:rFonts w:asciiTheme="minorBidi" w:hAnsiTheme="minorBidi"/>
          <w:sz w:val="22"/>
        </w:rPr>
        <w:t>.</w:t>
      </w:r>
      <w:r w:rsidR="00993403" w:rsidRPr="006454B5">
        <w:rPr>
          <w:rFonts w:asciiTheme="minorBidi" w:hAnsiTheme="minorBidi"/>
          <w:sz w:val="22"/>
        </w:rPr>
        <w:t xml:space="preserve"> </w:t>
      </w:r>
      <w:proofErr w:type="spellStart"/>
      <w:r w:rsidR="00993403" w:rsidRPr="006454B5">
        <w:rPr>
          <w:rFonts w:asciiTheme="minorBidi" w:hAnsiTheme="minorBidi"/>
          <w:sz w:val="22"/>
        </w:rPr>
        <w:t>Willan</w:t>
      </w:r>
      <w:proofErr w:type="spellEnd"/>
      <w:r w:rsidR="00993403" w:rsidRPr="006454B5">
        <w:rPr>
          <w:rFonts w:asciiTheme="minorBidi" w:hAnsiTheme="minorBidi"/>
          <w:sz w:val="22"/>
        </w:rPr>
        <w:t xml:space="preserve">.  </w:t>
      </w:r>
    </w:p>
    <w:p w14:paraId="1BA9184A" w14:textId="3725033F" w:rsidR="009F4F9E" w:rsidRPr="006454B5" w:rsidRDefault="009F4F9E" w:rsidP="000C7544">
      <w:pPr>
        <w:spacing w:before="120" w:after="120"/>
        <w:ind w:left="720" w:hanging="720"/>
        <w:contextualSpacing/>
        <w:rPr>
          <w:rFonts w:asciiTheme="minorBidi" w:hAnsiTheme="minorBidi"/>
          <w:sz w:val="22"/>
        </w:rPr>
      </w:pPr>
      <w:r w:rsidRPr="006454B5">
        <w:rPr>
          <w:rFonts w:asciiTheme="minorBidi" w:hAnsiTheme="minorBidi"/>
          <w:sz w:val="22"/>
        </w:rPr>
        <w:t xml:space="preserve">Murphy, A., &amp; Hine, B. (2019). Investigating the demographic and attitudinal predictors of rape myth acceptance in U.K. Police officers: developing an evidence-base for </w:t>
      </w:r>
      <w:r w:rsidRPr="006454B5">
        <w:rPr>
          <w:rFonts w:asciiTheme="minorBidi" w:hAnsiTheme="minorBidi"/>
          <w:sz w:val="22"/>
        </w:rPr>
        <w:lastRenderedPageBreak/>
        <w:t xml:space="preserve">training and professional development. </w:t>
      </w:r>
      <w:r w:rsidRPr="006454B5">
        <w:rPr>
          <w:rFonts w:asciiTheme="minorBidi" w:hAnsiTheme="minorBidi"/>
          <w:i/>
          <w:iCs/>
          <w:sz w:val="22"/>
        </w:rPr>
        <w:t>Psychology, Crime and Law, 25</w:t>
      </w:r>
      <w:r w:rsidRPr="006454B5">
        <w:rPr>
          <w:rFonts w:asciiTheme="minorBidi" w:hAnsiTheme="minorBidi"/>
          <w:sz w:val="22"/>
        </w:rPr>
        <w:t xml:space="preserve">(1), 69–89. </w:t>
      </w:r>
      <w:hyperlink r:id="rId50" w:history="1">
        <w:r w:rsidR="00993403" w:rsidRPr="006454B5">
          <w:rPr>
            <w:rStyle w:val="Hyperlink"/>
            <w:rFonts w:asciiTheme="minorBidi" w:hAnsiTheme="minorBidi"/>
            <w:sz w:val="22"/>
          </w:rPr>
          <w:t>https://doi.org/10.1080/1068316X.2018.1503663</w:t>
        </w:r>
      </w:hyperlink>
      <w:r w:rsidR="00993403" w:rsidRPr="006454B5">
        <w:rPr>
          <w:rFonts w:asciiTheme="minorBidi" w:hAnsiTheme="minorBidi"/>
          <w:sz w:val="22"/>
        </w:rPr>
        <w:t xml:space="preserve"> </w:t>
      </w:r>
    </w:p>
    <w:p w14:paraId="087E8A55" w14:textId="5CD3E541" w:rsidR="001B7705" w:rsidRPr="006454B5" w:rsidRDefault="001B7705" w:rsidP="000C7544">
      <w:pPr>
        <w:spacing w:before="120" w:after="120"/>
        <w:ind w:left="720" w:hanging="720"/>
        <w:contextualSpacing/>
        <w:rPr>
          <w:rFonts w:asciiTheme="minorBidi" w:hAnsiTheme="minorBidi"/>
          <w:sz w:val="22"/>
        </w:rPr>
      </w:pPr>
      <w:r w:rsidRPr="006454B5">
        <w:rPr>
          <w:rFonts w:asciiTheme="minorBidi" w:hAnsiTheme="minorBidi"/>
          <w:sz w:val="22"/>
        </w:rPr>
        <w:t xml:space="preserve">Norfolk G. A. (2011). Leda and the swan-and other myths about rape. </w:t>
      </w:r>
      <w:r w:rsidRPr="006454B5">
        <w:rPr>
          <w:rFonts w:asciiTheme="minorBidi" w:hAnsiTheme="minorBidi"/>
          <w:i/>
          <w:sz w:val="22"/>
        </w:rPr>
        <w:t>Journal of Forensic and Legal Medicine, 18</w:t>
      </w:r>
      <w:r w:rsidR="00A915F7" w:rsidRPr="006454B5">
        <w:rPr>
          <w:rFonts w:asciiTheme="minorBidi" w:hAnsiTheme="minorBidi"/>
          <w:iCs/>
          <w:sz w:val="22"/>
        </w:rPr>
        <w:t>(5)</w:t>
      </w:r>
      <w:r w:rsidRPr="006454B5">
        <w:rPr>
          <w:rFonts w:asciiTheme="minorBidi" w:hAnsiTheme="minorBidi"/>
          <w:sz w:val="22"/>
        </w:rPr>
        <w:t xml:space="preserve">, 225–232. </w:t>
      </w:r>
      <w:hyperlink r:id="rId51" w:tgtFrame="_blank" w:tooltip="Persistent link using digital object identifier" w:history="1">
        <w:r w:rsidRPr="006454B5">
          <w:rPr>
            <w:rStyle w:val="Hyperlink"/>
            <w:rFonts w:asciiTheme="minorBidi" w:hAnsiTheme="minorBidi"/>
            <w:sz w:val="22"/>
          </w:rPr>
          <w:t>https://doi.org/10.1016/j.jflm.2011.04.010</w:t>
        </w:r>
      </w:hyperlink>
    </w:p>
    <w:p w14:paraId="41158BCD" w14:textId="1D4E707D" w:rsidR="009F4F9E" w:rsidRPr="006454B5" w:rsidRDefault="009F4F9E" w:rsidP="000C7544">
      <w:pPr>
        <w:spacing w:before="120" w:after="120"/>
        <w:ind w:left="720" w:hanging="720"/>
        <w:contextualSpacing/>
        <w:rPr>
          <w:rFonts w:asciiTheme="minorBidi" w:hAnsiTheme="minorBidi"/>
          <w:sz w:val="22"/>
        </w:rPr>
      </w:pPr>
      <w:r w:rsidRPr="006454B5">
        <w:rPr>
          <w:rFonts w:asciiTheme="minorBidi" w:hAnsiTheme="minorBidi"/>
          <w:sz w:val="22"/>
        </w:rPr>
        <w:t xml:space="preserve">Office </w:t>
      </w:r>
      <w:r w:rsidR="00EC491B" w:rsidRPr="006454B5">
        <w:rPr>
          <w:rFonts w:asciiTheme="minorBidi" w:hAnsiTheme="minorBidi"/>
          <w:sz w:val="22"/>
        </w:rPr>
        <w:t>f</w:t>
      </w:r>
      <w:r w:rsidRPr="006454B5">
        <w:rPr>
          <w:rFonts w:asciiTheme="minorBidi" w:hAnsiTheme="minorBidi"/>
          <w:sz w:val="22"/>
        </w:rPr>
        <w:t xml:space="preserve">or National Statistics. (2018). </w:t>
      </w:r>
      <w:r w:rsidRPr="006454B5">
        <w:rPr>
          <w:rFonts w:asciiTheme="minorBidi" w:hAnsiTheme="minorBidi"/>
          <w:i/>
          <w:iCs/>
          <w:sz w:val="22"/>
        </w:rPr>
        <w:t>Sexual offences in England and Wales: year ending March 2017.</w:t>
      </w:r>
      <w:r w:rsidRPr="006454B5">
        <w:rPr>
          <w:rFonts w:asciiTheme="minorBidi" w:hAnsiTheme="minorBidi"/>
          <w:sz w:val="22"/>
        </w:rPr>
        <w:t xml:space="preserve"> </w:t>
      </w:r>
      <w:r w:rsidR="000679A4" w:rsidRPr="006454B5">
        <w:rPr>
          <w:rFonts w:asciiTheme="minorBidi" w:hAnsiTheme="minorBidi"/>
          <w:sz w:val="22"/>
        </w:rPr>
        <w:t xml:space="preserve">Available from: </w:t>
      </w:r>
      <w:hyperlink r:id="rId52" w:history="1">
        <w:r w:rsidR="000679A4" w:rsidRPr="006454B5">
          <w:rPr>
            <w:rStyle w:val="Hyperlink"/>
            <w:rFonts w:asciiTheme="minorBidi" w:hAnsiTheme="minorBidi"/>
            <w:sz w:val="22"/>
          </w:rPr>
          <w:t>https://www.ons.gov.uk/peoplepopulationandcommunity/crimeandjustice/articles/sexualoffencesinenglandandwales/yearendingmarch2017</w:t>
        </w:r>
      </w:hyperlink>
      <w:r w:rsidR="000679A4" w:rsidRPr="006454B5">
        <w:rPr>
          <w:rFonts w:asciiTheme="minorBidi" w:hAnsiTheme="minorBidi"/>
          <w:sz w:val="22"/>
        </w:rPr>
        <w:t xml:space="preserve"> [Accessed 14 Apr 2020].</w:t>
      </w:r>
    </w:p>
    <w:p w14:paraId="2641F155" w14:textId="65F90555" w:rsidR="009F4F9E" w:rsidRPr="006454B5" w:rsidRDefault="009F4F9E" w:rsidP="000C7544">
      <w:pPr>
        <w:spacing w:before="120" w:after="120"/>
        <w:ind w:left="720" w:hanging="720"/>
        <w:contextualSpacing/>
        <w:rPr>
          <w:rFonts w:asciiTheme="minorBidi" w:hAnsiTheme="minorBidi"/>
          <w:sz w:val="22"/>
        </w:rPr>
      </w:pPr>
      <w:r w:rsidRPr="006454B5">
        <w:rPr>
          <w:rFonts w:asciiTheme="minorBidi" w:hAnsiTheme="minorBidi"/>
          <w:sz w:val="22"/>
        </w:rPr>
        <w:t xml:space="preserve">O’Neil, A., </w:t>
      </w:r>
      <w:proofErr w:type="spellStart"/>
      <w:r w:rsidRPr="006454B5">
        <w:rPr>
          <w:rFonts w:asciiTheme="minorBidi" w:hAnsiTheme="minorBidi"/>
          <w:sz w:val="22"/>
        </w:rPr>
        <w:t>Sojo</w:t>
      </w:r>
      <w:proofErr w:type="spellEnd"/>
      <w:r w:rsidRPr="006454B5">
        <w:rPr>
          <w:rFonts w:asciiTheme="minorBidi" w:hAnsiTheme="minorBidi"/>
          <w:sz w:val="22"/>
        </w:rPr>
        <w:t xml:space="preserve">, V., </w:t>
      </w:r>
      <w:proofErr w:type="spellStart"/>
      <w:r w:rsidRPr="006454B5">
        <w:rPr>
          <w:rFonts w:asciiTheme="minorBidi" w:hAnsiTheme="minorBidi"/>
          <w:sz w:val="22"/>
        </w:rPr>
        <w:t>Fileborn</w:t>
      </w:r>
      <w:proofErr w:type="spellEnd"/>
      <w:r w:rsidRPr="006454B5">
        <w:rPr>
          <w:rFonts w:asciiTheme="minorBidi" w:hAnsiTheme="minorBidi"/>
          <w:sz w:val="22"/>
        </w:rPr>
        <w:t xml:space="preserve">, B., </w:t>
      </w:r>
      <w:proofErr w:type="spellStart"/>
      <w:r w:rsidRPr="006454B5">
        <w:rPr>
          <w:rFonts w:asciiTheme="minorBidi" w:hAnsiTheme="minorBidi"/>
          <w:sz w:val="22"/>
        </w:rPr>
        <w:t>Scovelle</w:t>
      </w:r>
      <w:proofErr w:type="spellEnd"/>
      <w:r w:rsidRPr="006454B5">
        <w:rPr>
          <w:rFonts w:asciiTheme="minorBidi" w:hAnsiTheme="minorBidi"/>
          <w:sz w:val="22"/>
        </w:rPr>
        <w:t>, A. J., &amp; Milner, A. (2018). The #</w:t>
      </w:r>
      <w:proofErr w:type="spellStart"/>
      <w:r w:rsidRPr="006454B5">
        <w:rPr>
          <w:rFonts w:asciiTheme="minorBidi" w:hAnsiTheme="minorBidi"/>
          <w:sz w:val="22"/>
        </w:rPr>
        <w:t>MeToo</w:t>
      </w:r>
      <w:proofErr w:type="spellEnd"/>
      <w:r w:rsidRPr="006454B5">
        <w:rPr>
          <w:rFonts w:asciiTheme="minorBidi" w:hAnsiTheme="minorBidi"/>
          <w:sz w:val="22"/>
        </w:rPr>
        <w:t xml:space="preserve"> movement:</w:t>
      </w:r>
      <w:r w:rsidR="00EC491B" w:rsidRPr="006454B5">
        <w:rPr>
          <w:rFonts w:asciiTheme="minorBidi" w:hAnsiTheme="minorBidi"/>
          <w:sz w:val="22"/>
        </w:rPr>
        <w:t xml:space="preserve"> A</w:t>
      </w:r>
      <w:r w:rsidRPr="006454B5">
        <w:rPr>
          <w:rFonts w:asciiTheme="minorBidi" w:hAnsiTheme="minorBidi"/>
          <w:sz w:val="22"/>
        </w:rPr>
        <w:t xml:space="preserve">n opportunity in public health? </w:t>
      </w:r>
      <w:r w:rsidRPr="006454B5">
        <w:rPr>
          <w:rFonts w:asciiTheme="minorBidi" w:hAnsiTheme="minorBidi"/>
          <w:i/>
          <w:iCs/>
          <w:sz w:val="22"/>
        </w:rPr>
        <w:t>The Lancet, 391</w:t>
      </w:r>
      <w:r w:rsidRPr="006454B5">
        <w:rPr>
          <w:rFonts w:asciiTheme="minorBidi" w:hAnsiTheme="minorBidi"/>
          <w:sz w:val="22"/>
        </w:rPr>
        <w:t xml:space="preserve">(10140), 2587–2589. </w:t>
      </w:r>
      <w:hyperlink r:id="rId53" w:history="1">
        <w:r w:rsidR="000679A4" w:rsidRPr="006454B5">
          <w:rPr>
            <w:rStyle w:val="Hyperlink"/>
            <w:rFonts w:asciiTheme="minorBidi" w:hAnsiTheme="minorBidi"/>
            <w:sz w:val="22"/>
          </w:rPr>
          <w:t>https://doi.org/10.1016/S0140-6736(18)30991-7</w:t>
        </w:r>
      </w:hyperlink>
      <w:r w:rsidR="000679A4" w:rsidRPr="006454B5">
        <w:rPr>
          <w:rFonts w:asciiTheme="minorBidi" w:hAnsiTheme="minorBidi"/>
          <w:sz w:val="22"/>
        </w:rPr>
        <w:t xml:space="preserve"> </w:t>
      </w:r>
    </w:p>
    <w:p w14:paraId="4AD42105" w14:textId="187F800F" w:rsidR="009F4F9E" w:rsidRPr="006454B5" w:rsidRDefault="009F4F9E" w:rsidP="000C7544">
      <w:pPr>
        <w:spacing w:before="120" w:after="120"/>
        <w:ind w:left="720" w:hanging="720"/>
        <w:contextualSpacing/>
        <w:rPr>
          <w:rFonts w:asciiTheme="minorBidi" w:hAnsiTheme="minorBidi"/>
          <w:sz w:val="22"/>
        </w:rPr>
      </w:pPr>
      <w:r w:rsidRPr="006454B5">
        <w:rPr>
          <w:rFonts w:asciiTheme="minorBidi" w:hAnsiTheme="minorBidi"/>
          <w:sz w:val="22"/>
        </w:rPr>
        <w:t xml:space="preserve">Page, A. D. (2008). Judging women and defining crime: Police officers’ attitudes toward women and rape. </w:t>
      </w:r>
      <w:r w:rsidRPr="006454B5">
        <w:rPr>
          <w:rFonts w:asciiTheme="minorBidi" w:hAnsiTheme="minorBidi"/>
          <w:i/>
          <w:iCs/>
          <w:sz w:val="22"/>
        </w:rPr>
        <w:t>Sociological Spectrum, 28</w:t>
      </w:r>
      <w:r w:rsidRPr="006454B5">
        <w:rPr>
          <w:rFonts w:asciiTheme="minorBidi" w:hAnsiTheme="minorBidi"/>
          <w:sz w:val="22"/>
        </w:rPr>
        <w:t xml:space="preserve">(4), 389–411. </w:t>
      </w:r>
      <w:hyperlink r:id="rId54" w:history="1">
        <w:r w:rsidR="000679A4" w:rsidRPr="006454B5">
          <w:rPr>
            <w:rStyle w:val="Hyperlink"/>
            <w:rFonts w:asciiTheme="minorBidi" w:hAnsiTheme="minorBidi"/>
            <w:sz w:val="22"/>
          </w:rPr>
          <w:t>https://doi.org/10.1080/02732170802053621</w:t>
        </w:r>
      </w:hyperlink>
      <w:r w:rsidR="000679A4" w:rsidRPr="006454B5">
        <w:rPr>
          <w:rFonts w:asciiTheme="minorBidi" w:hAnsiTheme="minorBidi"/>
          <w:sz w:val="22"/>
        </w:rPr>
        <w:t xml:space="preserve"> </w:t>
      </w:r>
    </w:p>
    <w:p w14:paraId="4703A02C" w14:textId="52148B40" w:rsidR="009F4F9E" w:rsidRPr="006454B5" w:rsidRDefault="009F4F9E" w:rsidP="000C7544">
      <w:pPr>
        <w:spacing w:before="120" w:after="120"/>
        <w:ind w:left="720" w:hanging="720"/>
        <w:contextualSpacing/>
        <w:rPr>
          <w:rFonts w:asciiTheme="minorBidi" w:hAnsiTheme="minorBidi"/>
          <w:sz w:val="22"/>
        </w:rPr>
      </w:pPr>
      <w:r w:rsidRPr="006454B5">
        <w:rPr>
          <w:rFonts w:asciiTheme="minorBidi" w:hAnsiTheme="minorBidi"/>
          <w:sz w:val="22"/>
        </w:rPr>
        <w:t xml:space="preserve">Parratt, K. A., &amp; Pina, A. (2017). From “real rape” to real justice: A systematic review of police officers’ rape myth beliefs. </w:t>
      </w:r>
      <w:r w:rsidRPr="006454B5">
        <w:rPr>
          <w:rFonts w:asciiTheme="minorBidi" w:hAnsiTheme="minorBidi"/>
          <w:i/>
          <w:iCs/>
          <w:sz w:val="22"/>
        </w:rPr>
        <w:t xml:space="preserve">Aggression and Violent </w:t>
      </w:r>
      <w:proofErr w:type="spellStart"/>
      <w:r w:rsidRPr="006454B5">
        <w:rPr>
          <w:rFonts w:asciiTheme="minorBidi" w:hAnsiTheme="minorBidi"/>
          <w:i/>
          <w:iCs/>
          <w:sz w:val="22"/>
        </w:rPr>
        <w:t>Behavior</w:t>
      </w:r>
      <w:proofErr w:type="spellEnd"/>
      <w:r w:rsidRPr="006454B5">
        <w:rPr>
          <w:rFonts w:asciiTheme="minorBidi" w:hAnsiTheme="minorBidi"/>
          <w:i/>
          <w:iCs/>
          <w:sz w:val="22"/>
        </w:rPr>
        <w:t>, 34</w:t>
      </w:r>
      <w:r w:rsidRPr="006454B5">
        <w:rPr>
          <w:rFonts w:asciiTheme="minorBidi" w:hAnsiTheme="minorBidi"/>
          <w:sz w:val="22"/>
        </w:rPr>
        <w:t xml:space="preserve">, 68–83. </w:t>
      </w:r>
      <w:hyperlink r:id="rId55" w:history="1">
        <w:r w:rsidR="000679A4" w:rsidRPr="006454B5">
          <w:rPr>
            <w:rStyle w:val="Hyperlink"/>
            <w:rFonts w:asciiTheme="minorBidi" w:hAnsiTheme="minorBidi"/>
            <w:sz w:val="22"/>
          </w:rPr>
          <w:t>https://doi.org/10.1016/j.avb.2017.03.005</w:t>
        </w:r>
      </w:hyperlink>
      <w:r w:rsidR="000679A4" w:rsidRPr="006454B5">
        <w:rPr>
          <w:rFonts w:asciiTheme="minorBidi" w:hAnsiTheme="minorBidi"/>
          <w:sz w:val="22"/>
        </w:rPr>
        <w:t xml:space="preserve"> </w:t>
      </w:r>
    </w:p>
    <w:p w14:paraId="034CE56D" w14:textId="205CFD37" w:rsidR="001B7705" w:rsidRPr="006454B5" w:rsidRDefault="001B7705" w:rsidP="000C7544">
      <w:pPr>
        <w:spacing w:before="120" w:after="120"/>
        <w:ind w:left="720" w:hanging="720"/>
        <w:contextualSpacing/>
        <w:rPr>
          <w:rFonts w:asciiTheme="minorBidi" w:hAnsiTheme="minorBidi"/>
          <w:sz w:val="22"/>
        </w:rPr>
      </w:pPr>
      <w:r w:rsidRPr="006454B5">
        <w:rPr>
          <w:rFonts w:asciiTheme="minorBidi" w:hAnsiTheme="minorBidi"/>
          <w:sz w:val="22"/>
        </w:rPr>
        <w:t xml:space="preserve">Payne, D. L., </w:t>
      </w:r>
      <w:proofErr w:type="spellStart"/>
      <w:r w:rsidRPr="006454B5">
        <w:rPr>
          <w:rFonts w:asciiTheme="minorBidi" w:hAnsiTheme="minorBidi"/>
          <w:sz w:val="22"/>
        </w:rPr>
        <w:t>Lonsway</w:t>
      </w:r>
      <w:proofErr w:type="spellEnd"/>
      <w:r w:rsidRPr="006454B5">
        <w:rPr>
          <w:rFonts w:asciiTheme="minorBidi" w:hAnsiTheme="minorBidi"/>
          <w:sz w:val="22"/>
        </w:rPr>
        <w:t xml:space="preserve">, K. A., &amp; Fitzgerald, L. F. (1999). Rape myth acceptance: Exploration of its structure and its measurement using the Illinois Rape Myth Acceptance Scale. Journal of Research in Personality, 33, 27–68. </w:t>
      </w:r>
      <w:hyperlink r:id="rId56" w:tgtFrame="_blank" w:tooltip="Persistent link using digital object identifier" w:history="1">
        <w:r w:rsidRPr="006454B5">
          <w:rPr>
            <w:rStyle w:val="Hyperlink"/>
            <w:rFonts w:asciiTheme="minorBidi" w:hAnsiTheme="minorBidi"/>
            <w:sz w:val="22"/>
          </w:rPr>
          <w:t>https://doi.org/10.1006/jrpe.1998.2238</w:t>
        </w:r>
      </w:hyperlink>
    </w:p>
    <w:p w14:paraId="71248C47" w14:textId="0B7821C1" w:rsidR="009F4F9E" w:rsidRPr="006454B5" w:rsidRDefault="009F4F9E" w:rsidP="000C7544">
      <w:pPr>
        <w:spacing w:before="120" w:after="120"/>
        <w:ind w:left="720" w:hanging="720"/>
        <w:contextualSpacing/>
        <w:rPr>
          <w:rFonts w:asciiTheme="minorBidi" w:hAnsiTheme="minorBidi"/>
          <w:sz w:val="22"/>
        </w:rPr>
      </w:pPr>
      <w:r w:rsidRPr="006454B5">
        <w:rPr>
          <w:rFonts w:asciiTheme="minorBidi" w:hAnsiTheme="minorBidi"/>
          <w:sz w:val="22"/>
        </w:rPr>
        <w:t>Phillips, C., &amp; Brown, D. (1998)</w:t>
      </w:r>
      <w:r w:rsidRPr="006454B5">
        <w:rPr>
          <w:rFonts w:asciiTheme="minorBidi" w:hAnsiTheme="minorBidi"/>
          <w:i/>
          <w:sz w:val="22"/>
        </w:rPr>
        <w:t>. Entry into the criminal justice system: A survey of police arrests and their outcome</w:t>
      </w:r>
      <w:r w:rsidRPr="006454B5">
        <w:rPr>
          <w:rFonts w:asciiTheme="minorBidi" w:hAnsiTheme="minorBidi"/>
          <w:sz w:val="22"/>
        </w:rPr>
        <w:t>. Home Office</w:t>
      </w:r>
      <w:r w:rsidR="00E538E6" w:rsidRPr="006454B5">
        <w:rPr>
          <w:rFonts w:asciiTheme="minorBidi" w:hAnsiTheme="minorBidi"/>
          <w:sz w:val="22"/>
        </w:rPr>
        <w:t>.</w:t>
      </w:r>
    </w:p>
    <w:p w14:paraId="0E9C5698" w14:textId="4AB3CF3E" w:rsidR="00F12D69" w:rsidRPr="006454B5" w:rsidRDefault="00F12D69" w:rsidP="000C7544">
      <w:pPr>
        <w:spacing w:before="120" w:after="120"/>
        <w:ind w:left="720" w:hanging="720"/>
        <w:contextualSpacing/>
        <w:rPr>
          <w:rFonts w:asciiTheme="minorBidi" w:hAnsiTheme="minorBidi"/>
          <w:sz w:val="22"/>
        </w:rPr>
      </w:pPr>
      <w:r w:rsidRPr="006454B5">
        <w:rPr>
          <w:rFonts w:asciiTheme="minorBidi" w:hAnsiTheme="minorBidi"/>
          <w:sz w:val="22"/>
        </w:rPr>
        <w:t xml:space="preserve">Rich, K. (2019). Trauma-informed police responses to rape victims. </w:t>
      </w:r>
      <w:r w:rsidRPr="006454B5">
        <w:rPr>
          <w:rFonts w:asciiTheme="minorBidi" w:hAnsiTheme="minorBidi"/>
          <w:i/>
          <w:iCs/>
          <w:sz w:val="22"/>
        </w:rPr>
        <w:t>Journal of Aggression, Maltreatments &amp; Trauma, 28</w:t>
      </w:r>
      <w:r w:rsidRPr="006454B5">
        <w:rPr>
          <w:rFonts w:asciiTheme="minorBidi" w:hAnsiTheme="minorBidi"/>
          <w:sz w:val="22"/>
        </w:rPr>
        <w:t xml:space="preserve">(4), 463-480. </w:t>
      </w:r>
      <w:hyperlink r:id="rId57" w:history="1">
        <w:r w:rsidRPr="006454B5">
          <w:rPr>
            <w:rStyle w:val="Hyperlink"/>
            <w:rFonts w:asciiTheme="minorBidi" w:hAnsiTheme="minorBidi"/>
            <w:sz w:val="22"/>
          </w:rPr>
          <w:t>https://doi.org/10.1080/10926771.2018.1540448</w:t>
        </w:r>
      </w:hyperlink>
    </w:p>
    <w:p w14:paraId="364636A2" w14:textId="64438D9B" w:rsidR="009F4F9E" w:rsidRPr="006454B5" w:rsidRDefault="009F4F9E" w:rsidP="000C7544">
      <w:pPr>
        <w:spacing w:before="120" w:after="120"/>
        <w:ind w:left="720" w:hanging="720"/>
        <w:contextualSpacing/>
        <w:rPr>
          <w:rFonts w:asciiTheme="minorBidi" w:hAnsiTheme="minorBidi"/>
          <w:sz w:val="22"/>
        </w:rPr>
      </w:pPr>
      <w:r w:rsidRPr="006454B5">
        <w:rPr>
          <w:rFonts w:asciiTheme="minorBidi" w:hAnsiTheme="minorBidi"/>
          <w:sz w:val="22"/>
        </w:rPr>
        <w:t xml:space="preserve">Rich, K., &amp; </w:t>
      </w:r>
      <w:proofErr w:type="spellStart"/>
      <w:r w:rsidRPr="006454B5">
        <w:rPr>
          <w:rFonts w:asciiTheme="minorBidi" w:hAnsiTheme="minorBidi"/>
          <w:sz w:val="22"/>
        </w:rPr>
        <w:t>Seffrin</w:t>
      </w:r>
      <w:proofErr w:type="spellEnd"/>
      <w:r w:rsidRPr="006454B5">
        <w:rPr>
          <w:rFonts w:asciiTheme="minorBidi" w:hAnsiTheme="minorBidi"/>
          <w:sz w:val="22"/>
        </w:rPr>
        <w:t xml:space="preserve">, P. (2012). Police interviews of sexual assault reporters: Do attitudes matter? </w:t>
      </w:r>
      <w:r w:rsidRPr="006454B5">
        <w:rPr>
          <w:rFonts w:asciiTheme="minorBidi" w:hAnsiTheme="minorBidi"/>
          <w:i/>
          <w:iCs/>
          <w:sz w:val="22"/>
        </w:rPr>
        <w:t>Violence and Victims, 27</w:t>
      </w:r>
      <w:r w:rsidRPr="006454B5">
        <w:rPr>
          <w:rFonts w:asciiTheme="minorBidi" w:hAnsiTheme="minorBidi"/>
          <w:sz w:val="22"/>
        </w:rPr>
        <w:t xml:space="preserve">(2), 263–279. </w:t>
      </w:r>
      <w:hyperlink r:id="rId58" w:history="1">
        <w:r w:rsidR="00E57C44" w:rsidRPr="006454B5">
          <w:rPr>
            <w:rStyle w:val="Hyperlink"/>
            <w:rFonts w:asciiTheme="minorBidi" w:hAnsiTheme="minorBidi"/>
            <w:sz w:val="22"/>
          </w:rPr>
          <w:t>https://doi.org/10.1891/0886-6708.27.2.263</w:t>
        </w:r>
      </w:hyperlink>
      <w:r w:rsidR="00E57C44" w:rsidRPr="006454B5">
        <w:rPr>
          <w:rFonts w:asciiTheme="minorBidi" w:hAnsiTheme="minorBidi"/>
          <w:sz w:val="22"/>
        </w:rPr>
        <w:t xml:space="preserve"> </w:t>
      </w:r>
    </w:p>
    <w:p w14:paraId="3EAABDB8" w14:textId="5AA48620" w:rsidR="009F4F9E" w:rsidRPr="006454B5" w:rsidRDefault="009F4F9E" w:rsidP="000C7544">
      <w:pPr>
        <w:spacing w:before="120" w:after="120"/>
        <w:ind w:left="720" w:hanging="720"/>
        <w:contextualSpacing/>
        <w:rPr>
          <w:rFonts w:asciiTheme="minorBidi" w:hAnsiTheme="minorBidi"/>
          <w:sz w:val="22"/>
        </w:rPr>
      </w:pPr>
      <w:r w:rsidRPr="006454B5">
        <w:rPr>
          <w:rFonts w:asciiTheme="minorBidi" w:hAnsiTheme="minorBidi"/>
          <w:sz w:val="22"/>
        </w:rPr>
        <w:lastRenderedPageBreak/>
        <w:t xml:space="preserve">Roberts, J. V. (1996). The criminal justice response to sexual assault in Canada. </w:t>
      </w:r>
      <w:r w:rsidR="008449A5" w:rsidRPr="006454B5">
        <w:rPr>
          <w:rFonts w:asciiTheme="minorBidi" w:hAnsiTheme="minorBidi"/>
          <w:sz w:val="22"/>
        </w:rPr>
        <w:t xml:space="preserve">In </w:t>
      </w:r>
      <w:r w:rsidR="00A21C21" w:rsidRPr="006454B5">
        <w:rPr>
          <w:rFonts w:asciiTheme="minorBidi" w:hAnsiTheme="minorBidi"/>
          <w:sz w:val="22"/>
        </w:rPr>
        <w:t>G. Davies, S. Lloyd-</w:t>
      </w:r>
      <w:proofErr w:type="spellStart"/>
      <w:r w:rsidR="00A21C21" w:rsidRPr="006454B5">
        <w:rPr>
          <w:rFonts w:asciiTheme="minorBidi" w:hAnsiTheme="minorBidi"/>
          <w:sz w:val="22"/>
        </w:rPr>
        <w:t>Bostock</w:t>
      </w:r>
      <w:proofErr w:type="spellEnd"/>
      <w:r w:rsidR="00A21C21" w:rsidRPr="006454B5">
        <w:rPr>
          <w:rFonts w:asciiTheme="minorBidi" w:hAnsiTheme="minorBidi"/>
          <w:sz w:val="22"/>
        </w:rPr>
        <w:t xml:space="preserve">, M. </w:t>
      </w:r>
      <w:proofErr w:type="spellStart"/>
      <w:r w:rsidR="00A21C21" w:rsidRPr="006454B5">
        <w:rPr>
          <w:rFonts w:asciiTheme="minorBidi" w:hAnsiTheme="minorBidi"/>
          <w:sz w:val="22"/>
        </w:rPr>
        <w:t>McMurran</w:t>
      </w:r>
      <w:proofErr w:type="spellEnd"/>
      <w:r w:rsidR="00A21C21" w:rsidRPr="006454B5">
        <w:rPr>
          <w:rFonts w:asciiTheme="minorBidi" w:hAnsiTheme="minorBidi"/>
          <w:sz w:val="22"/>
        </w:rPr>
        <w:t xml:space="preserve">, &amp; C. Wilson (Eds.), </w:t>
      </w:r>
      <w:r w:rsidRPr="006454B5">
        <w:rPr>
          <w:rFonts w:asciiTheme="minorBidi" w:hAnsiTheme="minorBidi"/>
          <w:i/>
          <w:iCs/>
          <w:sz w:val="22"/>
        </w:rPr>
        <w:t xml:space="preserve">Psychology, law, and criminal justice: </w:t>
      </w:r>
      <w:r w:rsidR="00B15FDF" w:rsidRPr="006454B5">
        <w:rPr>
          <w:rFonts w:asciiTheme="minorBidi" w:hAnsiTheme="minorBidi"/>
          <w:i/>
          <w:iCs/>
          <w:sz w:val="22"/>
        </w:rPr>
        <w:t>I</w:t>
      </w:r>
      <w:r w:rsidRPr="006454B5">
        <w:rPr>
          <w:rFonts w:asciiTheme="minorBidi" w:hAnsiTheme="minorBidi"/>
          <w:i/>
          <w:iCs/>
          <w:sz w:val="22"/>
        </w:rPr>
        <w:t>nternational developments in research and practice</w:t>
      </w:r>
      <w:r w:rsidR="000416AB" w:rsidRPr="006454B5">
        <w:rPr>
          <w:rFonts w:asciiTheme="minorBidi" w:hAnsiTheme="minorBidi"/>
          <w:sz w:val="22"/>
        </w:rPr>
        <w:t xml:space="preserve"> (</w:t>
      </w:r>
      <w:r w:rsidR="00300803" w:rsidRPr="006454B5">
        <w:rPr>
          <w:rFonts w:asciiTheme="minorBidi" w:hAnsiTheme="minorBidi"/>
          <w:sz w:val="22"/>
        </w:rPr>
        <w:t>p</w:t>
      </w:r>
      <w:r w:rsidR="000416AB" w:rsidRPr="006454B5">
        <w:rPr>
          <w:rFonts w:asciiTheme="minorBidi" w:hAnsiTheme="minorBidi"/>
          <w:sz w:val="22"/>
        </w:rPr>
        <w:t xml:space="preserve">p. </w:t>
      </w:r>
      <w:r w:rsidRPr="006454B5">
        <w:rPr>
          <w:rFonts w:asciiTheme="minorBidi" w:hAnsiTheme="minorBidi"/>
          <w:sz w:val="22"/>
        </w:rPr>
        <w:t>384</w:t>
      </w:r>
      <w:r w:rsidR="000416AB" w:rsidRPr="006454B5">
        <w:rPr>
          <w:rFonts w:asciiTheme="minorBidi" w:hAnsiTheme="minorBidi"/>
          <w:sz w:val="22"/>
        </w:rPr>
        <w:t xml:space="preserve">-393). Walter de </w:t>
      </w:r>
      <w:proofErr w:type="spellStart"/>
      <w:r w:rsidR="000416AB" w:rsidRPr="006454B5">
        <w:rPr>
          <w:rFonts w:asciiTheme="minorBidi" w:hAnsiTheme="minorBidi"/>
          <w:sz w:val="22"/>
        </w:rPr>
        <w:t>Gruyter</w:t>
      </w:r>
      <w:proofErr w:type="spellEnd"/>
      <w:r w:rsidRPr="006454B5">
        <w:rPr>
          <w:rFonts w:asciiTheme="minorBidi" w:hAnsiTheme="minorBidi"/>
          <w:sz w:val="22"/>
        </w:rPr>
        <w:t>.</w:t>
      </w:r>
    </w:p>
    <w:p w14:paraId="74BA7075" w14:textId="6A042D58" w:rsidR="000E7CFB" w:rsidRPr="006454B5" w:rsidRDefault="000E7CFB" w:rsidP="000C7544">
      <w:pPr>
        <w:spacing w:before="120" w:after="120"/>
        <w:ind w:left="720" w:hanging="720"/>
        <w:contextualSpacing/>
        <w:rPr>
          <w:rFonts w:asciiTheme="minorBidi" w:hAnsiTheme="minorBidi"/>
          <w:sz w:val="22"/>
        </w:rPr>
      </w:pPr>
      <w:r w:rsidRPr="006454B5">
        <w:rPr>
          <w:rFonts w:asciiTheme="minorBidi" w:hAnsiTheme="minorBidi"/>
          <w:noProof/>
          <w:sz w:val="22"/>
        </w:rPr>
        <w:t xml:space="preserve">Rumney, P., &amp; McPhee, D. (2020). The evidential value of electronic communications data in rape and sexual offence cases. </w:t>
      </w:r>
      <w:r w:rsidRPr="006454B5">
        <w:rPr>
          <w:rFonts w:asciiTheme="minorBidi" w:hAnsiTheme="minorBidi"/>
          <w:i/>
          <w:noProof/>
          <w:sz w:val="22"/>
        </w:rPr>
        <w:t>The Criminal Law Review</w:t>
      </w:r>
      <w:r w:rsidRPr="006454B5">
        <w:rPr>
          <w:rFonts w:asciiTheme="minorBidi" w:hAnsiTheme="minorBidi"/>
          <w:noProof/>
          <w:sz w:val="22"/>
        </w:rPr>
        <w:t>.</w:t>
      </w:r>
    </w:p>
    <w:p w14:paraId="373CFFA8" w14:textId="5FB5738D" w:rsidR="009F4F9E" w:rsidRPr="006454B5" w:rsidRDefault="009F4F9E" w:rsidP="000C7544">
      <w:pPr>
        <w:spacing w:before="120" w:after="120"/>
        <w:ind w:left="720" w:hanging="720"/>
        <w:contextualSpacing/>
        <w:rPr>
          <w:rFonts w:asciiTheme="minorBidi" w:hAnsiTheme="minorBidi"/>
          <w:sz w:val="22"/>
        </w:rPr>
      </w:pPr>
      <w:r w:rsidRPr="006454B5">
        <w:rPr>
          <w:rFonts w:asciiTheme="minorBidi" w:hAnsiTheme="minorBidi"/>
          <w:sz w:val="22"/>
        </w:rPr>
        <w:t xml:space="preserve">Shaw, J., Campbell, R., Cain, D., &amp; Feeney, H. (2017). Beyond surveys and scales: How rape myths manifest in sexual assault police records. </w:t>
      </w:r>
      <w:r w:rsidRPr="006454B5">
        <w:rPr>
          <w:rFonts w:asciiTheme="minorBidi" w:hAnsiTheme="minorBidi"/>
          <w:i/>
          <w:iCs/>
          <w:sz w:val="22"/>
        </w:rPr>
        <w:t>Psychology of Violence, 7</w:t>
      </w:r>
      <w:r w:rsidRPr="006454B5">
        <w:rPr>
          <w:rFonts w:asciiTheme="minorBidi" w:hAnsiTheme="minorBidi"/>
          <w:sz w:val="22"/>
        </w:rPr>
        <w:t xml:space="preserve">(4), 602–614. </w:t>
      </w:r>
      <w:hyperlink r:id="rId59" w:history="1">
        <w:r w:rsidR="000416AB" w:rsidRPr="006454B5">
          <w:rPr>
            <w:rStyle w:val="Hyperlink"/>
            <w:rFonts w:asciiTheme="minorBidi" w:hAnsiTheme="minorBidi"/>
            <w:sz w:val="22"/>
          </w:rPr>
          <w:t>https://doi.org/10.1037/vio0000072</w:t>
        </w:r>
      </w:hyperlink>
      <w:r w:rsidR="000416AB" w:rsidRPr="006454B5">
        <w:rPr>
          <w:rFonts w:asciiTheme="minorBidi" w:hAnsiTheme="minorBidi"/>
          <w:sz w:val="22"/>
        </w:rPr>
        <w:t xml:space="preserve"> </w:t>
      </w:r>
    </w:p>
    <w:p w14:paraId="3A289245" w14:textId="1564CFB8" w:rsidR="009F4F9E" w:rsidRPr="006454B5" w:rsidRDefault="009F4F9E" w:rsidP="000C7544">
      <w:pPr>
        <w:spacing w:before="120" w:after="120"/>
        <w:ind w:left="720" w:hanging="720"/>
        <w:contextualSpacing/>
        <w:rPr>
          <w:rFonts w:asciiTheme="minorBidi" w:hAnsiTheme="minorBidi"/>
          <w:sz w:val="22"/>
        </w:rPr>
      </w:pPr>
      <w:proofErr w:type="spellStart"/>
      <w:r w:rsidRPr="006454B5">
        <w:rPr>
          <w:rFonts w:asciiTheme="minorBidi" w:hAnsiTheme="minorBidi"/>
          <w:sz w:val="22"/>
        </w:rPr>
        <w:t>Sleath</w:t>
      </w:r>
      <w:proofErr w:type="spellEnd"/>
      <w:r w:rsidRPr="006454B5">
        <w:rPr>
          <w:rFonts w:asciiTheme="minorBidi" w:hAnsiTheme="minorBidi"/>
          <w:sz w:val="22"/>
        </w:rPr>
        <w:t xml:space="preserve">, E., &amp; Bull, R. (2017). Police perceptions of rape victims and the impact on case </w:t>
      </w:r>
      <w:r w:rsidR="0086787D">
        <w:rPr>
          <w:rFonts w:asciiTheme="minorBidi" w:hAnsiTheme="minorBidi"/>
          <w:sz w:val="22"/>
        </w:rPr>
        <w:t>decision-making</w:t>
      </w:r>
      <w:r w:rsidRPr="006454B5">
        <w:rPr>
          <w:rFonts w:asciiTheme="minorBidi" w:hAnsiTheme="minorBidi"/>
          <w:sz w:val="22"/>
        </w:rPr>
        <w:t xml:space="preserve">: A systematic review. </w:t>
      </w:r>
      <w:r w:rsidRPr="006454B5">
        <w:rPr>
          <w:rFonts w:asciiTheme="minorBidi" w:hAnsiTheme="minorBidi"/>
          <w:i/>
          <w:iCs/>
          <w:sz w:val="22"/>
        </w:rPr>
        <w:t xml:space="preserve">Aggression and Violent </w:t>
      </w:r>
      <w:proofErr w:type="spellStart"/>
      <w:r w:rsidRPr="006454B5">
        <w:rPr>
          <w:rFonts w:asciiTheme="minorBidi" w:hAnsiTheme="minorBidi"/>
          <w:i/>
          <w:iCs/>
          <w:sz w:val="22"/>
        </w:rPr>
        <w:t>Behavior</w:t>
      </w:r>
      <w:proofErr w:type="spellEnd"/>
      <w:r w:rsidRPr="006454B5">
        <w:rPr>
          <w:rFonts w:asciiTheme="minorBidi" w:hAnsiTheme="minorBidi"/>
          <w:i/>
          <w:iCs/>
          <w:sz w:val="22"/>
        </w:rPr>
        <w:t>, 34</w:t>
      </w:r>
      <w:r w:rsidRPr="006454B5">
        <w:rPr>
          <w:rFonts w:asciiTheme="minorBidi" w:hAnsiTheme="minorBidi"/>
          <w:sz w:val="22"/>
        </w:rPr>
        <w:t xml:space="preserve">, 102–112. </w:t>
      </w:r>
      <w:hyperlink r:id="rId60" w:history="1">
        <w:r w:rsidR="000416AB" w:rsidRPr="006454B5">
          <w:rPr>
            <w:rStyle w:val="Hyperlink"/>
            <w:rFonts w:asciiTheme="minorBidi" w:hAnsiTheme="minorBidi"/>
            <w:sz w:val="22"/>
          </w:rPr>
          <w:t>https://doi.org/10.1016/j.avb.2017.02.003</w:t>
        </w:r>
      </w:hyperlink>
      <w:r w:rsidR="000416AB" w:rsidRPr="006454B5">
        <w:rPr>
          <w:rFonts w:asciiTheme="minorBidi" w:hAnsiTheme="minorBidi"/>
          <w:sz w:val="22"/>
        </w:rPr>
        <w:t xml:space="preserve"> </w:t>
      </w:r>
    </w:p>
    <w:p w14:paraId="0D77260D" w14:textId="40728913" w:rsidR="00912A0D" w:rsidRPr="006454B5" w:rsidRDefault="00912A0D" w:rsidP="00912A0D">
      <w:pPr>
        <w:spacing w:before="120" w:after="120"/>
        <w:ind w:left="720" w:hanging="720"/>
        <w:contextualSpacing/>
        <w:rPr>
          <w:rFonts w:asciiTheme="minorBidi" w:hAnsiTheme="minorBidi"/>
          <w:sz w:val="22"/>
        </w:rPr>
      </w:pPr>
      <w:r w:rsidRPr="006454B5">
        <w:rPr>
          <w:rFonts w:asciiTheme="minorBidi" w:hAnsiTheme="minorBidi"/>
          <w:sz w:val="22"/>
        </w:rPr>
        <w:t>Snyder, H. N. (2010). </w:t>
      </w:r>
      <w:r w:rsidRPr="006454B5">
        <w:rPr>
          <w:rFonts w:asciiTheme="minorBidi" w:hAnsiTheme="minorBidi"/>
          <w:i/>
          <w:iCs/>
          <w:sz w:val="22"/>
        </w:rPr>
        <w:t>Sexual assault of young children as reported to law enforcement: Victim, incident, and offender characteristics</w:t>
      </w:r>
      <w:r w:rsidRPr="006454B5">
        <w:rPr>
          <w:rFonts w:asciiTheme="minorBidi" w:hAnsiTheme="minorBidi"/>
          <w:sz w:val="22"/>
        </w:rPr>
        <w:t>. DIANE Publishing.</w:t>
      </w:r>
    </w:p>
    <w:p w14:paraId="4B5E5156" w14:textId="77777777" w:rsidR="006A7205" w:rsidRPr="006454B5" w:rsidRDefault="009F4F9E" w:rsidP="000C7544">
      <w:pPr>
        <w:spacing w:before="120" w:after="120"/>
        <w:ind w:left="720" w:hanging="720"/>
        <w:contextualSpacing/>
        <w:rPr>
          <w:rFonts w:asciiTheme="minorBidi" w:hAnsiTheme="minorBidi"/>
          <w:sz w:val="22"/>
        </w:rPr>
      </w:pPr>
      <w:proofErr w:type="spellStart"/>
      <w:r w:rsidRPr="006454B5">
        <w:rPr>
          <w:rFonts w:asciiTheme="minorBidi" w:hAnsiTheme="minorBidi"/>
          <w:sz w:val="22"/>
        </w:rPr>
        <w:t>Spohn</w:t>
      </w:r>
      <w:proofErr w:type="spellEnd"/>
      <w:r w:rsidRPr="006454B5">
        <w:rPr>
          <w:rFonts w:asciiTheme="minorBidi" w:hAnsiTheme="minorBidi"/>
          <w:sz w:val="22"/>
        </w:rPr>
        <w:t xml:space="preserve">, C., &amp; </w:t>
      </w:r>
      <w:proofErr w:type="spellStart"/>
      <w:r w:rsidRPr="006454B5">
        <w:rPr>
          <w:rFonts w:asciiTheme="minorBidi" w:hAnsiTheme="minorBidi"/>
          <w:sz w:val="22"/>
        </w:rPr>
        <w:t>Tellis</w:t>
      </w:r>
      <w:proofErr w:type="spellEnd"/>
      <w:r w:rsidRPr="006454B5">
        <w:rPr>
          <w:rFonts w:asciiTheme="minorBidi" w:hAnsiTheme="minorBidi"/>
          <w:sz w:val="22"/>
        </w:rPr>
        <w:t>, K. (2012). The criminal justice system’s response to sexual violence</w:t>
      </w:r>
      <w:r w:rsidR="006A7205" w:rsidRPr="006454B5">
        <w:rPr>
          <w:rFonts w:asciiTheme="minorBidi" w:hAnsiTheme="minorBidi"/>
          <w:sz w:val="22"/>
        </w:rPr>
        <w:t xml:space="preserve">. </w:t>
      </w:r>
      <w:r w:rsidRPr="006454B5">
        <w:rPr>
          <w:rFonts w:asciiTheme="minorBidi" w:hAnsiTheme="minorBidi"/>
          <w:i/>
          <w:iCs/>
          <w:sz w:val="22"/>
        </w:rPr>
        <w:t xml:space="preserve">Violence </w:t>
      </w:r>
      <w:proofErr w:type="gramStart"/>
      <w:r w:rsidRPr="006454B5">
        <w:rPr>
          <w:rFonts w:asciiTheme="minorBidi" w:hAnsiTheme="minorBidi"/>
          <w:i/>
          <w:iCs/>
          <w:sz w:val="22"/>
        </w:rPr>
        <w:t>Against</w:t>
      </w:r>
      <w:proofErr w:type="gramEnd"/>
      <w:r w:rsidRPr="006454B5">
        <w:rPr>
          <w:rFonts w:asciiTheme="minorBidi" w:hAnsiTheme="minorBidi"/>
          <w:i/>
          <w:iCs/>
          <w:sz w:val="22"/>
        </w:rPr>
        <w:t xml:space="preserve"> Women, 18</w:t>
      </w:r>
      <w:r w:rsidRPr="006454B5">
        <w:rPr>
          <w:rFonts w:asciiTheme="minorBidi" w:hAnsiTheme="minorBidi"/>
          <w:sz w:val="22"/>
        </w:rPr>
        <w:t xml:space="preserve">(2), 169–192. </w:t>
      </w:r>
      <w:hyperlink r:id="rId61" w:history="1">
        <w:r w:rsidR="006A7205" w:rsidRPr="006454B5">
          <w:rPr>
            <w:rStyle w:val="Hyperlink"/>
            <w:rFonts w:asciiTheme="minorBidi" w:hAnsiTheme="minorBidi"/>
            <w:sz w:val="22"/>
          </w:rPr>
          <w:t>https://doi.org/10.1177/1077801212440020</w:t>
        </w:r>
      </w:hyperlink>
      <w:r w:rsidR="006A7205" w:rsidRPr="006454B5">
        <w:rPr>
          <w:rFonts w:asciiTheme="minorBidi" w:hAnsiTheme="minorBidi"/>
          <w:sz w:val="22"/>
        </w:rPr>
        <w:t xml:space="preserve"> </w:t>
      </w:r>
      <w:r w:rsidRPr="006454B5">
        <w:rPr>
          <w:rFonts w:asciiTheme="minorBidi" w:hAnsiTheme="minorBidi"/>
          <w:sz w:val="22"/>
        </w:rPr>
        <w:t xml:space="preserve"> </w:t>
      </w:r>
    </w:p>
    <w:p w14:paraId="25951516" w14:textId="4E79C424" w:rsidR="009F4F9E" w:rsidRPr="006454B5" w:rsidRDefault="009F4F9E" w:rsidP="000C7544">
      <w:pPr>
        <w:spacing w:before="120" w:after="120"/>
        <w:ind w:left="720" w:hanging="720"/>
        <w:contextualSpacing/>
        <w:rPr>
          <w:rFonts w:asciiTheme="minorBidi" w:hAnsiTheme="minorBidi"/>
          <w:sz w:val="22"/>
        </w:rPr>
      </w:pPr>
      <w:proofErr w:type="spellStart"/>
      <w:r w:rsidRPr="006454B5">
        <w:rPr>
          <w:rFonts w:asciiTheme="minorBidi" w:hAnsiTheme="minorBidi"/>
          <w:sz w:val="22"/>
        </w:rPr>
        <w:t>Spohn</w:t>
      </w:r>
      <w:proofErr w:type="spellEnd"/>
      <w:r w:rsidRPr="006454B5">
        <w:rPr>
          <w:rFonts w:asciiTheme="minorBidi" w:hAnsiTheme="minorBidi"/>
          <w:sz w:val="22"/>
        </w:rPr>
        <w:t xml:space="preserve">, C., White, C., &amp; </w:t>
      </w:r>
      <w:proofErr w:type="spellStart"/>
      <w:r w:rsidRPr="006454B5">
        <w:rPr>
          <w:rFonts w:asciiTheme="minorBidi" w:hAnsiTheme="minorBidi"/>
          <w:sz w:val="22"/>
        </w:rPr>
        <w:t>Tellis</w:t>
      </w:r>
      <w:proofErr w:type="spellEnd"/>
      <w:r w:rsidRPr="006454B5">
        <w:rPr>
          <w:rFonts w:asciiTheme="minorBidi" w:hAnsiTheme="minorBidi"/>
          <w:sz w:val="22"/>
        </w:rPr>
        <w:t xml:space="preserve">, K. (2014). </w:t>
      </w:r>
      <w:proofErr w:type="spellStart"/>
      <w:r w:rsidRPr="006454B5">
        <w:rPr>
          <w:rFonts w:asciiTheme="minorBidi" w:hAnsiTheme="minorBidi"/>
          <w:sz w:val="22"/>
        </w:rPr>
        <w:t>Unfounding</w:t>
      </w:r>
      <w:proofErr w:type="spellEnd"/>
      <w:r w:rsidRPr="006454B5">
        <w:rPr>
          <w:rFonts w:asciiTheme="minorBidi" w:hAnsiTheme="minorBidi"/>
          <w:sz w:val="22"/>
        </w:rPr>
        <w:t xml:space="preserve"> sexual assault: Examining the decision to</w:t>
      </w:r>
      <w:r w:rsidR="00EA6DDC" w:rsidRPr="006454B5">
        <w:rPr>
          <w:rFonts w:asciiTheme="minorBidi" w:hAnsiTheme="minorBidi"/>
          <w:sz w:val="22"/>
        </w:rPr>
        <w:t xml:space="preserve"> </w:t>
      </w:r>
      <w:r w:rsidRPr="006454B5">
        <w:rPr>
          <w:rFonts w:asciiTheme="minorBidi" w:hAnsiTheme="minorBidi"/>
          <w:sz w:val="22"/>
        </w:rPr>
        <w:t xml:space="preserve">unfound and identifying false reports. </w:t>
      </w:r>
      <w:r w:rsidRPr="006454B5">
        <w:rPr>
          <w:rFonts w:asciiTheme="minorBidi" w:hAnsiTheme="minorBidi"/>
          <w:i/>
          <w:iCs/>
          <w:sz w:val="22"/>
        </w:rPr>
        <w:t>Law and Society Review, 48</w:t>
      </w:r>
      <w:r w:rsidRPr="006454B5">
        <w:rPr>
          <w:rFonts w:asciiTheme="minorBidi" w:hAnsiTheme="minorBidi"/>
          <w:sz w:val="22"/>
        </w:rPr>
        <w:t xml:space="preserve">(1), 161–192. </w:t>
      </w:r>
      <w:hyperlink r:id="rId62" w:history="1">
        <w:r w:rsidR="006A7205" w:rsidRPr="006454B5">
          <w:rPr>
            <w:rStyle w:val="Hyperlink"/>
            <w:rFonts w:asciiTheme="minorBidi" w:hAnsiTheme="minorBidi"/>
            <w:sz w:val="22"/>
          </w:rPr>
          <w:t>https://doi.org/10.1111/lasr.12060</w:t>
        </w:r>
      </w:hyperlink>
      <w:r w:rsidR="006A7205" w:rsidRPr="006454B5">
        <w:rPr>
          <w:rFonts w:asciiTheme="minorBidi" w:hAnsiTheme="minorBidi"/>
          <w:sz w:val="22"/>
        </w:rPr>
        <w:t xml:space="preserve"> </w:t>
      </w:r>
    </w:p>
    <w:p w14:paraId="6356B599" w14:textId="7F48BA21" w:rsidR="009F4F9E" w:rsidRPr="006454B5" w:rsidRDefault="009F4F9E" w:rsidP="000C7544">
      <w:pPr>
        <w:spacing w:before="120" w:after="120"/>
        <w:ind w:left="720" w:hanging="720"/>
        <w:contextualSpacing/>
        <w:rPr>
          <w:rFonts w:asciiTheme="minorBidi" w:hAnsiTheme="minorBidi"/>
          <w:sz w:val="22"/>
        </w:rPr>
      </w:pPr>
      <w:proofErr w:type="spellStart"/>
      <w:r w:rsidRPr="006454B5">
        <w:rPr>
          <w:rFonts w:asciiTheme="minorBidi" w:hAnsiTheme="minorBidi"/>
          <w:sz w:val="22"/>
        </w:rPr>
        <w:t>Venema</w:t>
      </w:r>
      <w:proofErr w:type="spellEnd"/>
      <w:r w:rsidRPr="006454B5">
        <w:rPr>
          <w:rFonts w:asciiTheme="minorBidi" w:hAnsiTheme="minorBidi"/>
          <w:sz w:val="22"/>
        </w:rPr>
        <w:t xml:space="preserve">, R. M. (2016). Police officer schema of sexual assault reports: Real rape, ambiguous cases, and false reports. </w:t>
      </w:r>
      <w:r w:rsidRPr="006454B5">
        <w:rPr>
          <w:rFonts w:asciiTheme="minorBidi" w:hAnsiTheme="minorBidi"/>
          <w:i/>
          <w:iCs/>
          <w:sz w:val="22"/>
        </w:rPr>
        <w:t>Journal of Interpersonal Violence, 31</w:t>
      </w:r>
      <w:r w:rsidRPr="006454B5">
        <w:rPr>
          <w:rFonts w:asciiTheme="minorBidi" w:hAnsiTheme="minorBidi"/>
          <w:sz w:val="22"/>
        </w:rPr>
        <w:t xml:space="preserve">(5), 872–899. </w:t>
      </w:r>
      <w:hyperlink r:id="rId63" w:history="1">
        <w:r w:rsidR="006A7205" w:rsidRPr="006454B5">
          <w:rPr>
            <w:rStyle w:val="Hyperlink"/>
            <w:rFonts w:asciiTheme="minorBidi" w:hAnsiTheme="minorBidi"/>
            <w:sz w:val="22"/>
          </w:rPr>
          <w:t>https://doi.org/10.1177/0886260514556765</w:t>
        </w:r>
      </w:hyperlink>
      <w:r w:rsidR="006A7205" w:rsidRPr="006454B5">
        <w:rPr>
          <w:rFonts w:asciiTheme="minorBidi" w:hAnsiTheme="minorBidi"/>
          <w:sz w:val="22"/>
        </w:rPr>
        <w:t xml:space="preserve"> </w:t>
      </w:r>
    </w:p>
    <w:p w14:paraId="108188CD" w14:textId="75DC8E35" w:rsidR="009F4F9E" w:rsidRPr="006454B5" w:rsidRDefault="009F4F9E" w:rsidP="000C7544">
      <w:pPr>
        <w:spacing w:before="120" w:after="120"/>
        <w:ind w:left="720" w:hanging="720"/>
        <w:contextualSpacing/>
        <w:rPr>
          <w:rFonts w:asciiTheme="minorBidi" w:hAnsiTheme="minorBidi"/>
          <w:sz w:val="22"/>
        </w:rPr>
      </w:pPr>
      <w:proofErr w:type="spellStart"/>
      <w:r w:rsidRPr="006454B5">
        <w:rPr>
          <w:rFonts w:asciiTheme="minorBidi" w:hAnsiTheme="minorBidi"/>
          <w:sz w:val="22"/>
        </w:rPr>
        <w:t>Venema</w:t>
      </w:r>
      <w:proofErr w:type="spellEnd"/>
      <w:r w:rsidRPr="006454B5">
        <w:rPr>
          <w:rFonts w:asciiTheme="minorBidi" w:hAnsiTheme="minorBidi"/>
          <w:sz w:val="22"/>
        </w:rPr>
        <w:t xml:space="preserve">, R. M. (2019). Making Judgments: How blame mediates the influence of rape myth acceptance in police response to sexual assault. </w:t>
      </w:r>
      <w:r w:rsidRPr="006454B5">
        <w:rPr>
          <w:rFonts w:asciiTheme="minorBidi" w:hAnsiTheme="minorBidi"/>
          <w:i/>
          <w:iCs/>
          <w:sz w:val="22"/>
        </w:rPr>
        <w:t>Journal of Interpersonal Violence, 34</w:t>
      </w:r>
      <w:r w:rsidRPr="006454B5">
        <w:rPr>
          <w:rFonts w:asciiTheme="minorBidi" w:hAnsiTheme="minorBidi"/>
          <w:sz w:val="22"/>
        </w:rPr>
        <w:t xml:space="preserve">(13), 2697–2722. </w:t>
      </w:r>
      <w:hyperlink r:id="rId64" w:history="1">
        <w:r w:rsidR="006A7205" w:rsidRPr="006454B5">
          <w:rPr>
            <w:rStyle w:val="Hyperlink"/>
            <w:rFonts w:asciiTheme="minorBidi" w:hAnsiTheme="minorBidi"/>
            <w:sz w:val="22"/>
          </w:rPr>
          <w:t>https://doi.org/10.1177/0886260516662437</w:t>
        </w:r>
      </w:hyperlink>
      <w:r w:rsidR="006A7205" w:rsidRPr="006454B5">
        <w:rPr>
          <w:rFonts w:asciiTheme="minorBidi" w:hAnsiTheme="minorBidi"/>
          <w:sz w:val="22"/>
        </w:rPr>
        <w:t xml:space="preserve"> </w:t>
      </w:r>
    </w:p>
    <w:p w14:paraId="294889DB" w14:textId="786D7A45" w:rsidR="00D650BF" w:rsidRPr="006454B5" w:rsidRDefault="00D650BF" w:rsidP="000C7544">
      <w:pPr>
        <w:spacing w:before="120" w:after="120"/>
        <w:ind w:left="720" w:hanging="720"/>
        <w:contextualSpacing/>
        <w:rPr>
          <w:rFonts w:asciiTheme="minorBidi" w:hAnsiTheme="minorBidi"/>
          <w:sz w:val="22"/>
        </w:rPr>
      </w:pPr>
      <w:r w:rsidRPr="006454B5">
        <w:rPr>
          <w:rFonts w:asciiTheme="minorBidi" w:hAnsiTheme="minorBidi"/>
          <w:noProof/>
          <w:sz w:val="22"/>
        </w:rPr>
        <w:lastRenderedPageBreak/>
        <w:t xml:space="preserve">Wolitzky-Taylor, K., Resnick, H., Amstadter, A., McCauley, J., Ruggiero, K., &amp; Kilpatrick, D. (2011). Reporting rape in a national sample of college women. </w:t>
      </w:r>
      <w:r w:rsidRPr="006454B5">
        <w:rPr>
          <w:rFonts w:asciiTheme="minorBidi" w:hAnsiTheme="minorBidi"/>
          <w:i/>
          <w:noProof/>
          <w:sz w:val="22"/>
        </w:rPr>
        <w:t>Journal of American College Health, 59</w:t>
      </w:r>
      <w:r w:rsidRPr="006454B5">
        <w:rPr>
          <w:rFonts w:asciiTheme="minorBidi" w:hAnsiTheme="minorBidi"/>
          <w:noProof/>
          <w:sz w:val="22"/>
        </w:rPr>
        <w:t xml:space="preserve">, 582-587. </w:t>
      </w:r>
      <w:hyperlink r:id="rId65" w:history="1">
        <w:r w:rsidR="00AC3B55" w:rsidRPr="006454B5">
          <w:rPr>
            <w:rStyle w:val="Hyperlink"/>
            <w:rFonts w:asciiTheme="minorBidi" w:hAnsiTheme="minorBidi"/>
            <w:noProof/>
            <w:sz w:val="22"/>
          </w:rPr>
          <w:t>https://doi:10.1080/07448481.2010.515634</w:t>
        </w:r>
      </w:hyperlink>
      <w:r w:rsidR="00AC3B55" w:rsidRPr="006454B5">
        <w:rPr>
          <w:rFonts w:asciiTheme="minorBidi" w:hAnsiTheme="minorBidi"/>
          <w:noProof/>
          <w:sz w:val="22"/>
        </w:rPr>
        <w:t xml:space="preserve"> </w:t>
      </w:r>
    </w:p>
    <w:p w14:paraId="2E01C8D0" w14:textId="6F2D69A1" w:rsidR="00C4689E" w:rsidRPr="006454B5" w:rsidRDefault="009F4F9E" w:rsidP="000C7544">
      <w:pPr>
        <w:spacing w:before="120" w:after="120"/>
        <w:ind w:left="720" w:hanging="720"/>
        <w:contextualSpacing/>
        <w:rPr>
          <w:rFonts w:asciiTheme="minorBidi" w:hAnsiTheme="minorBidi"/>
          <w:sz w:val="22"/>
        </w:rPr>
      </w:pPr>
      <w:r w:rsidRPr="006454B5">
        <w:rPr>
          <w:rFonts w:asciiTheme="minorBidi" w:hAnsiTheme="minorBidi"/>
          <w:sz w:val="22"/>
        </w:rPr>
        <w:t>Wright, R. (1984). A note on the attrition of rap</w:t>
      </w:r>
      <w:r w:rsidR="008F7215" w:rsidRPr="006454B5">
        <w:rPr>
          <w:rFonts w:asciiTheme="minorBidi" w:hAnsiTheme="minorBidi"/>
          <w:sz w:val="22"/>
        </w:rPr>
        <w:t>e cases</w:t>
      </w:r>
      <w:r w:rsidRPr="006454B5">
        <w:rPr>
          <w:rFonts w:asciiTheme="minorBidi" w:hAnsiTheme="minorBidi"/>
          <w:sz w:val="22"/>
        </w:rPr>
        <w:t xml:space="preserve">. </w:t>
      </w:r>
      <w:r w:rsidRPr="006454B5">
        <w:rPr>
          <w:rFonts w:asciiTheme="minorBidi" w:hAnsiTheme="minorBidi"/>
          <w:i/>
          <w:iCs/>
          <w:sz w:val="22"/>
        </w:rPr>
        <w:t>British Journal of Criminology, 24</w:t>
      </w:r>
      <w:r w:rsidRPr="006454B5">
        <w:rPr>
          <w:rFonts w:asciiTheme="minorBidi" w:hAnsiTheme="minorBidi"/>
          <w:sz w:val="22"/>
        </w:rPr>
        <w:t>, 399- 400.</w:t>
      </w:r>
    </w:p>
    <w:p w14:paraId="3C3A3282" w14:textId="77777777" w:rsidR="00C4689E" w:rsidRPr="006454B5" w:rsidRDefault="00C4689E">
      <w:pPr>
        <w:spacing w:after="0" w:line="240" w:lineRule="auto"/>
        <w:rPr>
          <w:rFonts w:ascii="Arial" w:hAnsi="Arial" w:cs="Arial"/>
          <w:sz w:val="22"/>
        </w:rPr>
      </w:pPr>
      <w:r w:rsidRPr="006454B5">
        <w:rPr>
          <w:rFonts w:ascii="Arial" w:hAnsi="Arial" w:cs="Arial"/>
          <w:sz w:val="22"/>
        </w:rPr>
        <w:br w:type="page"/>
      </w:r>
    </w:p>
    <w:p w14:paraId="6D46E37B" w14:textId="043E09A5" w:rsidR="00123595" w:rsidRPr="006454B5" w:rsidRDefault="00123595" w:rsidP="00123595">
      <w:pPr>
        <w:spacing w:after="0" w:line="240" w:lineRule="auto"/>
        <w:rPr>
          <w:rFonts w:ascii="Arial" w:hAnsi="Arial" w:cs="Arial"/>
          <w:b/>
          <w:bCs/>
          <w:sz w:val="22"/>
        </w:rPr>
      </w:pPr>
      <w:r w:rsidRPr="006454B5">
        <w:rPr>
          <w:rFonts w:ascii="Arial" w:hAnsi="Arial" w:cs="Arial"/>
          <w:b/>
          <w:bCs/>
          <w:sz w:val="22"/>
        </w:rPr>
        <w:lastRenderedPageBreak/>
        <w:t>Table 1</w:t>
      </w:r>
    </w:p>
    <w:p w14:paraId="1A561EE1" w14:textId="77777777" w:rsidR="00123595" w:rsidRPr="006454B5" w:rsidRDefault="00123595" w:rsidP="00123595">
      <w:pPr>
        <w:spacing w:after="0" w:line="240" w:lineRule="auto"/>
        <w:rPr>
          <w:rFonts w:ascii="Arial" w:hAnsi="Arial" w:cs="Arial"/>
          <w:sz w:val="22"/>
        </w:rPr>
      </w:pPr>
    </w:p>
    <w:p w14:paraId="080F2E25" w14:textId="7B8C89C5" w:rsidR="00123595" w:rsidRPr="006454B5" w:rsidRDefault="00DA37D4" w:rsidP="00123595">
      <w:pPr>
        <w:spacing w:after="0" w:line="240" w:lineRule="auto"/>
        <w:rPr>
          <w:rFonts w:ascii="Arial" w:hAnsi="Arial" w:cs="Arial"/>
          <w:i/>
          <w:iCs/>
          <w:sz w:val="22"/>
        </w:rPr>
      </w:pPr>
      <w:r w:rsidRPr="006454B5">
        <w:rPr>
          <w:rFonts w:ascii="Arial" w:hAnsi="Arial" w:cs="Arial"/>
          <w:i/>
          <w:iCs/>
          <w:sz w:val="22"/>
        </w:rPr>
        <w:t>Frequencies and d</w:t>
      </w:r>
      <w:r w:rsidR="00123595" w:rsidRPr="006454B5">
        <w:rPr>
          <w:rFonts w:ascii="Arial" w:hAnsi="Arial" w:cs="Arial"/>
          <w:i/>
          <w:iCs/>
          <w:sz w:val="22"/>
        </w:rPr>
        <w:t>escriptive statistics for victim-related variables</w:t>
      </w:r>
      <w:r w:rsidR="00A0095C" w:rsidRPr="006454B5">
        <w:rPr>
          <w:rFonts w:ascii="Arial" w:hAnsi="Arial" w:cs="Arial"/>
          <w:i/>
          <w:iCs/>
          <w:sz w:val="22"/>
        </w:rPr>
        <w:t xml:space="preserve"> (n=446)</w:t>
      </w:r>
    </w:p>
    <w:p w14:paraId="4969EED9" w14:textId="77777777" w:rsidR="00123595" w:rsidRPr="006454B5" w:rsidRDefault="00123595" w:rsidP="00123595">
      <w:pPr>
        <w:spacing w:after="0" w:line="240" w:lineRule="auto"/>
        <w:rPr>
          <w:rFonts w:ascii="Arial" w:hAnsi="Arial" w:cs="Arial"/>
          <w:sz w:val="22"/>
        </w:rPr>
      </w:pPr>
    </w:p>
    <w:tbl>
      <w:tblPr>
        <w:tblStyle w:val="TableGrid"/>
        <w:tblW w:w="50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2594"/>
        <w:gridCol w:w="925"/>
        <w:gridCol w:w="2238"/>
        <w:gridCol w:w="956"/>
      </w:tblGrid>
      <w:tr w:rsidR="00123595" w:rsidRPr="006454B5" w14:paraId="7EB116AE" w14:textId="77777777" w:rsidTr="006454B5">
        <w:trPr>
          <w:trHeight w:val="20"/>
        </w:trPr>
        <w:tc>
          <w:tcPr>
            <w:tcW w:w="1341" w:type="pct"/>
            <w:tcBorders>
              <w:top w:val="single" w:sz="4" w:space="0" w:color="auto"/>
              <w:bottom w:val="single" w:sz="4" w:space="0" w:color="auto"/>
            </w:tcBorders>
            <w:vAlign w:val="center"/>
          </w:tcPr>
          <w:p w14:paraId="7FFCD784" w14:textId="77777777" w:rsidR="00123595" w:rsidRPr="006454B5" w:rsidRDefault="00123595" w:rsidP="00123595">
            <w:pPr>
              <w:spacing w:after="0" w:line="240" w:lineRule="auto"/>
              <w:rPr>
                <w:rFonts w:ascii="Arial" w:hAnsi="Arial" w:cs="Arial"/>
                <w:bCs/>
                <w:szCs w:val="20"/>
              </w:rPr>
            </w:pPr>
            <w:r w:rsidRPr="006454B5">
              <w:rPr>
                <w:rFonts w:ascii="Arial" w:hAnsi="Arial" w:cs="Arial"/>
                <w:bCs/>
                <w:szCs w:val="20"/>
              </w:rPr>
              <w:t>Variable</w:t>
            </w:r>
          </w:p>
        </w:tc>
        <w:tc>
          <w:tcPr>
            <w:tcW w:w="1414" w:type="pct"/>
            <w:tcBorders>
              <w:top w:val="single" w:sz="4" w:space="0" w:color="auto"/>
              <w:bottom w:val="single" w:sz="4" w:space="0" w:color="auto"/>
            </w:tcBorders>
          </w:tcPr>
          <w:p w14:paraId="21E4D73E" w14:textId="77777777" w:rsidR="00123595" w:rsidRPr="006454B5" w:rsidRDefault="00123595" w:rsidP="00123595">
            <w:pPr>
              <w:spacing w:after="0" w:line="240" w:lineRule="auto"/>
              <w:jc w:val="center"/>
              <w:rPr>
                <w:rFonts w:ascii="Arial" w:hAnsi="Arial" w:cs="Arial"/>
                <w:bCs/>
                <w:szCs w:val="20"/>
              </w:rPr>
            </w:pPr>
          </w:p>
        </w:tc>
        <w:tc>
          <w:tcPr>
            <w:tcW w:w="504" w:type="pct"/>
            <w:tcBorders>
              <w:top w:val="single" w:sz="4" w:space="0" w:color="auto"/>
              <w:bottom w:val="single" w:sz="4" w:space="0" w:color="auto"/>
            </w:tcBorders>
            <w:vAlign w:val="center"/>
          </w:tcPr>
          <w:p w14:paraId="63223BC4" w14:textId="77777777" w:rsidR="00123595" w:rsidRPr="006454B5" w:rsidRDefault="00123595" w:rsidP="00123595">
            <w:pPr>
              <w:spacing w:after="0" w:line="240" w:lineRule="auto"/>
              <w:jc w:val="center"/>
              <w:rPr>
                <w:rFonts w:ascii="Arial" w:hAnsi="Arial" w:cs="Arial"/>
                <w:bCs/>
                <w:szCs w:val="20"/>
              </w:rPr>
            </w:pPr>
            <w:r w:rsidRPr="006454B5">
              <w:rPr>
                <w:rFonts w:ascii="Arial" w:hAnsi="Arial" w:cs="Arial"/>
                <w:bCs/>
                <w:szCs w:val="20"/>
              </w:rPr>
              <w:t>N</w:t>
            </w:r>
          </w:p>
        </w:tc>
        <w:tc>
          <w:tcPr>
            <w:tcW w:w="1220" w:type="pct"/>
            <w:tcBorders>
              <w:top w:val="single" w:sz="4" w:space="0" w:color="auto"/>
              <w:bottom w:val="single" w:sz="4" w:space="0" w:color="auto"/>
            </w:tcBorders>
            <w:vAlign w:val="center"/>
          </w:tcPr>
          <w:p w14:paraId="335BAAAA" w14:textId="77777777" w:rsidR="00123595" w:rsidRPr="006454B5" w:rsidRDefault="00123595" w:rsidP="00123595">
            <w:pPr>
              <w:spacing w:after="0" w:line="240" w:lineRule="auto"/>
              <w:jc w:val="center"/>
              <w:rPr>
                <w:rFonts w:ascii="Arial" w:hAnsi="Arial" w:cs="Arial"/>
                <w:bCs/>
                <w:szCs w:val="20"/>
              </w:rPr>
            </w:pPr>
            <w:r w:rsidRPr="006454B5">
              <w:rPr>
                <w:rFonts w:ascii="Arial" w:hAnsi="Arial" w:cs="Arial"/>
                <w:bCs/>
                <w:szCs w:val="20"/>
              </w:rPr>
              <w:t>% of sample</w:t>
            </w:r>
          </w:p>
        </w:tc>
        <w:tc>
          <w:tcPr>
            <w:tcW w:w="521" w:type="pct"/>
            <w:tcBorders>
              <w:top w:val="single" w:sz="4" w:space="0" w:color="auto"/>
              <w:bottom w:val="single" w:sz="4" w:space="0" w:color="auto"/>
            </w:tcBorders>
          </w:tcPr>
          <w:p w14:paraId="5EAF1B24" w14:textId="77777777" w:rsidR="00123595" w:rsidRPr="006454B5" w:rsidRDefault="00123595" w:rsidP="00123595">
            <w:pPr>
              <w:spacing w:after="0" w:line="240" w:lineRule="auto"/>
              <w:jc w:val="center"/>
              <w:rPr>
                <w:rFonts w:ascii="Arial" w:hAnsi="Arial" w:cs="Arial"/>
                <w:bCs/>
                <w:szCs w:val="20"/>
              </w:rPr>
            </w:pPr>
            <w:r w:rsidRPr="006454B5">
              <w:rPr>
                <w:rFonts w:ascii="Arial" w:hAnsi="Arial" w:cs="Arial"/>
                <w:bCs/>
                <w:szCs w:val="20"/>
              </w:rPr>
              <w:t>Missing data</w:t>
            </w:r>
          </w:p>
        </w:tc>
      </w:tr>
      <w:tr w:rsidR="00123595" w:rsidRPr="006454B5" w14:paraId="65A25EAB" w14:textId="77777777" w:rsidTr="006454B5">
        <w:trPr>
          <w:trHeight w:val="20"/>
        </w:trPr>
        <w:tc>
          <w:tcPr>
            <w:tcW w:w="5000" w:type="pct"/>
            <w:gridSpan w:val="5"/>
            <w:vAlign w:val="center"/>
          </w:tcPr>
          <w:p w14:paraId="6AC012E9" w14:textId="77777777" w:rsidR="00123595" w:rsidRPr="006454B5" w:rsidRDefault="00123595" w:rsidP="00123595">
            <w:pPr>
              <w:spacing w:after="0" w:line="240" w:lineRule="auto"/>
              <w:rPr>
                <w:rFonts w:ascii="Arial" w:hAnsi="Arial" w:cs="Arial"/>
                <w:szCs w:val="20"/>
                <w:u w:val="single"/>
              </w:rPr>
            </w:pPr>
            <w:r w:rsidRPr="006454B5">
              <w:rPr>
                <w:rFonts w:ascii="Arial" w:hAnsi="Arial" w:cs="Arial"/>
                <w:i/>
                <w:iCs/>
                <w:szCs w:val="20"/>
                <w:u w:val="single"/>
              </w:rPr>
              <w:t>Victim Demographics</w:t>
            </w:r>
          </w:p>
        </w:tc>
      </w:tr>
      <w:tr w:rsidR="00123595" w:rsidRPr="006454B5" w14:paraId="10D22199" w14:textId="77777777" w:rsidTr="006454B5">
        <w:trPr>
          <w:trHeight w:val="20"/>
        </w:trPr>
        <w:tc>
          <w:tcPr>
            <w:tcW w:w="1341" w:type="pct"/>
            <w:vAlign w:val="center"/>
          </w:tcPr>
          <w:p w14:paraId="2116A0C9" w14:textId="77777777" w:rsidR="00123595" w:rsidRPr="006454B5" w:rsidRDefault="00123595" w:rsidP="00123595">
            <w:pPr>
              <w:spacing w:after="0" w:line="240" w:lineRule="auto"/>
              <w:rPr>
                <w:rFonts w:ascii="Arial" w:hAnsi="Arial" w:cs="Arial"/>
                <w:szCs w:val="20"/>
              </w:rPr>
            </w:pPr>
            <w:r w:rsidRPr="006454B5">
              <w:rPr>
                <w:rFonts w:ascii="Arial" w:hAnsi="Arial" w:cs="Arial"/>
                <w:szCs w:val="20"/>
              </w:rPr>
              <w:t>Age</w:t>
            </w:r>
          </w:p>
        </w:tc>
        <w:tc>
          <w:tcPr>
            <w:tcW w:w="1414" w:type="pct"/>
            <w:vAlign w:val="center"/>
          </w:tcPr>
          <w:p w14:paraId="7C23109D" w14:textId="77777777" w:rsidR="00123595" w:rsidRPr="006454B5" w:rsidRDefault="00123595" w:rsidP="00123595">
            <w:pPr>
              <w:spacing w:after="0" w:line="240" w:lineRule="auto"/>
              <w:jc w:val="center"/>
              <w:rPr>
                <w:rFonts w:ascii="Arial" w:hAnsi="Arial" w:cs="Arial"/>
                <w:i/>
                <w:szCs w:val="20"/>
              </w:rPr>
            </w:pPr>
            <w:r w:rsidRPr="006454B5">
              <w:rPr>
                <w:rFonts w:ascii="Arial" w:hAnsi="Arial" w:cs="Arial"/>
                <w:szCs w:val="20"/>
              </w:rPr>
              <w:t>Age at offence</w:t>
            </w:r>
          </w:p>
        </w:tc>
        <w:tc>
          <w:tcPr>
            <w:tcW w:w="1724" w:type="pct"/>
            <w:gridSpan w:val="2"/>
            <w:vAlign w:val="center"/>
          </w:tcPr>
          <w:p w14:paraId="68414FD1"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i/>
                <w:szCs w:val="20"/>
              </w:rPr>
              <w:t>M</w:t>
            </w:r>
            <w:r w:rsidRPr="006454B5">
              <w:rPr>
                <w:rFonts w:ascii="Arial" w:hAnsi="Arial" w:cs="Arial"/>
                <w:szCs w:val="20"/>
              </w:rPr>
              <w:t xml:space="preserve">=26.0, </w:t>
            </w:r>
            <w:r w:rsidRPr="006454B5">
              <w:rPr>
                <w:rFonts w:ascii="Arial" w:hAnsi="Arial" w:cs="Arial"/>
                <w:i/>
                <w:szCs w:val="20"/>
              </w:rPr>
              <w:t>SD</w:t>
            </w:r>
            <w:r w:rsidRPr="006454B5">
              <w:rPr>
                <w:rFonts w:ascii="Arial" w:hAnsi="Arial" w:cs="Arial"/>
                <w:szCs w:val="20"/>
              </w:rPr>
              <w:t>=13.3 (range 2-90)</w:t>
            </w:r>
          </w:p>
        </w:tc>
        <w:tc>
          <w:tcPr>
            <w:tcW w:w="521" w:type="pct"/>
            <w:vAlign w:val="center"/>
          </w:tcPr>
          <w:p w14:paraId="2C9FFDA3"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4</w:t>
            </w:r>
          </w:p>
        </w:tc>
      </w:tr>
      <w:tr w:rsidR="00246D5C" w:rsidRPr="006454B5" w14:paraId="296058F9" w14:textId="77777777" w:rsidTr="006454B5">
        <w:trPr>
          <w:trHeight w:val="20"/>
        </w:trPr>
        <w:tc>
          <w:tcPr>
            <w:tcW w:w="1341" w:type="pct"/>
            <w:vAlign w:val="center"/>
          </w:tcPr>
          <w:p w14:paraId="4A328820" w14:textId="77777777" w:rsidR="00246D5C" w:rsidRPr="006454B5" w:rsidRDefault="00246D5C" w:rsidP="00123595">
            <w:pPr>
              <w:spacing w:after="0" w:line="240" w:lineRule="auto"/>
              <w:rPr>
                <w:rFonts w:ascii="Arial" w:hAnsi="Arial" w:cs="Arial"/>
                <w:szCs w:val="20"/>
              </w:rPr>
            </w:pPr>
          </w:p>
        </w:tc>
        <w:tc>
          <w:tcPr>
            <w:tcW w:w="1414" w:type="pct"/>
            <w:vAlign w:val="center"/>
          </w:tcPr>
          <w:p w14:paraId="0F9D1423" w14:textId="4151C3A0" w:rsidR="00246D5C" w:rsidRPr="006454B5" w:rsidRDefault="00CB238E" w:rsidP="00123595">
            <w:pPr>
              <w:spacing w:after="0" w:line="240" w:lineRule="auto"/>
              <w:jc w:val="center"/>
              <w:rPr>
                <w:rFonts w:ascii="Arial" w:hAnsi="Arial" w:cs="Arial"/>
                <w:szCs w:val="20"/>
              </w:rPr>
            </w:pPr>
            <w:r w:rsidRPr="006454B5">
              <w:rPr>
                <w:rFonts w:ascii="Arial" w:hAnsi="Arial" w:cs="Arial"/>
                <w:szCs w:val="20"/>
              </w:rPr>
              <w:t>Under 16 subgroup</w:t>
            </w:r>
          </w:p>
        </w:tc>
        <w:tc>
          <w:tcPr>
            <w:tcW w:w="1724" w:type="pct"/>
            <w:gridSpan w:val="2"/>
            <w:vAlign w:val="center"/>
          </w:tcPr>
          <w:p w14:paraId="181A3465" w14:textId="0A2FC7E5" w:rsidR="00246D5C" w:rsidRPr="006454B5" w:rsidRDefault="00CB238E" w:rsidP="006454B5">
            <w:pPr>
              <w:spacing w:after="0" w:line="240" w:lineRule="auto"/>
              <w:rPr>
                <w:rFonts w:ascii="Arial" w:hAnsi="Arial" w:cs="Arial"/>
                <w:iCs/>
                <w:szCs w:val="20"/>
              </w:rPr>
            </w:pPr>
            <w:r w:rsidRPr="006454B5">
              <w:rPr>
                <w:rFonts w:ascii="Arial" w:hAnsi="Arial" w:cs="Arial"/>
                <w:i/>
                <w:szCs w:val="20"/>
              </w:rPr>
              <w:t xml:space="preserve">  </w:t>
            </w:r>
            <w:r w:rsidR="00246D5C" w:rsidRPr="006454B5">
              <w:rPr>
                <w:rFonts w:ascii="Arial" w:hAnsi="Arial" w:cs="Arial"/>
                <w:i/>
                <w:szCs w:val="20"/>
              </w:rPr>
              <w:t>M=</w:t>
            </w:r>
            <w:r w:rsidRPr="006454B5">
              <w:rPr>
                <w:rFonts w:ascii="Arial" w:hAnsi="Arial" w:cs="Arial"/>
                <w:iCs/>
                <w:szCs w:val="20"/>
              </w:rPr>
              <w:t>11.4</w:t>
            </w:r>
            <w:r w:rsidR="00246D5C" w:rsidRPr="006454B5">
              <w:rPr>
                <w:rFonts w:ascii="Arial" w:hAnsi="Arial" w:cs="Arial"/>
                <w:iCs/>
                <w:szCs w:val="20"/>
              </w:rPr>
              <w:t xml:space="preserve">, </w:t>
            </w:r>
            <w:r w:rsidR="00246D5C" w:rsidRPr="006454B5">
              <w:rPr>
                <w:rFonts w:ascii="Arial" w:hAnsi="Arial" w:cs="Arial"/>
                <w:i/>
                <w:szCs w:val="20"/>
              </w:rPr>
              <w:t>SD=</w:t>
            </w:r>
            <w:r w:rsidRPr="006454B5">
              <w:rPr>
                <w:rFonts w:ascii="Arial" w:hAnsi="Arial" w:cs="Arial"/>
                <w:iCs/>
                <w:szCs w:val="20"/>
              </w:rPr>
              <w:t>3.5</w:t>
            </w:r>
            <w:r w:rsidR="00246D5C" w:rsidRPr="006454B5">
              <w:rPr>
                <w:rFonts w:ascii="Arial" w:hAnsi="Arial" w:cs="Arial"/>
                <w:iCs/>
                <w:szCs w:val="20"/>
              </w:rPr>
              <w:t xml:space="preserve"> (range 2-15)</w:t>
            </w:r>
          </w:p>
        </w:tc>
        <w:tc>
          <w:tcPr>
            <w:tcW w:w="521" w:type="pct"/>
            <w:vAlign w:val="center"/>
          </w:tcPr>
          <w:p w14:paraId="4058CA94" w14:textId="77777777" w:rsidR="00246D5C" w:rsidRPr="006454B5" w:rsidRDefault="00246D5C" w:rsidP="00123595">
            <w:pPr>
              <w:spacing w:after="0" w:line="240" w:lineRule="auto"/>
              <w:jc w:val="center"/>
              <w:rPr>
                <w:rFonts w:ascii="Arial" w:hAnsi="Arial" w:cs="Arial"/>
                <w:szCs w:val="20"/>
              </w:rPr>
            </w:pPr>
          </w:p>
        </w:tc>
      </w:tr>
      <w:tr w:rsidR="00123595" w:rsidRPr="006454B5" w14:paraId="6C063BCD" w14:textId="77777777" w:rsidTr="006454B5">
        <w:trPr>
          <w:trHeight w:val="20"/>
        </w:trPr>
        <w:tc>
          <w:tcPr>
            <w:tcW w:w="1341" w:type="pct"/>
            <w:vAlign w:val="center"/>
          </w:tcPr>
          <w:p w14:paraId="685F93B7" w14:textId="77777777" w:rsidR="00123595" w:rsidRPr="006454B5" w:rsidRDefault="00123595" w:rsidP="00123595">
            <w:pPr>
              <w:spacing w:after="0" w:line="240" w:lineRule="auto"/>
              <w:rPr>
                <w:rFonts w:ascii="Arial" w:hAnsi="Arial" w:cs="Arial"/>
                <w:color w:val="000000"/>
                <w:szCs w:val="20"/>
              </w:rPr>
            </w:pPr>
          </w:p>
        </w:tc>
        <w:tc>
          <w:tcPr>
            <w:tcW w:w="1414" w:type="pct"/>
            <w:vAlign w:val="center"/>
          </w:tcPr>
          <w:p w14:paraId="35B2C8F8"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color w:val="000000"/>
                <w:szCs w:val="20"/>
              </w:rPr>
              <w:t>Under 16 at offence</w:t>
            </w:r>
          </w:p>
        </w:tc>
        <w:tc>
          <w:tcPr>
            <w:tcW w:w="504" w:type="pct"/>
            <w:vAlign w:val="center"/>
          </w:tcPr>
          <w:p w14:paraId="26D4A4BE"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101</w:t>
            </w:r>
          </w:p>
        </w:tc>
        <w:tc>
          <w:tcPr>
            <w:tcW w:w="1220" w:type="pct"/>
            <w:vAlign w:val="center"/>
          </w:tcPr>
          <w:p w14:paraId="46C0CDE9"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22.9</w:t>
            </w:r>
          </w:p>
        </w:tc>
        <w:tc>
          <w:tcPr>
            <w:tcW w:w="521" w:type="pct"/>
            <w:vAlign w:val="center"/>
          </w:tcPr>
          <w:p w14:paraId="6DA84905"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4</w:t>
            </w:r>
          </w:p>
        </w:tc>
      </w:tr>
      <w:tr w:rsidR="00123595" w:rsidRPr="006454B5" w14:paraId="0BC55A1C" w14:textId="77777777" w:rsidTr="006454B5">
        <w:trPr>
          <w:trHeight w:val="20"/>
        </w:trPr>
        <w:tc>
          <w:tcPr>
            <w:tcW w:w="1341" w:type="pct"/>
            <w:vAlign w:val="center"/>
          </w:tcPr>
          <w:p w14:paraId="46311265" w14:textId="77777777" w:rsidR="00123595" w:rsidRPr="006454B5" w:rsidRDefault="00123595" w:rsidP="00123595">
            <w:pPr>
              <w:spacing w:after="0" w:line="240" w:lineRule="auto"/>
              <w:rPr>
                <w:rFonts w:ascii="Arial" w:hAnsi="Arial" w:cs="Arial"/>
                <w:color w:val="000000"/>
                <w:szCs w:val="20"/>
              </w:rPr>
            </w:pPr>
          </w:p>
        </w:tc>
        <w:tc>
          <w:tcPr>
            <w:tcW w:w="1414" w:type="pct"/>
            <w:vAlign w:val="center"/>
          </w:tcPr>
          <w:p w14:paraId="639B8E52" w14:textId="77777777" w:rsidR="00123595" w:rsidRPr="006454B5" w:rsidRDefault="00123595" w:rsidP="00123595">
            <w:pPr>
              <w:spacing w:after="0" w:line="240" w:lineRule="auto"/>
              <w:jc w:val="center"/>
              <w:rPr>
                <w:rFonts w:ascii="Arial" w:hAnsi="Arial" w:cs="Arial"/>
                <w:color w:val="000000"/>
                <w:szCs w:val="20"/>
              </w:rPr>
            </w:pPr>
            <w:r w:rsidRPr="006454B5">
              <w:rPr>
                <w:rFonts w:ascii="Arial" w:hAnsi="Arial" w:cs="Arial"/>
                <w:color w:val="000000"/>
                <w:szCs w:val="20"/>
              </w:rPr>
              <w:t>Under 13 at offence</w:t>
            </w:r>
          </w:p>
        </w:tc>
        <w:tc>
          <w:tcPr>
            <w:tcW w:w="504" w:type="pct"/>
            <w:vAlign w:val="center"/>
          </w:tcPr>
          <w:p w14:paraId="61AFD3A0"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48</w:t>
            </w:r>
          </w:p>
        </w:tc>
        <w:tc>
          <w:tcPr>
            <w:tcW w:w="1220" w:type="pct"/>
            <w:vAlign w:val="center"/>
          </w:tcPr>
          <w:p w14:paraId="31569A49"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10.9</w:t>
            </w:r>
          </w:p>
        </w:tc>
        <w:tc>
          <w:tcPr>
            <w:tcW w:w="521" w:type="pct"/>
            <w:vAlign w:val="center"/>
          </w:tcPr>
          <w:p w14:paraId="6269B158"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4</w:t>
            </w:r>
          </w:p>
        </w:tc>
      </w:tr>
      <w:tr w:rsidR="00123595" w:rsidRPr="006454B5" w14:paraId="3012D687" w14:textId="77777777" w:rsidTr="006454B5">
        <w:trPr>
          <w:trHeight w:val="20"/>
        </w:trPr>
        <w:tc>
          <w:tcPr>
            <w:tcW w:w="1341" w:type="pct"/>
            <w:vAlign w:val="center"/>
          </w:tcPr>
          <w:p w14:paraId="2D1E8F2F" w14:textId="77777777" w:rsidR="00123595" w:rsidRPr="006454B5" w:rsidRDefault="00123595" w:rsidP="00123595">
            <w:pPr>
              <w:spacing w:after="0" w:line="240" w:lineRule="auto"/>
              <w:rPr>
                <w:rFonts w:ascii="Arial" w:hAnsi="Arial" w:cs="Arial"/>
                <w:color w:val="000000"/>
                <w:szCs w:val="20"/>
              </w:rPr>
            </w:pPr>
          </w:p>
        </w:tc>
        <w:tc>
          <w:tcPr>
            <w:tcW w:w="1414" w:type="pct"/>
            <w:vAlign w:val="center"/>
          </w:tcPr>
          <w:p w14:paraId="0867BB98" w14:textId="77777777" w:rsidR="00123595" w:rsidRPr="006454B5" w:rsidRDefault="00123595" w:rsidP="00123595">
            <w:pPr>
              <w:spacing w:after="0" w:line="240" w:lineRule="auto"/>
              <w:jc w:val="center"/>
              <w:rPr>
                <w:rFonts w:ascii="Arial" w:hAnsi="Arial" w:cs="Arial"/>
                <w:i/>
                <w:szCs w:val="20"/>
              </w:rPr>
            </w:pPr>
            <w:r w:rsidRPr="006454B5">
              <w:rPr>
                <w:rFonts w:ascii="Arial" w:hAnsi="Arial" w:cs="Arial"/>
                <w:color w:val="000000"/>
                <w:szCs w:val="20"/>
              </w:rPr>
              <w:t>Age at reporting</w:t>
            </w:r>
          </w:p>
        </w:tc>
        <w:tc>
          <w:tcPr>
            <w:tcW w:w="1724" w:type="pct"/>
            <w:gridSpan w:val="2"/>
            <w:vAlign w:val="center"/>
          </w:tcPr>
          <w:p w14:paraId="0E946E91"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i/>
                <w:szCs w:val="20"/>
              </w:rPr>
              <w:t>M</w:t>
            </w:r>
            <w:r w:rsidRPr="006454B5">
              <w:rPr>
                <w:rFonts w:ascii="Arial" w:hAnsi="Arial" w:cs="Arial"/>
                <w:szCs w:val="20"/>
              </w:rPr>
              <w:t xml:space="preserve">=29.1, </w:t>
            </w:r>
            <w:r w:rsidRPr="006454B5">
              <w:rPr>
                <w:rFonts w:ascii="Arial" w:hAnsi="Arial" w:cs="Arial"/>
                <w:i/>
                <w:szCs w:val="20"/>
              </w:rPr>
              <w:t>SD</w:t>
            </w:r>
            <w:r w:rsidRPr="006454B5">
              <w:rPr>
                <w:rFonts w:ascii="Arial" w:hAnsi="Arial" w:cs="Arial"/>
                <w:szCs w:val="20"/>
              </w:rPr>
              <w:t>=13.6 (range 2-90)</w:t>
            </w:r>
          </w:p>
        </w:tc>
        <w:tc>
          <w:tcPr>
            <w:tcW w:w="521" w:type="pct"/>
            <w:vAlign w:val="center"/>
          </w:tcPr>
          <w:p w14:paraId="6F627AED"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3</w:t>
            </w:r>
          </w:p>
        </w:tc>
      </w:tr>
      <w:tr w:rsidR="00123595" w:rsidRPr="006454B5" w14:paraId="5FD44C0A" w14:textId="77777777" w:rsidTr="006454B5">
        <w:trPr>
          <w:trHeight w:val="20"/>
        </w:trPr>
        <w:tc>
          <w:tcPr>
            <w:tcW w:w="1341" w:type="pct"/>
            <w:vAlign w:val="center"/>
          </w:tcPr>
          <w:p w14:paraId="5DBCB968" w14:textId="77777777" w:rsidR="00123595" w:rsidRPr="006454B5" w:rsidRDefault="00123595" w:rsidP="00123595">
            <w:pPr>
              <w:spacing w:after="0" w:line="240" w:lineRule="auto"/>
              <w:rPr>
                <w:rFonts w:ascii="Arial" w:hAnsi="Arial" w:cs="Arial"/>
                <w:szCs w:val="20"/>
              </w:rPr>
            </w:pPr>
            <w:r w:rsidRPr="006454B5">
              <w:rPr>
                <w:rFonts w:ascii="Arial" w:hAnsi="Arial" w:cs="Arial"/>
                <w:color w:val="000000"/>
                <w:szCs w:val="20"/>
              </w:rPr>
              <w:t>Ethnicity</w:t>
            </w:r>
          </w:p>
        </w:tc>
        <w:tc>
          <w:tcPr>
            <w:tcW w:w="1414" w:type="pct"/>
            <w:vAlign w:val="center"/>
          </w:tcPr>
          <w:p w14:paraId="2C21A5BF" w14:textId="77777777" w:rsidR="00123595" w:rsidRPr="006454B5" w:rsidRDefault="00123595" w:rsidP="00123595">
            <w:pPr>
              <w:spacing w:after="0" w:line="240" w:lineRule="auto"/>
              <w:jc w:val="center"/>
              <w:rPr>
                <w:rFonts w:ascii="Arial" w:hAnsi="Arial" w:cs="Arial"/>
                <w:color w:val="000000"/>
                <w:szCs w:val="20"/>
              </w:rPr>
            </w:pPr>
            <w:r w:rsidRPr="006454B5">
              <w:rPr>
                <w:rFonts w:ascii="Arial" w:hAnsi="Arial" w:cs="Arial"/>
                <w:color w:val="000000"/>
                <w:szCs w:val="20"/>
              </w:rPr>
              <w:t>White</w:t>
            </w:r>
          </w:p>
        </w:tc>
        <w:tc>
          <w:tcPr>
            <w:tcW w:w="504" w:type="pct"/>
            <w:vAlign w:val="center"/>
          </w:tcPr>
          <w:p w14:paraId="21E0577F"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226</w:t>
            </w:r>
          </w:p>
        </w:tc>
        <w:tc>
          <w:tcPr>
            <w:tcW w:w="1220" w:type="pct"/>
            <w:vAlign w:val="center"/>
          </w:tcPr>
          <w:p w14:paraId="36896513"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54.9</w:t>
            </w:r>
          </w:p>
        </w:tc>
        <w:tc>
          <w:tcPr>
            <w:tcW w:w="521" w:type="pct"/>
            <w:vAlign w:val="center"/>
          </w:tcPr>
          <w:p w14:paraId="4FF75DBF"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34</w:t>
            </w:r>
          </w:p>
        </w:tc>
      </w:tr>
      <w:tr w:rsidR="00123595" w:rsidRPr="006454B5" w14:paraId="191CF439" w14:textId="77777777" w:rsidTr="006454B5">
        <w:trPr>
          <w:trHeight w:val="20"/>
        </w:trPr>
        <w:tc>
          <w:tcPr>
            <w:tcW w:w="1341" w:type="pct"/>
            <w:vAlign w:val="center"/>
          </w:tcPr>
          <w:p w14:paraId="6E760BCC" w14:textId="77777777" w:rsidR="00123595" w:rsidRPr="006454B5" w:rsidRDefault="00123595" w:rsidP="00123595">
            <w:pPr>
              <w:spacing w:after="0" w:line="240" w:lineRule="auto"/>
              <w:rPr>
                <w:rFonts w:ascii="Arial" w:hAnsi="Arial" w:cs="Arial"/>
                <w:szCs w:val="20"/>
              </w:rPr>
            </w:pPr>
          </w:p>
        </w:tc>
        <w:tc>
          <w:tcPr>
            <w:tcW w:w="1414" w:type="pct"/>
            <w:vAlign w:val="center"/>
          </w:tcPr>
          <w:p w14:paraId="41AF8E17"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color w:val="000000"/>
                <w:szCs w:val="20"/>
              </w:rPr>
              <w:t>Black</w:t>
            </w:r>
          </w:p>
        </w:tc>
        <w:tc>
          <w:tcPr>
            <w:tcW w:w="504" w:type="pct"/>
            <w:vAlign w:val="center"/>
          </w:tcPr>
          <w:p w14:paraId="06EAE14D"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94</w:t>
            </w:r>
          </w:p>
        </w:tc>
        <w:tc>
          <w:tcPr>
            <w:tcW w:w="1220" w:type="pct"/>
            <w:vAlign w:val="center"/>
          </w:tcPr>
          <w:p w14:paraId="7BD1EB62"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22.8</w:t>
            </w:r>
          </w:p>
        </w:tc>
        <w:tc>
          <w:tcPr>
            <w:tcW w:w="521" w:type="pct"/>
            <w:vAlign w:val="center"/>
          </w:tcPr>
          <w:p w14:paraId="3F401972"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34</w:t>
            </w:r>
          </w:p>
        </w:tc>
      </w:tr>
      <w:tr w:rsidR="00123595" w:rsidRPr="006454B5" w14:paraId="5189A18A" w14:textId="77777777" w:rsidTr="006454B5">
        <w:trPr>
          <w:trHeight w:val="20"/>
        </w:trPr>
        <w:tc>
          <w:tcPr>
            <w:tcW w:w="1341" w:type="pct"/>
            <w:vAlign w:val="center"/>
          </w:tcPr>
          <w:p w14:paraId="06D1DEF7" w14:textId="77777777" w:rsidR="00123595" w:rsidRPr="006454B5" w:rsidRDefault="00123595" w:rsidP="00123595">
            <w:pPr>
              <w:spacing w:after="0" w:line="240" w:lineRule="auto"/>
              <w:rPr>
                <w:rFonts w:ascii="Arial" w:hAnsi="Arial" w:cs="Arial"/>
                <w:szCs w:val="20"/>
              </w:rPr>
            </w:pPr>
          </w:p>
        </w:tc>
        <w:tc>
          <w:tcPr>
            <w:tcW w:w="1414" w:type="pct"/>
            <w:vAlign w:val="center"/>
          </w:tcPr>
          <w:p w14:paraId="3C635C4F"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color w:val="000000"/>
                <w:szCs w:val="20"/>
              </w:rPr>
              <w:t>Asian</w:t>
            </w:r>
          </w:p>
        </w:tc>
        <w:tc>
          <w:tcPr>
            <w:tcW w:w="504" w:type="pct"/>
            <w:vAlign w:val="center"/>
          </w:tcPr>
          <w:p w14:paraId="4AD90D7A"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72</w:t>
            </w:r>
          </w:p>
        </w:tc>
        <w:tc>
          <w:tcPr>
            <w:tcW w:w="1220" w:type="pct"/>
            <w:vAlign w:val="center"/>
          </w:tcPr>
          <w:p w14:paraId="03E6E5CE"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17.5</w:t>
            </w:r>
          </w:p>
        </w:tc>
        <w:tc>
          <w:tcPr>
            <w:tcW w:w="521" w:type="pct"/>
            <w:vAlign w:val="center"/>
          </w:tcPr>
          <w:p w14:paraId="4C0AB334"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34</w:t>
            </w:r>
          </w:p>
        </w:tc>
      </w:tr>
      <w:tr w:rsidR="00123595" w:rsidRPr="006454B5" w14:paraId="56EDA8A6" w14:textId="77777777" w:rsidTr="006454B5">
        <w:trPr>
          <w:trHeight w:val="20"/>
        </w:trPr>
        <w:tc>
          <w:tcPr>
            <w:tcW w:w="1341" w:type="pct"/>
            <w:vAlign w:val="center"/>
          </w:tcPr>
          <w:p w14:paraId="28070832" w14:textId="77777777" w:rsidR="00123595" w:rsidRPr="006454B5" w:rsidRDefault="00123595" w:rsidP="00123595">
            <w:pPr>
              <w:spacing w:after="0" w:line="240" w:lineRule="auto"/>
              <w:rPr>
                <w:rFonts w:ascii="Arial" w:hAnsi="Arial" w:cs="Arial"/>
                <w:szCs w:val="20"/>
              </w:rPr>
            </w:pPr>
          </w:p>
        </w:tc>
        <w:tc>
          <w:tcPr>
            <w:tcW w:w="1414" w:type="pct"/>
            <w:vAlign w:val="center"/>
          </w:tcPr>
          <w:p w14:paraId="30D23092"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color w:val="000000"/>
                <w:szCs w:val="20"/>
              </w:rPr>
              <w:t>Other</w:t>
            </w:r>
          </w:p>
        </w:tc>
        <w:tc>
          <w:tcPr>
            <w:tcW w:w="504" w:type="pct"/>
            <w:vAlign w:val="center"/>
          </w:tcPr>
          <w:p w14:paraId="0A9E12AE"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20</w:t>
            </w:r>
          </w:p>
        </w:tc>
        <w:tc>
          <w:tcPr>
            <w:tcW w:w="1220" w:type="pct"/>
            <w:vAlign w:val="center"/>
          </w:tcPr>
          <w:p w14:paraId="6D3F552E"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4.9</w:t>
            </w:r>
          </w:p>
        </w:tc>
        <w:tc>
          <w:tcPr>
            <w:tcW w:w="521" w:type="pct"/>
            <w:vAlign w:val="center"/>
          </w:tcPr>
          <w:p w14:paraId="31B3B9DA"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34</w:t>
            </w:r>
          </w:p>
        </w:tc>
      </w:tr>
      <w:tr w:rsidR="00123595" w:rsidRPr="006454B5" w14:paraId="22BB4C4F" w14:textId="77777777" w:rsidTr="006454B5">
        <w:trPr>
          <w:trHeight w:val="20"/>
        </w:trPr>
        <w:tc>
          <w:tcPr>
            <w:tcW w:w="5000" w:type="pct"/>
            <w:gridSpan w:val="5"/>
            <w:vAlign w:val="center"/>
          </w:tcPr>
          <w:p w14:paraId="766BDAF1" w14:textId="77777777" w:rsidR="00123595" w:rsidRPr="006454B5" w:rsidRDefault="00123595" w:rsidP="00123595">
            <w:pPr>
              <w:spacing w:after="0" w:line="240" w:lineRule="auto"/>
              <w:rPr>
                <w:rFonts w:ascii="Arial" w:hAnsi="Arial" w:cs="Arial"/>
                <w:szCs w:val="20"/>
                <w:u w:val="single"/>
              </w:rPr>
            </w:pPr>
            <w:r w:rsidRPr="006454B5">
              <w:rPr>
                <w:rFonts w:ascii="Arial" w:hAnsi="Arial" w:cs="Arial"/>
                <w:i/>
                <w:iCs/>
                <w:szCs w:val="20"/>
                <w:u w:val="single"/>
              </w:rPr>
              <w:t>Victim Needs or Vulnerabilities</w:t>
            </w:r>
          </w:p>
        </w:tc>
      </w:tr>
      <w:tr w:rsidR="00123595" w:rsidRPr="006454B5" w14:paraId="26E11DA3" w14:textId="77777777" w:rsidTr="006454B5">
        <w:trPr>
          <w:trHeight w:val="20"/>
        </w:trPr>
        <w:tc>
          <w:tcPr>
            <w:tcW w:w="1341" w:type="pct"/>
            <w:vMerge w:val="restart"/>
          </w:tcPr>
          <w:p w14:paraId="066B36D0" w14:textId="77777777" w:rsidR="00123595" w:rsidRPr="006454B5" w:rsidRDefault="00123595" w:rsidP="00123595">
            <w:pPr>
              <w:spacing w:after="0" w:line="240" w:lineRule="auto"/>
              <w:rPr>
                <w:rFonts w:ascii="Arial" w:hAnsi="Arial" w:cs="Arial"/>
                <w:szCs w:val="20"/>
              </w:rPr>
            </w:pPr>
            <w:r w:rsidRPr="006454B5">
              <w:rPr>
                <w:rFonts w:ascii="Arial" w:hAnsi="Arial" w:cs="Arial"/>
                <w:szCs w:val="20"/>
              </w:rPr>
              <w:t>Mental or physical health</w:t>
            </w:r>
          </w:p>
        </w:tc>
        <w:tc>
          <w:tcPr>
            <w:tcW w:w="1414" w:type="pct"/>
            <w:vAlign w:val="center"/>
          </w:tcPr>
          <w:p w14:paraId="5A22814F" w14:textId="177DAD5C" w:rsidR="00123595" w:rsidRPr="006454B5" w:rsidRDefault="00123595" w:rsidP="00123595">
            <w:pPr>
              <w:spacing w:after="0" w:line="240" w:lineRule="auto"/>
              <w:jc w:val="center"/>
              <w:rPr>
                <w:rFonts w:ascii="Arial" w:hAnsi="Arial" w:cs="Arial"/>
                <w:szCs w:val="20"/>
                <w:vertAlign w:val="superscript"/>
              </w:rPr>
            </w:pPr>
            <w:r w:rsidRPr="006454B5">
              <w:rPr>
                <w:rFonts w:ascii="Arial" w:hAnsi="Arial" w:cs="Arial"/>
                <w:szCs w:val="20"/>
              </w:rPr>
              <w:t xml:space="preserve">Vulnerable or </w:t>
            </w:r>
            <w:proofErr w:type="spellStart"/>
            <w:r w:rsidRPr="006454B5">
              <w:rPr>
                <w:rFonts w:ascii="Arial" w:hAnsi="Arial" w:cs="Arial"/>
                <w:szCs w:val="20"/>
              </w:rPr>
              <w:t>intimidated</w:t>
            </w:r>
            <w:r w:rsidR="00A4230F" w:rsidRPr="006454B5">
              <w:rPr>
                <w:rFonts w:ascii="Arial" w:hAnsi="Arial" w:cs="Arial"/>
                <w:szCs w:val="20"/>
                <w:vertAlign w:val="superscript"/>
              </w:rPr>
              <w:t>a</w:t>
            </w:r>
            <w:proofErr w:type="spellEnd"/>
          </w:p>
        </w:tc>
        <w:tc>
          <w:tcPr>
            <w:tcW w:w="504" w:type="pct"/>
            <w:vAlign w:val="center"/>
          </w:tcPr>
          <w:p w14:paraId="78C792EE"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258</w:t>
            </w:r>
          </w:p>
        </w:tc>
        <w:tc>
          <w:tcPr>
            <w:tcW w:w="1220" w:type="pct"/>
            <w:vAlign w:val="center"/>
          </w:tcPr>
          <w:p w14:paraId="1B5CAF7F"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57.8</w:t>
            </w:r>
          </w:p>
        </w:tc>
        <w:tc>
          <w:tcPr>
            <w:tcW w:w="521" w:type="pct"/>
            <w:vAlign w:val="center"/>
          </w:tcPr>
          <w:p w14:paraId="4DC55881"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45F73D22" w14:textId="77777777" w:rsidTr="006454B5">
        <w:trPr>
          <w:trHeight w:val="20"/>
        </w:trPr>
        <w:tc>
          <w:tcPr>
            <w:tcW w:w="1341" w:type="pct"/>
            <w:vMerge/>
            <w:vAlign w:val="center"/>
          </w:tcPr>
          <w:p w14:paraId="253AC8B6" w14:textId="77777777" w:rsidR="00123595" w:rsidRPr="006454B5" w:rsidRDefault="00123595" w:rsidP="00123595">
            <w:pPr>
              <w:spacing w:after="0" w:line="240" w:lineRule="auto"/>
              <w:rPr>
                <w:rFonts w:ascii="Arial" w:hAnsi="Arial" w:cs="Arial"/>
                <w:szCs w:val="20"/>
              </w:rPr>
            </w:pPr>
          </w:p>
        </w:tc>
        <w:tc>
          <w:tcPr>
            <w:tcW w:w="1414" w:type="pct"/>
            <w:vAlign w:val="center"/>
          </w:tcPr>
          <w:p w14:paraId="5B32C76E" w14:textId="440F7EAC" w:rsidR="00123595" w:rsidRPr="006454B5" w:rsidRDefault="00123595" w:rsidP="00123595">
            <w:pPr>
              <w:spacing w:after="0" w:line="240" w:lineRule="auto"/>
              <w:jc w:val="center"/>
              <w:rPr>
                <w:rFonts w:ascii="Arial" w:hAnsi="Arial" w:cs="Arial"/>
                <w:szCs w:val="20"/>
                <w:vertAlign w:val="superscript"/>
              </w:rPr>
            </w:pPr>
            <w:r w:rsidRPr="006454B5">
              <w:rPr>
                <w:rFonts w:ascii="Arial" w:hAnsi="Arial" w:cs="Arial"/>
                <w:szCs w:val="20"/>
              </w:rPr>
              <w:t xml:space="preserve">Mental health </w:t>
            </w:r>
            <w:proofErr w:type="spellStart"/>
            <w:r w:rsidRPr="006454B5">
              <w:rPr>
                <w:rFonts w:ascii="Arial" w:hAnsi="Arial" w:cs="Arial"/>
                <w:szCs w:val="20"/>
              </w:rPr>
              <w:t>issue</w:t>
            </w:r>
            <w:r w:rsidR="00A4230F" w:rsidRPr="006454B5">
              <w:rPr>
                <w:rFonts w:ascii="Arial" w:hAnsi="Arial" w:cs="Arial"/>
                <w:szCs w:val="20"/>
                <w:vertAlign w:val="superscript"/>
              </w:rPr>
              <w:t>b</w:t>
            </w:r>
            <w:proofErr w:type="spellEnd"/>
          </w:p>
        </w:tc>
        <w:tc>
          <w:tcPr>
            <w:tcW w:w="504" w:type="pct"/>
            <w:vAlign w:val="center"/>
          </w:tcPr>
          <w:p w14:paraId="4619B495"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176</w:t>
            </w:r>
          </w:p>
        </w:tc>
        <w:tc>
          <w:tcPr>
            <w:tcW w:w="1220" w:type="pct"/>
            <w:vAlign w:val="center"/>
          </w:tcPr>
          <w:p w14:paraId="63318800"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39.5</w:t>
            </w:r>
          </w:p>
        </w:tc>
        <w:tc>
          <w:tcPr>
            <w:tcW w:w="521" w:type="pct"/>
            <w:vAlign w:val="center"/>
          </w:tcPr>
          <w:p w14:paraId="7E3B59F6"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42556E48" w14:textId="77777777" w:rsidTr="006454B5">
        <w:trPr>
          <w:trHeight w:val="20"/>
        </w:trPr>
        <w:tc>
          <w:tcPr>
            <w:tcW w:w="1341" w:type="pct"/>
            <w:vMerge/>
            <w:vAlign w:val="center"/>
          </w:tcPr>
          <w:p w14:paraId="38F12A7A" w14:textId="77777777" w:rsidR="00123595" w:rsidRPr="006454B5" w:rsidRDefault="00123595" w:rsidP="00123595">
            <w:pPr>
              <w:spacing w:after="0" w:line="240" w:lineRule="auto"/>
              <w:rPr>
                <w:rFonts w:ascii="Arial" w:hAnsi="Arial" w:cs="Arial"/>
                <w:szCs w:val="20"/>
              </w:rPr>
            </w:pPr>
          </w:p>
        </w:tc>
        <w:tc>
          <w:tcPr>
            <w:tcW w:w="1414" w:type="pct"/>
            <w:vAlign w:val="center"/>
          </w:tcPr>
          <w:p w14:paraId="16F75E18" w14:textId="01597E63" w:rsidR="00123595" w:rsidRPr="006454B5" w:rsidRDefault="00123595" w:rsidP="00123595">
            <w:pPr>
              <w:spacing w:after="0" w:line="240" w:lineRule="auto"/>
              <w:jc w:val="center"/>
              <w:rPr>
                <w:rFonts w:ascii="Arial" w:hAnsi="Arial" w:cs="Arial"/>
                <w:szCs w:val="20"/>
                <w:vertAlign w:val="superscript"/>
              </w:rPr>
            </w:pPr>
            <w:r w:rsidRPr="006454B5">
              <w:rPr>
                <w:rFonts w:ascii="Arial" w:hAnsi="Arial" w:cs="Arial"/>
                <w:szCs w:val="20"/>
              </w:rPr>
              <w:t xml:space="preserve">Deaf or physical </w:t>
            </w:r>
            <w:proofErr w:type="spellStart"/>
            <w:r w:rsidRPr="006454B5">
              <w:rPr>
                <w:rFonts w:ascii="Arial" w:hAnsi="Arial" w:cs="Arial"/>
                <w:szCs w:val="20"/>
              </w:rPr>
              <w:t>disability</w:t>
            </w:r>
            <w:r w:rsidR="00A4230F" w:rsidRPr="006454B5">
              <w:rPr>
                <w:rFonts w:ascii="Arial" w:hAnsi="Arial" w:cs="Arial"/>
                <w:szCs w:val="20"/>
                <w:vertAlign w:val="superscript"/>
              </w:rPr>
              <w:t>c</w:t>
            </w:r>
            <w:proofErr w:type="spellEnd"/>
          </w:p>
        </w:tc>
        <w:tc>
          <w:tcPr>
            <w:tcW w:w="504" w:type="pct"/>
            <w:vAlign w:val="center"/>
          </w:tcPr>
          <w:p w14:paraId="2AE1750B"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43</w:t>
            </w:r>
          </w:p>
        </w:tc>
        <w:tc>
          <w:tcPr>
            <w:tcW w:w="1220" w:type="pct"/>
            <w:vAlign w:val="center"/>
          </w:tcPr>
          <w:p w14:paraId="2653F4EC"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9.6</w:t>
            </w:r>
          </w:p>
        </w:tc>
        <w:tc>
          <w:tcPr>
            <w:tcW w:w="521" w:type="pct"/>
            <w:vAlign w:val="center"/>
          </w:tcPr>
          <w:p w14:paraId="7DE7D7F9"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0D13A6F9" w14:textId="77777777" w:rsidTr="006454B5">
        <w:trPr>
          <w:trHeight w:val="20"/>
        </w:trPr>
        <w:tc>
          <w:tcPr>
            <w:tcW w:w="1341" w:type="pct"/>
            <w:vMerge/>
            <w:vAlign w:val="center"/>
          </w:tcPr>
          <w:p w14:paraId="62749FB0" w14:textId="77777777" w:rsidR="00123595" w:rsidRPr="006454B5" w:rsidRDefault="00123595" w:rsidP="00123595">
            <w:pPr>
              <w:spacing w:after="0" w:line="240" w:lineRule="auto"/>
              <w:rPr>
                <w:rFonts w:ascii="Arial" w:hAnsi="Arial" w:cs="Arial"/>
                <w:szCs w:val="20"/>
              </w:rPr>
            </w:pPr>
          </w:p>
        </w:tc>
        <w:tc>
          <w:tcPr>
            <w:tcW w:w="1414" w:type="pct"/>
            <w:vAlign w:val="center"/>
          </w:tcPr>
          <w:p w14:paraId="2F1F137B" w14:textId="61524F37" w:rsidR="00123595" w:rsidRPr="006454B5" w:rsidRDefault="00123595" w:rsidP="00123595">
            <w:pPr>
              <w:spacing w:after="0" w:line="240" w:lineRule="auto"/>
              <w:jc w:val="center"/>
              <w:rPr>
                <w:rFonts w:ascii="Arial" w:hAnsi="Arial" w:cs="Arial"/>
                <w:szCs w:val="20"/>
                <w:vertAlign w:val="superscript"/>
              </w:rPr>
            </w:pPr>
            <w:r w:rsidRPr="006454B5">
              <w:rPr>
                <w:rFonts w:ascii="Arial" w:hAnsi="Arial" w:cs="Arial"/>
                <w:szCs w:val="20"/>
              </w:rPr>
              <w:t xml:space="preserve">Learning </w:t>
            </w:r>
            <w:proofErr w:type="spellStart"/>
            <w:r w:rsidRPr="006454B5">
              <w:rPr>
                <w:rFonts w:ascii="Arial" w:hAnsi="Arial" w:cs="Arial"/>
                <w:szCs w:val="20"/>
              </w:rPr>
              <w:t>difficulty</w:t>
            </w:r>
            <w:r w:rsidR="00A4230F" w:rsidRPr="006454B5">
              <w:rPr>
                <w:rFonts w:ascii="Arial" w:hAnsi="Arial" w:cs="Arial"/>
                <w:szCs w:val="20"/>
                <w:vertAlign w:val="superscript"/>
              </w:rPr>
              <w:t>d</w:t>
            </w:r>
            <w:proofErr w:type="spellEnd"/>
          </w:p>
        </w:tc>
        <w:tc>
          <w:tcPr>
            <w:tcW w:w="504" w:type="pct"/>
            <w:vAlign w:val="center"/>
          </w:tcPr>
          <w:p w14:paraId="563B28C7"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27</w:t>
            </w:r>
          </w:p>
        </w:tc>
        <w:tc>
          <w:tcPr>
            <w:tcW w:w="1220" w:type="pct"/>
            <w:vAlign w:val="center"/>
          </w:tcPr>
          <w:p w14:paraId="369844FE"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6.1</w:t>
            </w:r>
          </w:p>
        </w:tc>
        <w:tc>
          <w:tcPr>
            <w:tcW w:w="521" w:type="pct"/>
            <w:vAlign w:val="center"/>
          </w:tcPr>
          <w:p w14:paraId="0A9B90EE"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57383651" w14:textId="77777777" w:rsidTr="006454B5">
        <w:trPr>
          <w:trHeight w:val="20"/>
        </w:trPr>
        <w:tc>
          <w:tcPr>
            <w:tcW w:w="1341" w:type="pct"/>
            <w:vMerge w:val="restart"/>
          </w:tcPr>
          <w:p w14:paraId="45F94DE3" w14:textId="77777777" w:rsidR="00123595" w:rsidRPr="006454B5" w:rsidRDefault="00123595" w:rsidP="00123595">
            <w:pPr>
              <w:spacing w:after="0" w:line="240" w:lineRule="auto"/>
              <w:rPr>
                <w:rFonts w:ascii="Arial" w:hAnsi="Arial" w:cs="Arial"/>
                <w:szCs w:val="20"/>
              </w:rPr>
            </w:pPr>
            <w:r w:rsidRPr="006454B5">
              <w:rPr>
                <w:rFonts w:ascii="Arial" w:hAnsi="Arial" w:cs="Arial"/>
                <w:szCs w:val="20"/>
              </w:rPr>
              <w:t>Previous victimisation</w:t>
            </w:r>
          </w:p>
        </w:tc>
        <w:tc>
          <w:tcPr>
            <w:tcW w:w="1414" w:type="pct"/>
            <w:vAlign w:val="center"/>
          </w:tcPr>
          <w:p w14:paraId="082DD67C" w14:textId="381DA2EC" w:rsidR="00123595" w:rsidRPr="006454B5" w:rsidRDefault="00123595" w:rsidP="00123595">
            <w:pPr>
              <w:spacing w:after="0" w:line="240" w:lineRule="auto"/>
              <w:jc w:val="center"/>
              <w:rPr>
                <w:rFonts w:ascii="Arial" w:hAnsi="Arial" w:cs="Arial"/>
                <w:szCs w:val="20"/>
                <w:vertAlign w:val="superscript"/>
              </w:rPr>
            </w:pPr>
            <w:r w:rsidRPr="006454B5">
              <w:rPr>
                <w:rFonts w:ascii="Arial" w:hAnsi="Arial" w:cs="Arial"/>
                <w:szCs w:val="20"/>
              </w:rPr>
              <w:t xml:space="preserve">Sexual assault/domestic </w:t>
            </w:r>
            <w:proofErr w:type="spellStart"/>
            <w:r w:rsidRPr="006454B5">
              <w:rPr>
                <w:rFonts w:ascii="Arial" w:hAnsi="Arial" w:cs="Arial"/>
                <w:szCs w:val="20"/>
              </w:rPr>
              <w:t>violence</w:t>
            </w:r>
            <w:r w:rsidR="00A4230F" w:rsidRPr="006454B5">
              <w:rPr>
                <w:rFonts w:ascii="Arial" w:hAnsi="Arial" w:cs="Arial"/>
                <w:szCs w:val="20"/>
                <w:vertAlign w:val="superscript"/>
              </w:rPr>
              <w:t>e</w:t>
            </w:r>
            <w:proofErr w:type="spellEnd"/>
          </w:p>
        </w:tc>
        <w:tc>
          <w:tcPr>
            <w:tcW w:w="504" w:type="pct"/>
            <w:vAlign w:val="center"/>
          </w:tcPr>
          <w:p w14:paraId="6189FE6E"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137</w:t>
            </w:r>
          </w:p>
        </w:tc>
        <w:tc>
          <w:tcPr>
            <w:tcW w:w="1220" w:type="pct"/>
            <w:vAlign w:val="center"/>
          </w:tcPr>
          <w:p w14:paraId="05F2A253"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30.7</w:t>
            </w:r>
          </w:p>
        </w:tc>
        <w:tc>
          <w:tcPr>
            <w:tcW w:w="521" w:type="pct"/>
            <w:vAlign w:val="center"/>
          </w:tcPr>
          <w:p w14:paraId="4849EDE5"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12313AA8" w14:textId="77777777" w:rsidTr="006454B5">
        <w:trPr>
          <w:trHeight w:val="20"/>
        </w:trPr>
        <w:tc>
          <w:tcPr>
            <w:tcW w:w="1341" w:type="pct"/>
            <w:vMerge/>
            <w:vAlign w:val="center"/>
          </w:tcPr>
          <w:p w14:paraId="2288B03F" w14:textId="77777777" w:rsidR="00123595" w:rsidRPr="006454B5" w:rsidRDefault="00123595" w:rsidP="00123595">
            <w:pPr>
              <w:spacing w:after="0" w:line="240" w:lineRule="auto"/>
              <w:rPr>
                <w:rFonts w:ascii="Arial" w:hAnsi="Arial" w:cs="Arial"/>
                <w:szCs w:val="20"/>
              </w:rPr>
            </w:pPr>
          </w:p>
        </w:tc>
        <w:tc>
          <w:tcPr>
            <w:tcW w:w="1414" w:type="pct"/>
            <w:vAlign w:val="center"/>
          </w:tcPr>
          <w:p w14:paraId="70DE2D29" w14:textId="64001146" w:rsidR="00123595" w:rsidRPr="006454B5" w:rsidRDefault="00123595" w:rsidP="00123595">
            <w:pPr>
              <w:spacing w:after="0" w:line="240" w:lineRule="auto"/>
              <w:jc w:val="center"/>
              <w:rPr>
                <w:rFonts w:ascii="Arial" w:hAnsi="Arial" w:cs="Arial"/>
                <w:szCs w:val="20"/>
                <w:vertAlign w:val="superscript"/>
              </w:rPr>
            </w:pPr>
            <w:r w:rsidRPr="006454B5">
              <w:rPr>
                <w:rFonts w:ascii="Arial" w:hAnsi="Arial" w:cs="Arial"/>
                <w:szCs w:val="20"/>
              </w:rPr>
              <w:t xml:space="preserve">Any in the last </w:t>
            </w:r>
            <w:proofErr w:type="spellStart"/>
            <w:r w:rsidRPr="006454B5">
              <w:rPr>
                <w:rFonts w:ascii="Arial" w:hAnsi="Arial" w:cs="Arial"/>
                <w:szCs w:val="20"/>
              </w:rPr>
              <w:t>year</w:t>
            </w:r>
            <w:r w:rsidR="00A4230F" w:rsidRPr="006454B5">
              <w:rPr>
                <w:rFonts w:ascii="Arial" w:hAnsi="Arial" w:cs="Arial"/>
                <w:szCs w:val="20"/>
                <w:vertAlign w:val="superscript"/>
              </w:rPr>
              <w:t>f</w:t>
            </w:r>
            <w:proofErr w:type="spellEnd"/>
          </w:p>
        </w:tc>
        <w:tc>
          <w:tcPr>
            <w:tcW w:w="504" w:type="pct"/>
            <w:vAlign w:val="center"/>
          </w:tcPr>
          <w:p w14:paraId="16777AA7"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128</w:t>
            </w:r>
          </w:p>
        </w:tc>
        <w:tc>
          <w:tcPr>
            <w:tcW w:w="1220" w:type="pct"/>
            <w:vAlign w:val="center"/>
          </w:tcPr>
          <w:p w14:paraId="00A91CC8"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28.7</w:t>
            </w:r>
          </w:p>
        </w:tc>
        <w:tc>
          <w:tcPr>
            <w:tcW w:w="521" w:type="pct"/>
            <w:vAlign w:val="center"/>
          </w:tcPr>
          <w:p w14:paraId="72C1DC66"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1337D334" w14:textId="77777777" w:rsidTr="006454B5">
        <w:trPr>
          <w:trHeight w:val="20"/>
        </w:trPr>
        <w:tc>
          <w:tcPr>
            <w:tcW w:w="1341" w:type="pct"/>
            <w:vMerge w:val="restart"/>
          </w:tcPr>
          <w:p w14:paraId="05A3F8F4" w14:textId="77777777" w:rsidR="00123595" w:rsidRPr="006454B5" w:rsidRDefault="00123595" w:rsidP="00123595">
            <w:pPr>
              <w:spacing w:after="0" w:line="240" w:lineRule="auto"/>
              <w:rPr>
                <w:rFonts w:ascii="Arial" w:hAnsi="Arial" w:cs="Arial"/>
                <w:szCs w:val="20"/>
              </w:rPr>
            </w:pPr>
            <w:r w:rsidRPr="006454B5">
              <w:rPr>
                <w:rFonts w:ascii="Arial" w:hAnsi="Arial" w:cs="Arial"/>
                <w:szCs w:val="20"/>
              </w:rPr>
              <w:t>Language</w:t>
            </w:r>
          </w:p>
        </w:tc>
        <w:tc>
          <w:tcPr>
            <w:tcW w:w="1414" w:type="pct"/>
            <w:vAlign w:val="center"/>
          </w:tcPr>
          <w:p w14:paraId="7E926BC6" w14:textId="71A38697" w:rsidR="00123595" w:rsidRPr="006454B5" w:rsidRDefault="00123595" w:rsidP="00123595">
            <w:pPr>
              <w:spacing w:after="0" w:line="240" w:lineRule="auto"/>
              <w:jc w:val="center"/>
              <w:rPr>
                <w:rFonts w:ascii="Arial" w:hAnsi="Arial" w:cs="Arial"/>
                <w:szCs w:val="20"/>
                <w:vertAlign w:val="superscript"/>
              </w:rPr>
            </w:pPr>
            <w:r w:rsidRPr="006454B5">
              <w:rPr>
                <w:rFonts w:ascii="Arial" w:hAnsi="Arial" w:cs="Arial"/>
                <w:szCs w:val="20"/>
              </w:rPr>
              <w:t xml:space="preserve">English not first </w:t>
            </w:r>
            <w:proofErr w:type="spellStart"/>
            <w:r w:rsidRPr="006454B5">
              <w:rPr>
                <w:rFonts w:ascii="Arial" w:hAnsi="Arial" w:cs="Arial"/>
                <w:szCs w:val="20"/>
              </w:rPr>
              <w:t>language</w:t>
            </w:r>
            <w:r w:rsidR="00A4230F" w:rsidRPr="006454B5">
              <w:rPr>
                <w:rFonts w:ascii="Arial" w:hAnsi="Arial" w:cs="Arial"/>
                <w:szCs w:val="20"/>
                <w:vertAlign w:val="superscript"/>
              </w:rPr>
              <w:t>g</w:t>
            </w:r>
            <w:proofErr w:type="spellEnd"/>
          </w:p>
        </w:tc>
        <w:tc>
          <w:tcPr>
            <w:tcW w:w="504" w:type="pct"/>
            <w:vAlign w:val="center"/>
          </w:tcPr>
          <w:p w14:paraId="523D818A"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75</w:t>
            </w:r>
          </w:p>
        </w:tc>
        <w:tc>
          <w:tcPr>
            <w:tcW w:w="1220" w:type="pct"/>
            <w:vAlign w:val="center"/>
          </w:tcPr>
          <w:p w14:paraId="1C9F79A8"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16.8</w:t>
            </w:r>
          </w:p>
        </w:tc>
        <w:tc>
          <w:tcPr>
            <w:tcW w:w="521" w:type="pct"/>
            <w:vAlign w:val="center"/>
          </w:tcPr>
          <w:p w14:paraId="2D0AD270"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71341D38" w14:textId="77777777" w:rsidTr="006454B5">
        <w:trPr>
          <w:trHeight w:val="20"/>
        </w:trPr>
        <w:tc>
          <w:tcPr>
            <w:tcW w:w="1341" w:type="pct"/>
            <w:vMerge/>
            <w:vAlign w:val="center"/>
          </w:tcPr>
          <w:p w14:paraId="5FAE346D" w14:textId="77777777" w:rsidR="00123595" w:rsidRPr="006454B5" w:rsidRDefault="00123595" w:rsidP="00123595">
            <w:pPr>
              <w:spacing w:after="0" w:line="240" w:lineRule="auto"/>
              <w:rPr>
                <w:rFonts w:ascii="Arial" w:hAnsi="Arial" w:cs="Arial"/>
                <w:szCs w:val="20"/>
              </w:rPr>
            </w:pPr>
          </w:p>
        </w:tc>
        <w:tc>
          <w:tcPr>
            <w:tcW w:w="1414" w:type="pct"/>
            <w:vAlign w:val="center"/>
          </w:tcPr>
          <w:p w14:paraId="391E1ED4" w14:textId="598E4898" w:rsidR="00123595" w:rsidRPr="006454B5" w:rsidRDefault="00123595" w:rsidP="00123595">
            <w:pPr>
              <w:spacing w:after="0" w:line="240" w:lineRule="auto"/>
              <w:jc w:val="center"/>
              <w:rPr>
                <w:rFonts w:ascii="Arial" w:hAnsi="Arial" w:cs="Arial"/>
                <w:szCs w:val="20"/>
                <w:vertAlign w:val="superscript"/>
              </w:rPr>
            </w:pPr>
            <w:r w:rsidRPr="006454B5">
              <w:rPr>
                <w:rFonts w:ascii="Arial" w:hAnsi="Arial" w:cs="Arial"/>
                <w:szCs w:val="20"/>
              </w:rPr>
              <w:t xml:space="preserve">Requires </w:t>
            </w:r>
            <w:proofErr w:type="spellStart"/>
            <w:r w:rsidRPr="006454B5">
              <w:rPr>
                <w:rFonts w:ascii="Arial" w:hAnsi="Arial" w:cs="Arial"/>
                <w:szCs w:val="20"/>
              </w:rPr>
              <w:t>interpreter</w:t>
            </w:r>
            <w:r w:rsidR="00DA37D4" w:rsidRPr="006454B5">
              <w:rPr>
                <w:rFonts w:ascii="Arial" w:hAnsi="Arial" w:cs="Arial"/>
                <w:szCs w:val="20"/>
                <w:vertAlign w:val="superscript"/>
              </w:rPr>
              <w:t>g</w:t>
            </w:r>
            <w:proofErr w:type="spellEnd"/>
          </w:p>
        </w:tc>
        <w:tc>
          <w:tcPr>
            <w:tcW w:w="504" w:type="pct"/>
            <w:vAlign w:val="center"/>
          </w:tcPr>
          <w:p w14:paraId="53916DB3"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43</w:t>
            </w:r>
          </w:p>
        </w:tc>
        <w:tc>
          <w:tcPr>
            <w:tcW w:w="1220" w:type="pct"/>
            <w:vAlign w:val="center"/>
          </w:tcPr>
          <w:p w14:paraId="0D2A5F32"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9.6</w:t>
            </w:r>
          </w:p>
        </w:tc>
        <w:tc>
          <w:tcPr>
            <w:tcW w:w="521" w:type="pct"/>
            <w:vAlign w:val="center"/>
          </w:tcPr>
          <w:p w14:paraId="2D92BB9C"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47F76BA6" w14:textId="77777777" w:rsidTr="006454B5">
        <w:trPr>
          <w:trHeight w:val="20"/>
        </w:trPr>
        <w:tc>
          <w:tcPr>
            <w:tcW w:w="1341" w:type="pct"/>
            <w:vMerge w:val="restart"/>
          </w:tcPr>
          <w:p w14:paraId="7751ED78" w14:textId="77777777" w:rsidR="00123595" w:rsidRPr="006454B5" w:rsidRDefault="00123595" w:rsidP="00123595">
            <w:pPr>
              <w:spacing w:after="0" w:line="240" w:lineRule="auto"/>
              <w:rPr>
                <w:rFonts w:ascii="Arial" w:hAnsi="Arial" w:cs="Arial"/>
                <w:szCs w:val="20"/>
              </w:rPr>
            </w:pPr>
            <w:r w:rsidRPr="006454B5">
              <w:rPr>
                <w:rFonts w:ascii="Arial" w:hAnsi="Arial" w:cs="Arial"/>
                <w:szCs w:val="20"/>
              </w:rPr>
              <w:t>Other needs</w:t>
            </w:r>
          </w:p>
        </w:tc>
        <w:tc>
          <w:tcPr>
            <w:tcW w:w="1414" w:type="pct"/>
          </w:tcPr>
          <w:p w14:paraId="1D1005D0" w14:textId="4283DD24" w:rsidR="00123595" w:rsidRPr="006454B5" w:rsidRDefault="00123595" w:rsidP="00123595">
            <w:pPr>
              <w:spacing w:after="0" w:line="240" w:lineRule="auto"/>
              <w:jc w:val="center"/>
              <w:rPr>
                <w:rFonts w:ascii="Arial" w:hAnsi="Arial" w:cs="Arial"/>
                <w:szCs w:val="20"/>
                <w:vertAlign w:val="superscript"/>
              </w:rPr>
            </w:pPr>
            <w:r w:rsidRPr="006454B5">
              <w:rPr>
                <w:rFonts w:ascii="Arial" w:hAnsi="Arial" w:cs="Arial"/>
                <w:szCs w:val="20"/>
              </w:rPr>
              <w:t>Missing person/</w:t>
            </w:r>
            <w:proofErr w:type="spellStart"/>
            <w:r w:rsidRPr="006454B5">
              <w:rPr>
                <w:rFonts w:ascii="Arial" w:hAnsi="Arial" w:cs="Arial"/>
                <w:szCs w:val="20"/>
              </w:rPr>
              <w:t>homeless</w:t>
            </w:r>
            <w:r w:rsidR="00DA37D4" w:rsidRPr="006454B5">
              <w:rPr>
                <w:rFonts w:ascii="Arial" w:hAnsi="Arial" w:cs="Arial"/>
                <w:szCs w:val="20"/>
                <w:vertAlign w:val="superscript"/>
              </w:rPr>
              <w:t>h</w:t>
            </w:r>
            <w:proofErr w:type="spellEnd"/>
          </w:p>
        </w:tc>
        <w:tc>
          <w:tcPr>
            <w:tcW w:w="504" w:type="pct"/>
            <w:vAlign w:val="center"/>
          </w:tcPr>
          <w:p w14:paraId="0ABBC1BA"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34</w:t>
            </w:r>
          </w:p>
        </w:tc>
        <w:tc>
          <w:tcPr>
            <w:tcW w:w="1220" w:type="pct"/>
            <w:vAlign w:val="center"/>
          </w:tcPr>
          <w:p w14:paraId="6003A2C8"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7.6</w:t>
            </w:r>
          </w:p>
        </w:tc>
        <w:tc>
          <w:tcPr>
            <w:tcW w:w="521" w:type="pct"/>
            <w:vAlign w:val="center"/>
          </w:tcPr>
          <w:p w14:paraId="0688C4ED"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43705A3C" w14:textId="77777777" w:rsidTr="006454B5">
        <w:trPr>
          <w:trHeight w:val="20"/>
        </w:trPr>
        <w:tc>
          <w:tcPr>
            <w:tcW w:w="1341" w:type="pct"/>
            <w:vMerge/>
            <w:vAlign w:val="center"/>
          </w:tcPr>
          <w:p w14:paraId="79E997F1" w14:textId="77777777" w:rsidR="00123595" w:rsidRPr="006454B5" w:rsidRDefault="00123595" w:rsidP="00123595">
            <w:pPr>
              <w:spacing w:after="0" w:line="240" w:lineRule="auto"/>
              <w:rPr>
                <w:rFonts w:ascii="Arial" w:hAnsi="Arial" w:cs="Arial"/>
                <w:szCs w:val="20"/>
              </w:rPr>
            </w:pPr>
          </w:p>
        </w:tc>
        <w:tc>
          <w:tcPr>
            <w:tcW w:w="1414" w:type="pct"/>
          </w:tcPr>
          <w:p w14:paraId="1176F430" w14:textId="57C77376" w:rsidR="00123595" w:rsidRPr="006454B5" w:rsidRDefault="00123595" w:rsidP="00123595">
            <w:pPr>
              <w:spacing w:after="0" w:line="240" w:lineRule="auto"/>
              <w:jc w:val="center"/>
              <w:rPr>
                <w:rFonts w:ascii="Arial" w:hAnsi="Arial" w:cs="Arial"/>
                <w:szCs w:val="20"/>
                <w:vertAlign w:val="superscript"/>
              </w:rPr>
            </w:pPr>
            <w:r w:rsidRPr="006454B5">
              <w:rPr>
                <w:rFonts w:ascii="Arial" w:hAnsi="Arial" w:cs="Arial"/>
                <w:szCs w:val="20"/>
              </w:rPr>
              <w:t xml:space="preserve">Sex </w:t>
            </w:r>
            <w:proofErr w:type="spellStart"/>
            <w:r w:rsidRPr="006454B5">
              <w:rPr>
                <w:rFonts w:ascii="Arial" w:hAnsi="Arial" w:cs="Arial"/>
                <w:szCs w:val="20"/>
              </w:rPr>
              <w:t>worker</w:t>
            </w:r>
            <w:r w:rsidR="00DA37D4" w:rsidRPr="006454B5">
              <w:rPr>
                <w:rFonts w:ascii="Arial" w:hAnsi="Arial" w:cs="Arial"/>
                <w:szCs w:val="20"/>
                <w:vertAlign w:val="superscript"/>
              </w:rPr>
              <w:t>i</w:t>
            </w:r>
            <w:proofErr w:type="spellEnd"/>
          </w:p>
        </w:tc>
        <w:tc>
          <w:tcPr>
            <w:tcW w:w="504" w:type="pct"/>
            <w:vAlign w:val="center"/>
          </w:tcPr>
          <w:p w14:paraId="1B827DD4"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11</w:t>
            </w:r>
          </w:p>
        </w:tc>
        <w:tc>
          <w:tcPr>
            <w:tcW w:w="1220" w:type="pct"/>
            <w:vAlign w:val="center"/>
          </w:tcPr>
          <w:p w14:paraId="7821DDD1"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2.5</w:t>
            </w:r>
          </w:p>
        </w:tc>
        <w:tc>
          <w:tcPr>
            <w:tcW w:w="521" w:type="pct"/>
            <w:vAlign w:val="center"/>
          </w:tcPr>
          <w:p w14:paraId="464796C8"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09B6A8BB" w14:textId="77777777" w:rsidTr="006454B5">
        <w:trPr>
          <w:trHeight w:val="20"/>
        </w:trPr>
        <w:tc>
          <w:tcPr>
            <w:tcW w:w="1341" w:type="pct"/>
            <w:vMerge/>
            <w:vAlign w:val="center"/>
          </w:tcPr>
          <w:p w14:paraId="484298FF" w14:textId="77777777" w:rsidR="00123595" w:rsidRPr="006454B5" w:rsidRDefault="00123595" w:rsidP="00123595">
            <w:pPr>
              <w:spacing w:after="0" w:line="240" w:lineRule="auto"/>
              <w:rPr>
                <w:rFonts w:ascii="Arial" w:hAnsi="Arial" w:cs="Arial"/>
                <w:szCs w:val="20"/>
              </w:rPr>
            </w:pPr>
          </w:p>
        </w:tc>
        <w:tc>
          <w:tcPr>
            <w:tcW w:w="1414" w:type="pct"/>
          </w:tcPr>
          <w:p w14:paraId="3DF44960" w14:textId="19A5575A" w:rsidR="00123595" w:rsidRPr="006454B5" w:rsidRDefault="00123595" w:rsidP="00123595">
            <w:pPr>
              <w:spacing w:after="0" w:line="240" w:lineRule="auto"/>
              <w:jc w:val="center"/>
              <w:rPr>
                <w:rFonts w:ascii="Arial" w:hAnsi="Arial" w:cs="Arial"/>
                <w:szCs w:val="20"/>
                <w:vertAlign w:val="superscript"/>
              </w:rPr>
            </w:pPr>
            <w:r w:rsidRPr="006454B5">
              <w:rPr>
                <w:rFonts w:ascii="Arial" w:hAnsi="Arial" w:cs="Arial"/>
                <w:szCs w:val="20"/>
              </w:rPr>
              <w:t xml:space="preserve">Asylum </w:t>
            </w:r>
            <w:proofErr w:type="spellStart"/>
            <w:r w:rsidRPr="006454B5">
              <w:rPr>
                <w:rFonts w:ascii="Arial" w:hAnsi="Arial" w:cs="Arial"/>
                <w:szCs w:val="20"/>
              </w:rPr>
              <w:t>seeker</w:t>
            </w:r>
            <w:r w:rsidR="00DA37D4" w:rsidRPr="006454B5">
              <w:rPr>
                <w:rFonts w:ascii="Arial" w:hAnsi="Arial" w:cs="Arial"/>
                <w:szCs w:val="20"/>
                <w:vertAlign w:val="superscript"/>
              </w:rPr>
              <w:t>g</w:t>
            </w:r>
            <w:proofErr w:type="spellEnd"/>
          </w:p>
        </w:tc>
        <w:tc>
          <w:tcPr>
            <w:tcW w:w="504" w:type="pct"/>
            <w:vAlign w:val="center"/>
          </w:tcPr>
          <w:p w14:paraId="5FAFC070"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9</w:t>
            </w:r>
          </w:p>
        </w:tc>
        <w:tc>
          <w:tcPr>
            <w:tcW w:w="1220" w:type="pct"/>
            <w:vAlign w:val="center"/>
          </w:tcPr>
          <w:p w14:paraId="74767D59"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2.0</w:t>
            </w:r>
          </w:p>
        </w:tc>
        <w:tc>
          <w:tcPr>
            <w:tcW w:w="521" w:type="pct"/>
            <w:vAlign w:val="center"/>
          </w:tcPr>
          <w:p w14:paraId="00B3B86C"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76904A30" w14:textId="77777777" w:rsidTr="006454B5">
        <w:trPr>
          <w:trHeight w:val="20"/>
        </w:trPr>
        <w:tc>
          <w:tcPr>
            <w:tcW w:w="1341" w:type="pct"/>
            <w:vMerge w:val="restart"/>
          </w:tcPr>
          <w:p w14:paraId="3F73C8D4" w14:textId="77777777" w:rsidR="00123595" w:rsidRPr="006454B5" w:rsidRDefault="00123595" w:rsidP="00123595">
            <w:pPr>
              <w:spacing w:after="0" w:line="240" w:lineRule="auto"/>
              <w:rPr>
                <w:rFonts w:ascii="Arial" w:hAnsi="Arial" w:cs="Arial"/>
                <w:szCs w:val="20"/>
              </w:rPr>
            </w:pPr>
            <w:r w:rsidRPr="006454B5">
              <w:rPr>
                <w:rFonts w:ascii="Arial" w:hAnsi="Arial" w:cs="Arial"/>
                <w:szCs w:val="20"/>
              </w:rPr>
              <w:t>Cumulative needs</w:t>
            </w:r>
          </w:p>
        </w:tc>
        <w:tc>
          <w:tcPr>
            <w:tcW w:w="1414" w:type="pct"/>
          </w:tcPr>
          <w:p w14:paraId="57EC4983"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None</w:t>
            </w:r>
          </w:p>
        </w:tc>
        <w:tc>
          <w:tcPr>
            <w:tcW w:w="504" w:type="pct"/>
            <w:vAlign w:val="center"/>
          </w:tcPr>
          <w:p w14:paraId="1ECD1CAE"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25</w:t>
            </w:r>
          </w:p>
        </w:tc>
        <w:tc>
          <w:tcPr>
            <w:tcW w:w="1220" w:type="pct"/>
            <w:vAlign w:val="center"/>
          </w:tcPr>
          <w:p w14:paraId="3DD1FCE1"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5.6</w:t>
            </w:r>
          </w:p>
        </w:tc>
        <w:tc>
          <w:tcPr>
            <w:tcW w:w="521" w:type="pct"/>
            <w:vAlign w:val="center"/>
          </w:tcPr>
          <w:p w14:paraId="3BDF0A06"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1462F99F" w14:textId="77777777" w:rsidTr="006454B5">
        <w:trPr>
          <w:trHeight w:val="20"/>
        </w:trPr>
        <w:tc>
          <w:tcPr>
            <w:tcW w:w="1341" w:type="pct"/>
            <w:vMerge/>
            <w:vAlign w:val="center"/>
          </w:tcPr>
          <w:p w14:paraId="187B149E" w14:textId="77777777" w:rsidR="00123595" w:rsidRPr="006454B5" w:rsidRDefault="00123595" w:rsidP="00123595">
            <w:pPr>
              <w:spacing w:after="0" w:line="240" w:lineRule="auto"/>
              <w:rPr>
                <w:rFonts w:ascii="Arial" w:hAnsi="Arial" w:cs="Arial"/>
                <w:szCs w:val="20"/>
              </w:rPr>
            </w:pPr>
          </w:p>
        </w:tc>
        <w:tc>
          <w:tcPr>
            <w:tcW w:w="1414" w:type="pct"/>
          </w:tcPr>
          <w:p w14:paraId="44D2AA92"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One</w:t>
            </w:r>
          </w:p>
        </w:tc>
        <w:tc>
          <w:tcPr>
            <w:tcW w:w="504" w:type="pct"/>
            <w:vAlign w:val="center"/>
          </w:tcPr>
          <w:p w14:paraId="60E66D37"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176</w:t>
            </w:r>
          </w:p>
        </w:tc>
        <w:tc>
          <w:tcPr>
            <w:tcW w:w="1220" w:type="pct"/>
            <w:vAlign w:val="center"/>
          </w:tcPr>
          <w:p w14:paraId="02F8D071"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39.5</w:t>
            </w:r>
          </w:p>
        </w:tc>
        <w:tc>
          <w:tcPr>
            <w:tcW w:w="521" w:type="pct"/>
            <w:vAlign w:val="center"/>
          </w:tcPr>
          <w:p w14:paraId="1E614363"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046A3376" w14:textId="77777777" w:rsidTr="006454B5">
        <w:trPr>
          <w:trHeight w:val="20"/>
        </w:trPr>
        <w:tc>
          <w:tcPr>
            <w:tcW w:w="1341" w:type="pct"/>
            <w:vMerge/>
            <w:vAlign w:val="center"/>
          </w:tcPr>
          <w:p w14:paraId="340F0C46" w14:textId="77777777" w:rsidR="00123595" w:rsidRPr="006454B5" w:rsidRDefault="00123595" w:rsidP="00123595">
            <w:pPr>
              <w:spacing w:after="0" w:line="240" w:lineRule="auto"/>
              <w:rPr>
                <w:rFonts w:ascii="Arial" w:hAnsi="Arial" w:cs="Arial"/>
                <w:szCs w:val="20"/>
              </w:rPr>
            </w:pPr>
          </w:p>
        </w:tc>
        <w:tc>
          <w:tcPr>
            <w:tcW w:w="1414" w:type="pct"/>
          </w:tcPr>
          <w:p w14:paraId="4056A628"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Two</w:t>
            </w:r>
          </w:p>
        </w:tc>
        <w:tc>
          <w:tcPr>
            <w:tcW w:w="504" w:type="pct"/>
            <w:vAlign w:val="center"/>
          </w:tcPr>
          <w:p w14:paraId="5731265F"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154</w:t>
            </w:r>
          </w:p>
        </w:tc>
        <w:tc>
          <w:tcPr>
            <w:tcW w:w="1220" w:type="pct"/>
            <w:vAlign w:val="center"/>
          </w:tcPr>
          <w:p w14:paraId="1399DC30"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34.5</w:t>
            </w:r>
          </w:p>
        </w:tc>
        <w:tc>
          <w:tcPr>
            <w:tcW w:w="521" w:type="pct"/>
            <w:vAlign w:val="center"/>
          </w:tcPr>
          <w:p w14:paraId="10A0D078"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0AD41979" w14:textId="77777777" w:rsidTr="006454B5">
        <w:trPr>
          <w:trHeight w:val="20"/>
        </w:trPr>
        <w:tc>
          <w:tcPr>
            <w:tcW w:w="1341" w:type="pct"/>
            <w:vMerge/>
            <w:vAlign w:val="center"/>
          </w:tcPr>
          <w:p w14:paraId="7944DB41" w14:textId="77777777" w:rsidR="00123595" w:rsidRPr="006454B5" w:rsidRDefault="00123595" w:rsidP="00123595">
            <w:pPr>
              <w:spacing w:after="0" w:line="240" w:lineRule="auto"/>
              <w:rPr>
                <w:rFonts w:ascii="Arial" w:hAnsi="Arial" w:cs="Arial"/>
                <w:szCs w:val="20"/>
              </w:rPr>
            </w:pPr>
          </w:p>
        </w:tc>
        <w:tc>
          <w:tcPr>
            <w:tcW w:w="1414" w:type="pct"/>
          </w:tcPr>
          <w:p w14:paraId="619C3EF4"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Three or more</w:t>
            </w:r>
          </w:p>
        </w:tc>
        <w:tc>
          <w:tcPr>
            <w:tcW w:w="504" w:type="pct"/>
            <w:vAlign w:val="center"/>
          </w:tcPr>
          <w:p w14:paraId="4227F7AC"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91</w:t>
            </w:r>
          </w:p>
        </w:tc>
        <w:tc>
          <w:tcPr>
            <w:tcW w:w="1220" w:type="pct"/>
            <w:vAlign w:val="center"/>
          </w:tcPr>
          <w:p w14:paraId="125563F1"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20.4</w:t>
            </w:r>
          </w:p>
        </w:tc>
        <w:tc>
          <w:tcPr>
            <w:tcW w:w="521" w:type="pct"/>
            <w:vAlign w:val="center"/>
          </w:tcPr>
          <w:p w14:paraId="70E7E1F3"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45E301E5" w14:textId="77777777" w:rsidTr="006454B5">
        <w:trPr>
          <w:trHeight w:val="20"/>
        </w:trPr>
        <w:tc>
          <w:tcPr>
            <w:tcW w:w="5000" w:type="pct"/>
            <w:gridSpan w:val="5"/>
            <w:vAlign w:val="center"/>
          </w:tcPr>
          <w:p w14:paraId="05E1E38B" w14:textId="77777777" w:rsidR="00123595" w:rsidRPr="006454B5" w:rsidRDefault="00123595" w:rsidP="00123595">
            <w:pPr>
              <w:spacing w:after="0" w:line="240" w:lineRule="auto"/>
              <w:rPr>
                <w:rFonts w:ascii="Arial" w:hAnsi="Arial" w:cs="Arial"/>
                <w:szCs w:val="20"/>
                <w:u w:val="single"/>
              </w:rPr>
            </w:pPr>
            <w:r w:rsidRPr="006454B5">
              <w:rPr>
                <w:rFonts w:ascii="Arial" w:hAnsi="Arial" w:cs="Arial"/>
                <w:i/>
                <w:iCs/>
                <w:szCs w:val="20"/>
                <w:u w:val="single"/>
              </w:rPr>
              <w:t xml:space="preserve">Victim Prior History with Police </w:t>
            </w:r>
          </w:p>
        </w:tc>
      </w:tr>
      <w:tr w:rsidR="00123595" w:rsidRPr="006454B5" w14:paraId="11AE8497" w14:textId="77777777" w:rsidTr="006454B5">
        <w:trPr>
          <w:trHeight w:val="20"/>
        </w:trPr>
        <w:tc>
          <w:tcPr>
            <w:tcW w:w="1341" w:type="pct"/>
            <w:vMerge w:val="restart"/>
          </w:tcPr>
          <w:p w14:paraId="30CC8316" w14:textId="77777777" w:rsidR="00123595" w:rsidRPr="006454B5" w:rsidRDefault="00123595" w:rsidP="00123595">
            <w:pPr>
              <w:spacing w:after="0" w:line="240" w:lineRule="auto"/>
              <w:rPr>
                <w:rFonts w:ascii="Arial" w:hAnsi="Arial" w:cs="Arial"/>
                <w:szCs w:val="20"/>
              </w:rPr>
            </w:pPr>
            <w:r w:rsidRPr="006454B5">
              <w:rPr>
                <w:rFonts w:ascii="Arial" w:hAnsi="Arial" w:cs="Arial"/>
                <w:szCs w:val="20"/>
              </w:rPr>
              <w:t>Previous criminal history</w:t>
            </w:r>
          </w:p>
        </w:tc>
        <w:tc>
          <w:tcPr>
            <w:tcW w:w="1414" w:type="pct"/>
          </w:tcPr>
          <w:p w14:paraId="30CDB51D" w14:textId="7714D73B" w:rsidR="00123595" w:rsidRPr="006454B5" w:rsidRDefault="00123595" w:rsidP="00123595">
            <w:pPr>
              <w:spacing w:after="0" w:line="240" w:lineRule="auto"/>
              <w:jc w:val="center"/>
              <w:rPr>
                <w:rFonts w:ascii="Arial" w:hAnsi="Arial" w:cs="Arial"/>
                <w:szCs w:val="20"/>
                <w:vertAlign w:val="superscript"/>
              </w:rPr>
            </w:pPr>
            <w:r w:rsidRPr="006454B5">
              <w:rPr>
                <w:rFonts w:ascii="Arial" w:hAnsi="Arial" w:cs="Arial"/>
                <w:szCs w:val="20"/>
              </w:rPr>
              <w:t xml:space="preserve">Known as </w:t>
            </w:r>
            <w:proofErr w:type="spellStart"/>
            <w:r w:rsidRPr="006454B5">
              <w:rPr>
                <w:rFonts w:ascii="Arial" w:hAnsi="Arial" w:cs="Arial"/>
                <w:szCs w:val="20"/>
              </w:rPr>
              <w:t>suspect</w:t>
            </w:r>
            <w:r w:rsidR="00DA37D4" w:rsidRPr="006454B5">
              <w:rPr>
                <w:rFonts w:ascii="Arial" w:hAnsi="Arial" w:cs="Arial"/>
                <w:szCs w:val="20"/>
                <w:vertAlign w:val="superscript"/>
              </w:rPr>
              <w:t>j</w:t>
            </w:r>
            <w:proofErr w:type="spellEnd"/>
          </w:p>
        </w:tc>
        <w:tc>
          <w:tcPr>
            <w:tcW w:w="504" w:type="pct"/>
            <w:vAlign w:val="center"/>
          </w:tcPr>
          <w:p w14:paraId="5EA9F65F"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74</w:t>
            </w:r>
          </w:p>
        </w:tc>
        <w:tc>
          <w:tcPr>
            <w:tcW w:w="1220" w:type="pct"/>
            <w:vAlign w:val="center"/>
          </w:tcPr>
          <w:p w14:paraId="395D7660"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16.6</w:t>
            </w:r>
          </w:p>
        </w:tc>
        <w:tc>
          <w:tcPr>
            <w:tcW w:w="521" w:type="pct"/>
            <w:vAlign w:val="center"/>
          </w:tcPr>
          <w:p w14:paraId="51930EE0"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4DABBDF9" w14:textId="77777777" w:rsidTr="006454B5">
        <w:trPr>
          <w:trHeight w:val="20"/>
        </w:trPr>
        <w:tc>
          <w:tcPr>
            <w:tcW w:w="1341" w:type="pct"/>
            <w:vMerge/>
            <w:vAlign w:val="center"/>
          </w:tcPr>
          <w:p w14:paraId="6F2146D5" w14:textId="77777777" w:rsidR="00123595" w:rsidRPr="006454B5" w:rsidRDefault="00123595" w:rsidP="00123595">
            <w:pPr>
              <w:spacing w:after="0" w:line="240" w:lineRule="auto"/>
              <w:rPr>
                <w:rFonts w:ascii="Arial" w:hAnsi="Arial" w:cs="Arial"/>
                <w:szCs w:val="20"/>
              </w:rPr>
            </w:pPr>
          </w:p>
        </w:tc>
        <w:tc>
          <w:tcPr>
            <w:tcW w:w="1414" w:type="pct"/>
          </w:tcPr>
          <w:p w14:paraId="6AA73923" w14:textId="7591F3D5" w:rsidR="00123595" w:rsidRPr="006454B5" w:rsidRDefault="00123595" w:rsidP="00123595">
            <w:pPr>
              <w:spacing w:after="0" w:line="240" w:lineRule="auto"/>
              <w:jc w:val="center"/>
              <w:rPr>
                <w:rFonts w:ascii="Arial" w:hAnsi="Arial" w:cs="Arial"/>
                <w:szCs w:val="20"/>
                <w:vertAlign w:val="superscript"/>
              </w:rPr>
            </w:pPr>
            <w:r w:rsidRPr="006454B5">
              <w:rPr>
                <w:rFonts w:ascii="Arial" w:hAnsi="Arial" w:cs="Arial"/>
                <w:szCs w:val="20"/>
              </w:rPr>
              <w:t xml:space="preserve">Police </w:t>
            </w:r>
            <w:proofErr w:type="spellStart"/>
            <w:r w:rsidRPr="006454B5">
              <w:rPr>
                <w:rFonts w:ascii="Arial" w:hAnsi="Arial" w:cs="Arial"/>
                <w:szCs w:val="20"/>
              </w:rPr>
              <w:t>record</w:t>
            </w:r>
            <w:r w:rsidR="00DA37D4" w:rsidRPr="006454B5">
              <w:rPr>
                <w:rFonts w:ascii="Arial" w:hAnsi="Arial" w:cs="Arial"/>
                <w:szCs w:val="20"/>
                <w:vertAlign w:val="superscript"/>
              </w:rPr>
              <w:t>k</w:t>
            </w:r>
            <w:proofErr w:type="spellEnd"/>
          </w:p>
        </w:tc>
        <w:tc>
          <w:tcPr>
            <w:tcW w:w="504" w:type="pct"/>
            <w:vAlign w:val="center"/>
          </w:tcPr>
          <w:p w14:paraId="2C47D2F3"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66</w:t>
            </w:r>
          </w:p>
        </w:tc>
        <w:tc>
          <w:tcPr>
            <w:tcW w:w="1220" w:type="pct"/>
            <w:vAlign w:val="center"/>
          </w:tcPr>
          <w:p w14:paraId="5A7488F2"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14.8</w:t>
            </w:r>
          </w:p>
        </w:tc>
        <w:tc>
          <w:tcPr>
            <w:tcW w:w="521" w:type="pct"/>
            <w:vAlign w:val="center"/>
          </w:tcPr>
          <w:p w14:paraId="43B68F7E"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22A5853E" w14:textId="77777777" w:rsidTr="006454B5">
        <w:trPr>
          <w:trHeight w:val="20"/>
        </w:trPr>
        <w:tc>
          <w:tcPr>
            <w:tcW w:w="1341" w:type="pct"/>
            <w:vMerge w:val="restart"/>
          </w:tcPr>
          <w:p w14:paraId="50A3D432" w14:textId="3C51F128" w:rsidR="00123595" w:rsidRPr="006454B5" w:rsidRDefault="00123595" w:rsidP="00123595">
            <w:pPr>
              <w:spacing w:after="0" w:line="240" w:lineRule="auto"/>
              <w:rPr>
                <w:rFonts w:ascii="Arial" w:hAnsi="Arial" w:cs="Arial"/>
                <w:szCs w:val="20"/>
                <w:vertAlign w:val="superscript"/>
              </w:rPr>
            </w:pPr>
            <w:r w:rsidRPr="006454B5">
              <w:rPr>
                <w:rFonts w:ascii="Arial" w:hAnsi="Arial" w:cs="Arial"/>
                <w:szCs w:val="20"/>
              </w:rPr>
              <w:t xml:space="preserve">Prior false </w:t>
            </w:r>
            <w:proofErr w:type="spellStart"/>
            <w:r w:rsidRPr="006454B5">
              <w:rPr>
                <w:rFonts w:ascii="Arial" w:hAnsi="Arial" w:cs="Arial"/>
                <w:szCs w:val="20"/>
              </w:rPr>
              <w:t>allegation</w:t>
            </w:r>
            <w:r w:rsidR="00DA37D4" w:rsidRPr="006454B5">
              <w:rPr>
                <w:rFonts w:ascii="Arial" w:hAnsi="Arial" w:cs="Arial"/>
                <w:szCs w:val="20"/>
                <w:vertAlign w:val="superscript"/>
              </w:rPr>
              <w:t>l</w:t>
            </w:r>
            <w:proofErr w:type="spellEnd"/>
          </w:p>
        </w:tc>
        <w:tc>
          <w:tcPr>
            <w:tcW w:w="1414" w:type="pct"/>
          </w:tcPr>
          <w:p w14:paraId="38105ABB" w14:textId="7B4426E4" w:rsidR="00123595" w:rsidRPr="006454B5" w:rsidRDefault="00123595" w:rsidP="00123595">
            <w:pPr>
              <w:spacing w:after="0" w:line="240" w:lineRule="auto"/>
              <w:jc w:val="center"/>
              <w:rPr>
                <w:rFonts w:ascii="Arial" w:hAnsi="Arial" w:cs="Arial"/>
                <w:szCs w:val="20"/>
                <w:vertAlign w:val="superscript"/>
              </w:rPr>
            </w:pPr>
            <w:r w:rsidRPr="006454B5">
              <w:rPr>
                <w:rFonts w:ascii="Arial" w:hAnsi="Arial" w:cs="Arial"/>
                <w:szCs w:val="20"/>
              </w:rPr>
              <w:t>Sexual assault</w:t>
            </w:r>
          </w:p>
        </w:tc>
        <w:tc>
          <w:tcPr>
            <w:tcW w:w="504" w:type="pct"/>
            <w:vAlign w:val="center"/>
          </w:tcPr>
          <w:p w14:paraId="6675863B"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28</w:t>
            </w:r>
          </w:p>
        </w:tc>
        <w:tc>
          <w:tcPr>
            <w:tcW w:w="1220" w:type="pct"/>
            <w:vAlign w:val="center"/>
          </w:tcPr>
          <w:p w14:paraId="45AB7E85"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6.3</w:t>
            </w:r>
          </w:p>
        </w:tc>
        <w:tc>
          <w:tcPr>
            <w:tcW w:w="521" w:type="pct"/>
            <w:vAlign w:val="center"/>
          </w:tcPr>
          <w:p w14:paraId="5F217C2C"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1FDD1138" w14:textId="77777777" w:rsidTr="006454B5">
        <w:trPr>
          <w:trHeight w:val="20"/>
        </w:trPr>
        <w:tc>
          <w:tcPr>
            <w:tcW w:w="1341" w:type="pct"/>
            <w:vMerge/>
            <w:tcBorders>
              <w:bottom w:val="single" w:sz="4" w:space="0" w:color="auto"/>
            </w:tcBorders>
            <w:vAlign w:val="center"/>
          </w:tcPr>
          <w:p w14:paraId="42F56C85" w14:textId="77777777" w:rsidR="00123595" w:rsidRPr="006454B5" w:rsidRDefault="00123595" w:rsidP="00123595">
            <w:pPr>
              <w:spacing w:after="0" w:line="240" w:lineRule="auto"/>
              <w:rPr>
                <w:rFonts w:ascii="Arial" w:hAnsi="Arial" w:cs="Arial"/>
                <w:szCs w:val="20"/>
              </w:rPr>
            </w:pPr>
          </w:p>
        </w:tc>
        <w:tc>
          <w:tcPr>
            <w:tcW w:w="1414" w:type="pct"/>
            <w:tcBorders>
              <w:bottom w:val="single" w:sz="4" w:space="0" w:color="auto"/>
            </w:tcBorders>
          </w:tcPr>
          <w:p w14:paraId="5C5111B7" w14:textId="0094E40E" w:rsidR="00123595" w:rsidRPr="006454B5" w:rsidRDefault="00123595" w:rsidP="00123595">
            <w:pPr>
              <w:spacing w:after="0" w:line="240" w:lineRule="auto"/>
              <w:jc w:val="center"/>
              <w:rPr>
                <w:rFonts w:ascii="Arial" w:hAnsi="Arial" w:cs="Arial"/>
                <w:szCs w:val="20"/>
                <w:vertAlign w:val="superscript"/>
              </w:rPr>
            </w:pPr>
            <w:r w:rsidRPr="006454B5">
              <w:rPr>
                <w:rFonts w:ascii="Arial" w:hAnsi="Arial" w:cs="Arial"/>
                <w:szCs w:val="20"/>
              </w:rPr>
              <w:t>Other crime</w:t>
            </w:r>
          </w:p>
        </w:tc>
        <w:tc>
          <w:tcPr>
            <w:tcW w:w="504" w:type="pct"/>
            <w:tcBorders>
              <w:bottom w:val="single" w:sz="4" w:space="0" w:color="auto"/>
            </w:tcBorders>
            <w:vAlign w:val="center"/>
          </w:tcPr>
          <w:p w14:paraId="2D218CCC"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16</w:t>
            </w:r>
          </w:p>
        </w:tc>
        <w:tc>
          <w:tcPr>
            <w:tcW w:w="1220" w:type="pct"/>
            <w:tcBorders>
              <w:bottom w:val="single" w:sz="4" w:space="0" w:color="auto"/>
            </w:tcBorders>
            <w:vAlign w:val="center"/>
          </w:tcPr>
          <w:p w14:paraId="7B23367D"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3.6</w:t>
            </w:r>
          </w:p>
        </w:tc>
        <w:tc>
          <w:tcPr>
            <w:tcW w:w="521" w:type="pct"/>
            <w:tcBorders>
              <w:bottom w:val="single" w:sz="4" w:space="0" w:color="auto"/>
            </w:tcBorders>
            <w:vAlign w:val="center"/>
          </w:tcPr>
          <w:p w14:paraId="10EE4516"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bl>
    <w:p w14:paraId="1CEFAE63" w14:textId="77777777" w:rsidR="00862379" w:rsidRPr="006454B5" w:rsidRDefault="00862379" w:rsidP="00123595">
      <w:pPr>
        <w:spacing w:after="0" w:line="240" w:lineRule="auto"/>
        <w:rPr>
          <w:rFonts w:ascii="Arial" w:hAnsi="Arial" w:cs="Arial"/>
          <w:sz w:val="20"/>
          <w:szCs w:val="20"/>
          <w:vertAlign w:val="superscript"/>
        </w:rPr>
      </w:pPr>
    </w:p>
    <w:p w14:paraId="7EEA5BF8" w14:textId="63FA85E6" w:rsidR="00123595" w:rsidRPr="006454B5" w:rsidRDefault="00A4230F" w:rsidP="00123595">
      <w:pPr>
        <w:spacing w:after="0" w:line="240" w:lineRule="auto"/>
        <w:rPr>
          <w:rFonts w:ascii="Arial" w:hAnsi="Arial" w:cs="Arial"/>
          <w:sz w:val="20"/>
          <w:szCs w:val="20"/>
        </w:rPr>
      </w:pPr>
      <w:proofErr w:type="gramStart"/>
      <w:r w:rsidRPr="006454B5">
        <w:rPr>
          <w:rFonts w:ascii="Arial" w:hAnsi="Arial" w:cs="Arial"/>
          <w:sz w:val="20"/>
          <w:szCs w:val="20"/>
          <w:vertAlign w:val="superscript"/>
        </w:rPr>
        <w:t>a</w:t>
      </w:r>
      <w:proofErr w:type="gramEnd"/>
      <w:r w:rsidRPr="006454B5">
        <w:rPr>
          <w:rFonts w:ascii="Arial" w:hAnsi="Arial" w:cs="Arial"/>
          <w:sz w:val="20"/>
          <w:szCs w:val="20"/>
          <w:vertAlign w:val="superscript"/>
        </w:rPr>
        <w:t xml:space="preserve"> </w:t>
      </w:r>
      <w:proofErr w:type="spellStart"/>
      <w:r w:rsidRPr="006454B5">
        <w:rPr>
          <w:rFonts w:ascii="Arial" w:hAnsi="Arial" w:cs="Arial"/>
          <w:sz w:val="20"/>
          <w:szCs w:val="20"/>
        </w:rPr>
        <w:t>A</w:t>
      </w:r>
      <w:proofErr w:type="spellEnd"/>
      <w:r w:rsidRPr="006454B5">
        <w:rPr>
          <w:rFonts w:ascii="Arial" w:hAnsi="Arial" w:cs="Arial"/>
          <w:sz w:val="20"/>
          <w:szCs w:val="20"/>
        </w:rPr>
        <w:t xml:space="preserve"> specific field in CRIS report of vulnerability and intimidation.</w:t>
      </w:r>
    </w:p>
    <w:p w14:paraId="2A68E5CA" w14:textId="1055C76E" w:rsidR="00A4230F" w:rsidRPr="006454B5" w:rsidRDefault="00A4230F" w:rsidP="00123595">
      <w:pPr>
        <w:spacing w:after="0" w:line="240" w:lineRule="auto"/>
        <w:rPr>
          <w:rFonts w:ascii="Arial" w:hAnsi="Arial" w:cs="Arial"/>
          <w:sz w:val="20"/>
          <w:szCs w:val="20"/>
        </w:rPr>
      </w:pPr>
      <w:proofErr w:type="gramStart"/>
      <w:r w:rsidRPr="006454B5">
        <w:rPr>
          <w:rFonts w:ascii="Arial" w:hAnsi="Arial" w:cs="Arial"/>
          <w:sz w:val="20"/>
          <w:szCs w:val="20"/>
          <w:vertAlign w:val="superscript"/>
        </w:rPr>
        <w:t>b</w:t>
      </w:r>
      <w:proofErr w:type="gramEnd"/>
      <w:r w:rsidRPr="006454B5">
        <w:rPr>
          <w:rFonts w:ascii="Arial" w:hAnsi="Arial" w:cs="Arial"/>
          <w:sz w:val="20"/>
          <w:szCs w:val="20"/>
          <w:vertAlign w:val="superscript"/>
        </w:rPr>
        <w:t xml:space="preserve"> </w:t>
      </w:r>
      <w:r w:rsidRPr="006454B5">
        <w:rPr>
          <w:rFonts w:ascii="Arial" w:hAnsi="Arial" w:cs="Arial"/>
          <w:sz w:val="20"/>
          <w:szCs w:val="20"/>
        </w:rPr>
        <w:t xml:space="preserve">Officer narrative includes reference to victim </w:t>
      </w:r>
      <w:r w:rsidR="00456F15" w:rsidRPr="006454B5">
        <w:rPr>
          <w:rFonts w:ascii="Arial" w:hAnsi="Arial" w:cs="Arial"/>
          <w:sz w:val="20"/>
          <w:szCs w:val="20"/>
        </w:rPr>
        <w:t>presenting</w:t>
      </w:r>
      <w:r w:rsidRPr="006454B5">
        <w:rPr>
          <w:rFonts w:ascii="Arial" w:hAnsi="Arial" w:cs="Arial"/>
          <w:sz w:val="20"/>
          <w:szCs w:val="20"/>
        </w:rPr>
        <w:t xml:space="preserve"> with one or more mental illness.</w:t>
      </w:r>
    </w:p>
    <w:p w14:paraId="1E6AC0C7" w14:textId="4685AB7E" w:rsidR="00A4230F" w:rsidRPr="006454B5" w:rsidRDefault="00A4230F" w:rsidP="00123595">
      <w:pPr>
        <w:spacing w:after="0" w:line="240" w:lineRule="auto"/>
        <w:rPr>
          <w:rFonts w:ascii="Arial" w:hAnsi="Arial" w:cs="Arial"/>
          <w:sz w:val="20"/>
          <w:szCs w:val="20"/>
        </w:rPr>
      </w:pPr>
      <w:proofErr w:type="gramStart"/>
      <w:r w:rsidRPr="006454B5">
        <w:rPr>
          <w:rFonts w:ascii="Arial" w:hAnsi="Arial" w:cs="Arial"/>
          <w:sz w:val="20"/>
          <w:szCs w:val="20"/>
          <w:vertAlign w:val="superscript"/>
        </w:rPr>
        <w:t>c</w:t>
      </w:r>
      <w:proofErr w:type="gramEnd"/>
      <w:r w:rsidRPr="006454B5">
        <w:rPr>
          <w:rFonts w:ascii="Arial" w:hAnsi="Arial" w:cs="Arial"/>
          <w:sz w:val="20"/>
          <w:szCs w:val="20"/>
          <w:vertAlign w:val="superscript"/>
        </w:rPr>
        <w:t xml:space="preserve"> </w:t>
      </w:r>
      <w:r w:rsidRPr="006454B5">
        <w:rPr>
          <w:rFonts w:ascii="Arial" w:hAnsi="Arial" w:cs="Arial"/>
          <w:sz w:val="20"/>
          <w:szCs w:val="20"/>
        </w:rPr>
        <w:t>A specific field in CRIS report of physical disability</w:t>
      </w:r>
      <w:r w:rsidR="00456F15" w:rsidRPr="006454B5">
        <w:rPr>
          <w:rFonts w:ascii="Arial" w:hAnsi="Arial" w:cs="Arial"/>
          <w:sz w:val="20"/>
          <w:szCs w:val="20"/>
        </w:rPr>
        <w:t>.</w:t>
      </w:r>
    </w:p>
    <w:p w14:paraId="28C5FA7C" w14:textId="1B0FC1AC" w:rsidR="00A4230F" w:rsidRPr="006454B5" w:rsidRDefault="00A4230F" w:rsidP="00123595">
      <w:pPr>
        <w:spacing w:after="0" w:line="240" w:lineRule="auto"/>
        <w:rPr>
          <w:rFonts w:ascii="Arial" w:hAnsi="Arial" w:cs="Arial"/>
          <w:sz w:val="20"/>
          <w:szCs w:val="20"/>
        </w:rPr>
      </w:pPr>
      <w:proofErr w:type="gramStart"/>
      <w:r w:rsidRPr="006454B5">
        <w:rPr>
          <w:rFonts w:ascii="Arial" w:hAnsi="Arial" w:cs="Arial"/>
          <w:sz w:val="20"/>
          <w:szCs w:val="20"/>
          <w:vertAlign w:val="superscript"/>
        </w:rPr>
        <w:t>d</w:t>
      </w:r>
      <w:proofErr w:type="gramEnd"/>
      <w:r w:rsidRPr="006454B5">
        <w:rPr>
          <w:rFonts w:ascii="Arial" w:hAnsi="Arial" w:cs="Arial"/>
          <w:sz w:val="20"/>
          <w:szCs w:val="20"/>
          <w:vertAlign w:val="superscript"/>
        </w:rPr>
        <w:t xml:space="preserve"> </w:t>
      </w:r>
      <w:r w:rsidR="00456F15" w:rsidRPr="006454B5">
        <w:rPr>
          <w:rFonts w:ascii="Arial" w:hAnsi="Arial" w:cs="Arial"/>
          <w:sz w:val="20"/>
          <w:szCs w:val="20"/>
        </w:rPr>
        <w:t>Officer narrative includes reference to victim presenting with some form of learning difficulty.</w:t>
      </w:r>
    </w:p>
    <w:p w14:paraId="31380CCB" w14:textId="7AD3667D" w:rsidR="00A4230F" w:rsidRPr="006454B5" w:rsidRDefault="00A4230F" w:rsidP="00123595">
      <w:pPr>
        <w:spacing w:after="0" w:line="240" w:lineRule="auto"/>
        <w:rPr>
          <w:rFonts w:ascii="Arial" w:hAnsi="Arial" w:cs="Arial"/>
          <w:sz w:val="20"/>
          <w:szCs w:val="20"/>
        </w:rPr>
      </w:pPr>
      <w:proofErr w:type="gramStart"/>
      <w:r w:rsidRPr="006454B5">
        <w:rPr>
          <w:rFonts w:ascii="Arial" w:hAnsi="Arial" w:cs="Arial"/>
          <w:sz w:val="20"/>
          <w:szCs w:val="20"/>
          <w:vertAlign w:val="superscript"/>
        </w:rPr>
        <w:t>e</w:t>
      </w:r>
      <w:proofErr w:type="gramEnd"/>
      <w:r w:rsidR="00456F15" w:rsidRPr="006454B5">
        <w:rPr>
          <w:rFonts w:ascii="Arial" w:hAnsi="Arial" w:cs="Arial"/>
          <w:sz w:val="20"/>
          <w:szCs w:val="20"/>
          <w:vertAlign w:val="superscript"/>
        </w:rPr>
        <w:t xml:space="preserve"> </w:t>
      </w:r>
      <w:r w:rsidR="00456F15" w:rsidRPr="006454B5">
        <w:rPr>
          <w:rFonts w:ascii="Arial" w:hAnsi="Arial" w:cs="Arial"/>
          <w:sz w:val="20"/>
          <w:szCs w:val="20"/>
        </w:rPr>
        <w:t>Detective establishes previous victimisation of sexual assault or domestic violence through CRIS reports.</w:t>
      </w:r>
    </w:p>
    <w:p w14:paraId="2D6EDE09" w14:textId="3DB599A0" w:rsidR="00A4230F" w:rsidRPr="006454B5" w:rsidRDefault="00A4230F" w:rsidP="00123595">
      <w:pPr>
        <w:spacing w:after="0" w:line="240" w:lineRule="auto"/>
        <w:rPr>
          <w:rFonts w:ascii="Arial" w:hAnsi="Arial" w:cs="Arial"/>
          <w:sz w:val="20"/>
          <w:szCs w:val="20"/>
        </w:rPr>
      </w:pPr>
      <w:proofErr w:type="gramStart"/>
      <w:r w:rsidRPr="006454B5">
        <w:rPr>
          <w:rFonts w:ascii="Arial" w:hAnsi="Arial" w:cs="Arial"/>
          <w:sz w:val="20"/>
          <w:szCs w:val="20"/>
          <w:vertAlign w:val="superscript"/>
        </w:rPr>
        <w:t>f</w:t>
      </w:r>
      <w:proofErr w:type="gramEnd"/>
      <w:r w:rsidR="00456F15" w:rsidRPr="006454B5">
        <w:rPr>
          <w:rFonts w:ascii="Arial" w:hAnsi="Arial" w:cs="Arial"/>
          <w:sz w:val="20"/>
          <w:szCs w:val="20"/>
          <w:vertAlign w:val="superscript"/>
        </w:rPr>
        <w:t xml:space="preserve"> </w:t>
      </w:r>
      <w:r w:rsidR="00456F15" w:rsidRPr="006454B5">
        <w:rPr>
          <w:rFonts w:ascii="Arial" w:hAnsi="Arial" w:cs="Arial"/>
          <w:sz w:val="20"/>
          <w:szCs w:val="20"/>
        </w:rPr>
        <w:t>Yes/no, were any sexual assault or domestic abuse reports made by the victim in the last year.</w:t>
      </w:r>
    </w:p>
    <w:p w14:paraId="63BFE0C2" w14:textId="37D3EC65" w:rsidR="00A4230F" w:rsidRPr="006454B5" w:rsidRDefault="00A4230F" w:rsidP="00123595">
      <w:pPr>
        <w:spacing w:after="0" w:line="240" w:lineRule="auto"/>
        <w:rPr>
          <w:rFonts w:ascii="Arial" w:hAnsi="Arial" w:cs="Arial"/>
          <w:sz w:val="20"/>
          <w:szCs w:val="20"/>
        </w:rPr>
      </w:pPr>
      <w:proofErr w:type="gramStart"/>
      <w:r w:rsidRPr="006454B5">
        <w:rPr>
          <w:rFonts w:ascii="Arial" w:hAnsi="Arial" w:cs="Arial"/>
          <w:sz w:val="20"/>
          <w:szCs w:val="20"/>
          <w:vertAlign w:val="superscript"/>
        </w:rPr>
        <w:t>g</w:t>
      </w:r>
      <w:proofErr w:type="gramEnd"/>
      <w:r w:rsidR="00456F15" w:rsidRPr="006454B5">
        <w:rPr>
          <w:rFonts w:ascii="Arial" w:hAnsi="Arial" w:cs="Arial"/>
          <w:sz w:val="20"/>
          <w:szCs w:val="20"/>
          <w:vertAlign w:val="superscript"/>
        </w:rPr>
        <w:t xml:space="preserve"> </w:t>
      </w:r>
      <w:r w:rsidR="00456F15" w:rsidRPr="006454B5">
        <w:rPr>
          <w:rFonts w:ascii="Arial" w:hAnsi="Arial" w:cs="Arial"/>
          <w:sz w:val="20"/>
          <w:szCs w:val="20"/>
        </w:rPr>
        <w:t xml:space="preserve">Yes/no, based on </w:t>
      </w:r>
      <w:r w:rsidR="00915DA9" w:rsidRPr="006454B5">
        <w:rPr>
          <w:rFonts w:ascii="Arial" w:hAnsi="Arial" w:cs="Arial"/>
          <w:sz w:val="20"/>
          <w:szCs w:val="20"/>
        </w:rPr>
        <w:t xml:space="preserve">questions identified by </w:t>
      </w:r>
      <w:r w:rsidR="00456F15" w:rsidRPr="006454B5">
        <w:rPr>
          <w:rFonts w:ascii="Arial" w:hAnsi="Arial" w:cs="Arial"/>
          <w:sz w:val="20"/>
          <w:szCs w:val="20"/>
        </w:rPr>
        <w:t>CRIS report.</w:t>
      </w:r>
    </w:p>
    <w:p w14:paraId="67F5030A" w14:textId="34414333" w:rsidR="00A4230F" w:rsidRPr="006454B5" w:rsidRDefault="00DA37D4" w:rsidP="00123595">
      <w:pPr>
        <w:spacing w:after="0" w:line="240" w:lineRule="auto"/>
        <w:rPr>
          <w:rFonts w:ascii="Arial" w:hAnsi="Arial" w:cs="Arial"/>
          <w:sz w:val="20"/>
          <w:szCs w:val="20"/>
        </w:rPr>
      </w:pPr>
      <w:proofErr w:type="gramStart"/>
      <w:r w:rsidRPr="006454B5">
        <w:rPr>
          <w:rFonts w:ascii="Arial" w:hAnsi="Arial" w:cs="Arial"/>
          <w:sz w:val="20"/>
          <w:szCs w:val="20"/>
          <w:vertAlign w:val="superscript"/>
        </w:rPr>
        <w:t>h</w:t>
      </w:r>
      <w:proofErr w:type="gramEnd"/>
      <w:r w:rsidR="0078011B" w:rsidRPr="006454B5">
        <w:rPr>
          <w:rFonts w:ascii="Arial" w:hAnsi="Arial" w:cs="Arial"/>
          <w:sz w:val="20"/>
          <w:szCs w:val="20"/>
          <w:vertAlign w:val="superscript"/>
        </w:rPr>
        <w:t xml:space="preserve"> </w:t>
      </w:r>
      <w:r w:rsidR="0078011B" w:rsidRPr="006454B5">
        <w:rPr>
          <w:rFonts w:ascii="Arial" w:hAnsi="Arial" w:cs="Arial"/>
          <w:sz w:val="20"/>
          <w:szCs w:val="20"/>
        </w:rPr>
        <w:t>Coded yes/no, is the victim reported missing or identified as homeless at the time of the alleged offence.</w:t>
      </w:r>
      <w:r w:rsidR="0078011B" w:rsidRPr="006454B5">
        <w:rPr>
          <w:rFonts w:ascii="Arial" w:hAnsi="Arial" w:cs="Arial"/>
          <w:sz w:val="20"/>
          <w:szCs w:val="20"/>
          <w:vertAlign w:val="superscript"/>
        </w:rPr>
        <w:t xml:space="preserve"> </w:t>
      </w:r>
    </w:p>
    <w:p w14:paraId="2F7D2D5E" w14:textId="46BBBE23" w:rsidR="00A4230F" w:rsidRPr="006454B5" w:rsidRDefault="00DA37D4" w:rsidP="00123595">
      <w:pPr>
        <w:spacing w:after="0" w:line="240" w:lineRule="auto"/>
        <w:rPr>
          <w:rFonts w:ascii="Arial" w:hAnsi="Arial" w:cs="Arial"/>
          <w:sz w:val="20"/>
          <w:szCs w:val="20"/>
        </w:rPr>
      </w:pPr>
      <w:proofErr w:type="spellStart"/>
      <w:proofErr w:type="gramStart"/>
      <w:r w:rsidRPr="006454B5">
        <w:rPr>
          <w:rFonts w:ascii="Arial" w:hAnsi="Arial" w:cs="Arial"/>
          <w:sz w:val="20"/>
          <w:szCs w:val="20"/>
          <w:vertAlign w:val="superscript"/>
        </w:rPr>
        <w:t>i</w:t>
      </w:r>
      <w:proofErr w:type="spellEnd"/>
      <w:proofErr w:type="gramEnd"/>
      <w:r w:rsidR="0078011B" w:rsidRPr="006454B5">
        <w:rPr>
          <w:rFonts w:ascii="Arial" w:hAnsi="Arial" w:cs="Arial"/>
          <w:sz w:val="20"/>
          <w:szCs w:val="20"/>
          <w:vertAlign w:val="superscript"/>
        </w:rPr>
        <w:t xml:space="preserve"> </w:t>
      </w:r>
      <w:r w:rsidR="0078011B" w:rsidRPr="006454B5">
        <w:rPr>
          <w:rFonts w:ascii="Arial" w:hAnsi="Arial" w:cs="Arial"/>
          <w:sz w:val="20"/>
          <w:szCs w:val="20"/>
        </w:rPr>
        <w:t>Victim is known as or self-identified as a sex worker and were working as one at the time of the alleged offence</w:t>
      </w:r>
      <w:r w:rsidR="001F4320" w:rsidRPr="006454B5">
        <w:rPr>
          <w:rFonts w:ascii="Arial" w:hAnsi="Arial" w:cs="Arial"/>
          <w:sz w:val="20"/>
          <w:szCs w:val="20"/>
        </w:rPr>
        <w:t>.</w:t>
      </w:r>
    </w:p>
    <w:p w14:paraId="3B355157" w14:textId="1681860E" w:rsidR="00A4230F" w:rsidRPr="006454B5" w:rsidRDefault="00DA37D4" w:rsidP="00123595">
      <w:pPr>
        <w:spacing w:after="0" w:line="240" w:lineRule="auto"/>
        <w:rPr>
          <w:rFonts w:ascii="Arial" w:hAnsi="Arial" w:cs="Arial"/>
          <w:sz w:val="20"/>
          <w:szCs w:val="20"/>
        </w:rPr>
      </w:pPr>
      <w:proofErr w:type="gramStart"/>
      <w:r w:rsidRPr="006454B5">
        <w:rPr>
          <w:rFonts w:ascii="Arial" w:hAnsi="Arial" w:cs="Arial"/>
          <w:sz w:val="20"/>
          <w:szCs w:val="20"/>
          <w:vertAlign w:val="superscript"/>
        </w:rPr>
        <w:t>j</w:t>
      </w:r>
      <w:proofErr w:type="gramEnd"/>
      <w:r w:rsidR="0078011B" w:rsidRPr="006454B5">
        <w:rPr>
          <w:rFonts w:ascii="Arial" w:hAnsi="Arial" w:cs="Arial"/>
          <w:sz w:val="20"/>
          <w:szCs w:val="20"/>
          <w:vertAlign w:val="superscript"/>
        </w:rPr>
        <w:t xml:space="preserve"> </w:t>
      </w:r>
      <w:r w:rsidR="0078011B" w:rsidRPr="006454B5">
        <w:rPr>
          <w:rFonts w:ascii="Arial" w:hAnsi="Arial" w:cs="Arial"/>
          <w:sz w:val="20"/>
          <w:szCs w:val="20"/>
        </w:rPr>
        <w:t>Victim known to the police in relation to offending – may be the result of formal intelligence search</w:t>
      </w:r>
      <w:r w:rsidR="001F4320" w:rsidRPr="006454B5">
        <w:rPr>
          <w:rFonts w:ascii="Arial" w:hAnsi="Arial" w:cs="Arial"/>
          <w:sz w:val="20"/>
          <w:szCs w:val="20"/>
        </w:rPr>
        <w:t>.</w:t>
      </w:r>
    </w:p>
    <w:p w14:paraId="5A3E62C0" w14:textId="02008009" w:rsidR="00A4230F" w:rsidRPr="006454B5" w:rsidRDefault="00DA37D4" w:rsidP="00123595">
      <w:pPr>
        <w:spacing w:after="0" w:line="240" w:lineRule="auto"/>
        <w:rPr>
          <w:rFonts w:ascii="Arial" w:hAnsi="Arial" w:cs="Arial"/>
          <w:sz w:val="20"/>
          <w:szCs w:val="20"/>
        </w:rPr>
      </w:pPr>
      <w:proofErr w:type="gramStart"/>
      <w:r w:rsidRPr="006454B5">
        <w:rPr>
          <w:rFonts w:ascii="Arial" w:hAnsi="Arial" w:cs="Arial"/>
          <w:sz w:val="20"/>
          <w:szCs w:val="20"/>
          <w:vertAlign w:val="superscript"/>
        </w:rPr>
        <w:t>k</w:t>
      </w:r>
      <w:proofErr w:type="gramEnd"/>
      <w:r w:rsidR="0078011B" w:rsidRPr="006454B5">
        <w:rPr>
          <w:rFonts w:ascii="Arial" w:hAnsi="Arial" w:cs="Arial"/>
          <w:sz w:val="20"/>
          <w:szCs w:val="20"/>
          <w:vertAlign w:val="superscript"/>
        </w:rPr>
        <w:t xml:space="preserve"> </w:t>
      </w:r>
      <w:r w:rsidR="0078011B" w:rsidRPr="006454B5">
        <w:rPr>
          <w:rFonts w:ascii="Arial" w:hAnsi="Arial" w:cs="Arial"/>
          <w:sz w:val="20"/>
          <w:szCs w:val="20"/>
        </w:rPr>
        <w:t>Victim known to the police as having a previous criminal record – may be the result of formal intelligence search</w:t>
      </w:r>
      <w:r w:rsidR="009938B0" w:rsidRPr="006454B5">
        <w:rPr>
          <w:rFonts w:ascii="Arial" w:hAnsi="Arial" w:cs="Arial"/>
          <w:sz w:val="20"/>
          <w:szCs w:val="20"/>
        </w:rPr>
        <w:t>.</w:t>
      </w:r>
    </w:p>
    <w:p w14:paraId="0106BE17" w14:textId="3BB5D9C7" w:rsidR="00A4230F" w:rsidRPr="006454B5" w:rsidRDefault="00DA37D4" w:rsidP="00DA37D4">
      <w:pPr>
        <w:spacing w:after="0" w:line="240" w:lineRule="auto"/>
        <w:rPr>
          <w:rFonts w:ascii="Arial" w:hAnsi="Arial" w:cs="Arial"/>
          <w:sz w:val="20"/>
          <w:szCs w:val="20"/>
          <w:vertAlign w:val="superscript"/>
        </w:rPr>
      </w:pPr>
      <w:proofErr w:type="gramStart"/>
      <w:r w:rsidRPr="006454B5">
        <w:rPr>
          <w:rFonts w:ascii="Arial" w:hAnsi="Arial" w:cs="Arial"/>
          <w:sz w:val="20"/>
          <w:szCs w:val="20"/>
          <w:vertAlign w:val="superscript"/>
        </w:rPr>
        <w:t>l</w:t>
      </w:r>
      <w:proofErr w:type="gramEnd"/>
      <w:r w:rsidR="0078011B" w:rsidRPr="006454B5">
        <w:rPr>
          <w:rFonts w:ascii="Arial" w:hAnsi="Arial" w:cs="Arial"/>
          <w:sz w:val="20"/>
          <w:szCs w:val="20"/>
          <w:vertAlign w:val="superscript"/>
        </w:rPr>
        <w:t xml:space="preserve"> </w:t>
      </w:r>
      <w:r w:rsidR="0078011B" w:rsidRPr="006454B5">
        <w:rPr>
          <w:rFonts w:ascii="Arial" w:hAnsi="Arial" w:cs="Arial"/>
          <w:sz w:val="20"/>
          <w:szCs w:val="20"/>
        </w:rPr>
        <w:t>Investigators explicitly state that the victim is known to the police to have previously made false allegations.</w:t>
      </w:r>
    </w:p>
    <w:p w14:paraId="7FD735FF" w14:textId="77777777" w:rsidR="00123595" w:rsidRPr="006454B5" w:rsidRDefault="00123595" w:rsidP="00123595">
      <w:pPr>
        <w:spacing w:after="0" w:line="240" w:lineRule="auto"/>
        <w:rPr>
          <w:rFonts w:ascii="Arial" w:hAnsi="Arial" w:cs="Arial"/>
          <w:sz w:val="20"/>
          <w:szCs w:val="20"/>
        </w:rPr>
      </w:pPr>
      <w:bookmarkStart w:id="1" w:name="_Hlk11145587"/>
      <w:r w:rsidRPr="006454B5">
        <w:rPr>
          <w:rFonts w:ascii="Arial" w:hAnsi="Arial" w:cs="Arial"/>
          <w:sz w:val="20"/>
          <w:szCs w:val="20"/>
        </w:rPr>
        <w:br w:type="page"/>
      </w:r>
    </w:p>
    <w:p w14:paraId="5F62B75A" w14:textId="01E8D4B2" w:rsidR="00123595" w:rsidRPr="006454B5" w:rsidRDefault="00123595" w:rsidP="00123595">
      <w:pPr>
        <w:spacing w:after="0" w:line="240" w:lineRule="auto"/>
        <w:rPr>
          <w:rFonts w:ascii="Arial" w:hAnsi="Arial" w:cs="Arial"/>
          <w:b/>
          <w:bCs/>
          <w:sz w:val="22"/>
        </w:rPr>
      </w:pPr>
      <w:r w:rsidRPr="006454B5">
        <w:rPr>
          <w:rFonts w:ascii="Arial" w:hAnsi="Arial" w:cs="Arial"/>
          <w:b/>
          <w:bCs/>
          <w:sz w:val="22"/>
        </w:rPr>
        <w:lastRenderedPageBreak/>
        <w:t xml:space="preserve">Table 2 </w:t>
      </w:r>
    </w:p>
    <w:p w14:paraId="2B414460" w14:textId="77777777" w:rsidR="00123595" w:rsidRPr="006454B5" w:rsidRDefault="00123595" w:rsidP="00123595">
      <w:pPr>
        <w:spacing w:after="0" w:line="240" w:lineRule="auto"/>
        <w:rPr>
          <w:rFonts w:ascii="Arial" w:hAnsi="Arial" w:cs="Arial"/>
          <w:sz w:val="22"/>
        </w:rPr>
      </w:pPr>
    </w:p>
    <w:p w14:paraId="7E3F700B" w14:textId="4A708AA6" w:rsidR="00123595" w:rsidRPr="006454B5" w:rsidRDefault="00DA37D4" w:rsidP="00123595">
      <w:pPr>
        <w:spacing w:after="0" w:line="240" w:lineRule="auto"/>
        <w:rPr>
          <w:rFonts w:ascii="Arial" w:hAnsi="Arial" w:cs="Arial"/>
          <w:i/>
          <w:iCs/>
          <w:sz w:val="22"/>
        </w:rPr>
      </w:pPr>
      <w:r w:rsidRPr="006454B5">
        <w:rPr>
          <w:rFonts w:ascii="Arial" w:hAnsi="Arial" w:cs="Arial"/>
          <w:i/>
          <w:iCs/>
          <w:sz w:val="22"/>
        </w:rPr>
        <w:t>Frequencies and d</w:t>
      </w:r>
      <w:r w:rsidR="00123595" w:rsidRPr="006454B5">
        <w:rPr>
          <w:rFonts w:ascii="Arial" w:hAnsi="Arial" w:cs="Arial"/>
          <w:i/>
          <w:iCs/>
          <w:sz w:val="22"/>
        </w:rPr>
        <w:t>escriptive statistics for suspect-related variables</w:t>
      </w:r>
      <w:r w:rsidR="00A0095C" w:rsidRPr="006454B5">
        <w:rPr>
          <w:rFonts w:ascii="Arial" w:hAnsi="Arial" w:cs="Arial"/>
          <w:i/>
          <w:iCs/>
          <w:sz w:val="22"/>
        </w:rPr>
        <w:t xml:space="preserve"> (n=446)</w:t>
      </w:r>
    </w:p>
    <w:p w14:paraId="62BA524D" w14:textId="77777777" w:rsidR="00123595" w:rsidRPr="006454B5" w:rsidRDefault="00123595" w:rsidP="00123595">
      <w:pPr>
        <w:spacing w:after="0" w:line="240" w:lineRule="auto"/>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2"/>
        <w:gridCol w:w="161"/>
        <w:gridCol w:w="2338"/>
        <w:gridCol w:w="16"/>
        <w:gridCol w:w="826"/>
        <w:gridCol w:w="2140"/>
        <w:gridCol w:w="1077"/>
      </w:tblGrid>
      <w:tr w:rsidR="00123595" w:rsidRPr="006454B5" w14:paraId="6ABD1E19" w14:textId="77777777" w:rsidTr="00492808">
        <w:trPr>
          <w:trHeight w:val="20"/>
        </w:trPr>
        <w:tc>
          <w:tcPr>
            <w:tcW w:w="1454" w:type="pct"/>
            <w:gridSpan w:val="2"/>
            <w:tcBorders>
              <w:top w:val="single" w:sz="4" w:space="0" w:color="auto"/>
              <w:bottom w:val="single" w:sz="4" w:space="0" w:color="auto"/>
            </w:tcBorders>
            <w:vAlign w:val="center"/>
          </w:tcPr>
          <w:p w14:paraId="20F43B00" w14:textId="77777777" w:rsidR="00123595" w:rsidRPr="006454B5" w:rsidRDefault="00123595" w:rsidP="00123595">
            <w:pPr>
              <w:spacing w:after="0" w:line="240" w:lineRule="auto"/>
              <w:rPr>
                <w:rFonts w:ascii="Arial" w:hAnsi="Arial" w:cs="Arial"/>
                <w:bCs/>
                <w:szCs w:val="20"/>
              </w:rPr>
            </w:pPr>
            <w:r w:rsidRPr="006454B5">
              <w:rPr>
                <w:rFonts w:ascii="Arial" w:hAnsi="Arial" w:cs="Arial"/>
                <w:bCs/>
                <w:szCs w:val="20"/>
              </w:rPr>
              <w:t>Variable</w:t>
            </w:r>
          </w:p>
        </w:tc>
        <w:tc>
          <w:tcPr>
            <w:tcW w:w="1305" w:type="pct"/>
            <w:gridSpan w:val="2"/>
            <w:tcBorders>
              <w:top w:val="single" w:sz="4" w:space="0" w:color="auto"/>
              <w:bottom w:val="single" w:sz="4" w:space="0" w:color="auto"/>
            </w:tcBorders>
          </w:tcPr>
          <w:p w14:paraId="54883F79" w14:textId="77777777" w:rsidR="00123595" w:rsidRPr="006454B5" w:rsidRDefault="00123595" w:rsidP="00123595">
            <w:pPr>
              <w:spacing w:after="0" w:line="240" w:lineRule="auto"/>
              <w:jc w:val="center"/>
              <w:rPr>
                <w:rFonts w:ascii="Arial" w:hAnsi="Arial" w:cs="Arial"/>
                <w:bCs/>
                <w:szCs w:val="20"/>
              </w:rPr>
            </w:pPr>
          </w:p>
        </w:tc>
        <w:tc>
          <w:tcPr>
            <w:tcW w:w="458" w:type="pct"/>
            <w:tcBorders>
              <w:top w:val="single" w:sz="4" w:space="0" w:color="auto"/>
              <w:bottom w:val="single" w:sz="4" w:space="0" w:color="auto"/>
            </w:tcBorders>
            <w:vAlign w:val="center"/>
          </w:tcPr>
          <w:p w14:paraId="09F7E1F2" w14:textId="77777777" w:rsidR="00123595" w:rsidRPr="006454B5" w:rsidRDefault="00123595" w:rsidP="00123595">
            <w:pPr>
              <w:spacing w:after="0" w:line="240" w:lineRule="auto"/>
              <w:jc w:val="center"/>
              <w:rPr>
                <w:rFonts w:ascii="Arial" w:hAnsi="Arial" w:cs="Arial"/>
                <w:bCs/>
                <w:szCs w:val="20"/>
              </w:rPr>
            </w:pPr>
            <w:r w:rsidRPr="006454B5">
              <w:rPr>
                <w:rFonts w:ascii="Arial" w:hAnsi="Arial" w:cs="Arial"/>
                <w:bCs/>
                <w:szCs w:val="20"/>
              </w:rPr>
              <w:t>N</w:t>
            </w:r>
          </w:p>
        </w:tc>
        <w:tc>
          <w:tcPr>
            <w:tcW w:w="1186" w:type="pct"/>
            <w:tcBorders>
              <w:top w:val="single" w:sz="4" w:space="0" w:color="auto"/>
              <w:bottom w:val="single" w:sz="4" w:space="0" w:color="auto"/>
            </w:tcBorders>
            <w:vAlign w:val="center"/>
          </w:tcPr>
          <w:p w14:paraId="05A3C45A" w14:textId="77777777" w:rsidR="00123595" w:rsidRPr="006454B5" w:rsidRDefault="00123595" w:rsidP="00123595">
            <w:pPr>
              <w:spacing w:after="0" w:line="240" w:lineRule="auto"/>
              <w:jc w:val="center"/>
              <w:rPr>
                <w:rFonts w:ascii="Arial" w:hAnsi="Arial" w:cs="Arial"/>
                <w:bCs/>
                <w:szCs w:val="20"/>
              </w:rPr>
            </w:pPr>
            <w:r w:rsidRPr="006454B5">
              <w:rPr>
                <w:rFonts w:ascii="Arial" w:hAnsi="Arial" w:cs="Arial"/>
                <w:bCs/>
                <w:szCs w:val="20"/>
              </w:rPr>
              <w:t>% of sample</w:t>
            </w:r>
          </w:p>
        </w:tc>
        <w:tc>
          <w:tcPr>
            <w:tcW w:w="597" w:type="pct"/>
            <w:tcBorders>
              <w:top w:val="single" w:sz="4" w:space="0" w:color="auto"/>
              <w:bottom w:val="single" w:sz="4" w:space="0" w:color="auto"/>
            </w:tcBorders>
          </w:tcPr>
          <w:p w14:paraId="76B07673" w14:textId="77777777" w:rsidR="00123595" w:rsidRPr="006454B5" w:rsidRDefault="00123595" w:rsidP="00123595">
            <w:pPr>
              <w:spacing w:after="0" w:line="240" w:lineRule="auto"/>
              <w:jc w:val="center"/>
              <w:rPr>
                <w:rFonts w:ascii="Arial" w:hAnsi="Arial" w:cs="Arial"/>
                <w:bCs/>
                <w:szCs w:val="20"/>
              </w:rPr>
            </w:pPr>
            <w:r w:rsidRPr="006454B5">
              <w:rPr>
                <w:rFonts w:ascii="Arial" w:hAnsi="Arial" w:cs="Arial"/>
                <w:bCs/>
                <w:szCs w:val="20"/>
              </w:rPr>
              <w:t>Missing data</w:t>
            </w:r>
          </w:p>
        </w:tc>
      </w:tr>
      <w:tr w:rsidR="00123595" w:rsidRPr="006454B5" w14:paraId="3AE7C1AD" w14:textId="77777777" w:rsidTr="00492808">
        <w:trPr>
          <w:trHeight w:val="20"/>
        </w:trPr>
        <w:tc>
          <w:tcPr>
            <w:tcW w:w="5000" w:type="pct"/>
            <w:gridSpan w:val="7"/>
            <w:vAlign w:val="center"/>
          </w:tcPr>
          <w:p w14:paraId="74389CE4" w14:textId="77777777" w:rsidR="00123595" w:rsidRPr="006454B5" w:rsidRDefault="00123595" w:rsidP="00123595">
            <w:pPr>
              <w:spacing w:after="0" w:line="240" w:lineRule="auto"/>
              <w:rPr>
                <w:rFonts w:ascii="Arial" w:hAnsi="Arial" w:cs="Arial"/>
                <w:szCs w:val="20"/>
                <w:u w:val="single"/>
              </w:rPr>
            </w:pPr>
            <w:r w:rsidRPr="006454B5">
              <w:rPr>
                <w:rFonts w:ascii="Arial" w:hAnsi="Arial" w:cs="Arial"/>
                <w:i/>
                <w:iCs/>
                <w:szCs w:val="20"/>
                <w:u w:val="single"/>
              </w:rPr>
              <w:t>Suspect Demographics</w:t>
            </w:r>
          </w:p>
        </w:tc>
      </w:tr>
      <w:tr w:rsidR="00123595" w:rsidRPr="006454B5" w14:paraId="4AC119D0" w14:textId="77777777" w:rsidTr="00492808">
        <w:trPr>
          <w:trHeight w:val="20"/>
        </w:trPr>
        <w:tc>
          <w:tcPr>
            <w:tcW w:w="1454" w:type="pct"/>
            <w:gridSpan w:val="2"/>
            <w:vAlign w:val="center"/>
          </w:tcPr>
          <w:p w14:paraId="67FDE495" w14:textId="77777777" w:rsidR="00123595" w:rsidRPr="006454B5" w:rsidRDefault="00123595" w:rsidP="00123595">
            <w:pPr>
              <w:spacing w:after="0" w:line="240" w:lineRule="auto"/>
              <w:rPr>
                <w:rFonts w:ascii="Arial" w:hAnsi="Arial" w:cs="Arial"/>
                <w:szCs w:val="20"/>
              </w:rPr>
            </w:pPr>
            <w:r w:rsidRPr="006454B5">
              <w:rPr>
                <w:rFonts w:ascii="Arial" w:hAnsi="Arial" w:cs="Arial"/>
                <w:szCs w:val="20"/>
              </w:rPr>
              <w:t>Age</w:t>
            </w:r>
          </w:p>
        </w:tc>
        <w:tc>
          <w:tcPr>
            <w:tcW w:w="1305" w:type="pct"/>
            <w:gridSpan w:val="2"/>
          </w:tcPr>
          <w:p w14:paraId="12372710" w14:textId="77777777" w:rsidR="00123595" w:rsidRPr="006454B5" w:rsidRDefault="00123595" w:rsidP="00123595">
            <w:pPr>
              <w:spacing w:after="0" w:line="240" w:lineRule="auto"/>
              <w:jc w:val="center"/>
              <w:rPr>
                <w:rFonts w:ascii="Arial" w:hAnsi="Arial" w:cs="Arial"/>
                <w:iCs/>
                <w:szCs w:val="20"/>
              </w:rPr>
            </w:pPr>
            <w:r w:rsidRPr="006454B5">
              <w:rPr>
                <w:rFonts w:ascii="Arial" w:hAnsi="Arial" w:cs="Arial"/>
                <w:iCs/>
                <w:szCs w:val="20"/>
              </w:rPr>
              <w:t>Age at offence</w:t>
            </w:r>
          </w:p>
        </w:tc>
        <w:tc>
          <w:tcPr>
            <w:tcW w:w="1644" w:type="pct"/>
            <w:gridSpan w:val="2"/>
            <w:vAlign w:val="center"/>
          </w:tcPr>
          <w:p w14:paraId="68E238BF" w14:textId="77777777" w:rsidR="00123595" w:rsidRPr="006454B5" w:rsidRDefault="00123595" w:rsidP="00123595">
            <w:pPr>
              <w:spacing w:after="0" w:line="240" w:lineRule="auto"/>
              <w:jc w:val="center"/>
              <w:rPr>
                <w:rFonts w:ascii="Arial" w:hAnsi="Arial" w:cs="Arial"/>
                <w:i/>
                <w:szCs w:val="20"/>
              </w:rPr>
            </w:pPr>
            <w:r w:rsidRPr="006454B5">
              <w:rPr>
                <w:rFonts w:ascii="Arial" w:hAnsi="Arial" w:cs="Arial"/>
                <w:i/>
                <w:szCs w:val="20"/>
              </w:rPr>
              <w:t>M</w:t>
            </w:r>
            <w:r w:rsidRPr="006454B5">
              <w:rPr>
                <w:rFonts w:ascii="Arial" w:hAnsi="Arial" w:cs="Arial"/>
                <w:szCs w:val="20"/>
              </w:rPr>
              <w:t xml:space="preserve">=32.2, </w:t>
            </w:r>
            <w:r w:rsidRPr="006454B5">
              <w:rPr>
                <w:rFonts w:ascii="Arial" w:hAnsi="Arial" w:cs="Arial"/>
                <w:i/>
                <w:szCs w:val="20"/>
              </w:rPr>
              <w:t>SD</w:t>
            </w:r>
            <w:r w:rsidRPr="006454B5">
              <w:rPr>
                <w:rFonts w:ascii="Arial" w:hAnsi="Arial" w:cs="Arial"/>
                <w:szCs w:val="20"/>
              </w:rPr>
              <w:t>=13.4 (range 8-81)</w:t>
            </w:r>
          </w:p>
        </w:tc>
        <w:tc>
          <w:tcPr>
            <w:tcW w:w="597" w:type="pct"/>
          </w:tcPr>
          <w:p w14:paraId="49A7F078"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113</w:t>
            </w:r>
          </w:p>
        </w:tc>
      </w:tr>
      <w:tr w:rsidR="00CB238E" w:rsidRPr="006454B5" w14:paraId="6C408950" w14:textId="77777777" w:rsidTr="00492808">
        <w:trPr>
          <w:trHeight w:val="20"/>
        </w:trPr>
        <w:tc>
          <w:tcPr>
            <w:tcW w:w="1454" w:type="pct"/>
            <w:gridSpan w:val="2"/>
            <w:vAlign w:val="center"/>
          </w:tcPr>
          <w:p w14:paraId="33534417" w14:textId="77777777" w:rsidR="00CB238E" w:rsidRPr="006454B5" w:rsidRDefault="00CB238E" w:rsidP="00123595">
            <w:pPr>
              <w:spacing w:after="0" w:line="240" w:lineRule="auto"/>
              <w:rPr>
                <w:rFonts w:ascii="Arial" w:hAnsi="Arial" w:cs="Arial"/>
                <w:szCs w:val="20"/>
              </w:rPr>
            </w:pPr>
          </w:p>
        </w:tc>
        <w:tc>
          <w:tcPr>
            <w:tcW w:w="1305" w:type="pct"/>
            <w:gridSpan w:val="2"/>
          </w:tcPr>
          <w:p w14:paraId="1C67F914" w14:textId="1BCEE77D" w:rsidR="00CB238E" w:rsidRPr="006454B5" w:rsidRDefault="00CB238E" w:rsidP="00123595">
            <w:pPr>
              <w:spacing w:after="0" w:line="240" w:lineRule="auto"/>
              <w:jc w:val="center"/>
              <w:rPr>
                <w:rFonts w:ascii="Arial" w:hAnsi="Arial" w:cs="Arial"/>
                <w:iCs/>
                <w:szCs w:val="20"/>
              </w:rPr>
            </w:pPr>
            <w:r w:rsidRPr="006454B5">
              <w:rPr>
                <w:rFonts w:ascii="Arial" w:hAnsi="Arial" w:cs="Arial"/>
                <w:szCs w:val="20"/>
              </w:rPr>
              <w:t>Under 16 subgroup</w:t>
            </w:r>
          </w:p>
        </w:tc>
        <w:tc>
          <w:tcPr>
            <w:tcW w:w="1644" w:type="pct"/>
            <w:gridSpan w:val="2"/>
            <w:vAlign w:val="center"/>
          </w:tcPr>
          <w:p w14:paraId="5BCB3C1F" w14:textId="7B47ADDC" w:rsidR="00CB238E" w:rsidRPr="006454B5" w:rsidRDefault="00CB238E" w:rsidP="00123595">
            <w:pPr>
              <w:spacing w:after="0" w:line="240" w:lineRule="auto"/>
              <w:jc w:val="center"/>
              <w:rPr>
                <w:rFonts w:ascii="Arial" w:hAnsi="Arial" w:cs="Arial"/>
                <w:iCs/>
                <w:szCs w:val="20"/>
              </w:rPr>
            </w:pPr>
            <w:r w:rsidRPr="006454B5">
              <w:rPr>
                <w:rFonts w:ascii="Arial" w:hAnsi="Arial" w:cs="Arial"/>
                <w:i/>
                <w:szCs w:val="20"/>
              </w:rPr>
              <w:t>M=</w:t>
            </w:r>
            <w:r w:rsidRPr="006454B5">
              <w:rPr>
                <w:rFonts w:ascii="Arial" w:hAnsi="Arial" w:cs="Arial"/>
                <w:iCs/>
                <w:szCs w:val="20"/>
              </w:rPr>
              <w:t xml:space="preserve">26.1, </w:t>
            </w:r>
            <w:r w:rsidRPr="006454B5">
              <w:rPr>
                <w:rFonts w:ascii="Arial" w:hAnsi="Arial" w:cs="Arial"/>
                <w:i/>
                <w:szCs w:val="20"/>
              </w:rPr>
              <w:t>SD</w:t>
            </w:r>
            <w:r w:rsidRPr="006454B5">
              <w:rPr>
                <w:rFonts w:ascii="Arial" w:hAnsi="Arial" w:cs="Arial"/>
                <w:iCs/>
                <w:szCs w:val="20"/>
              </w:rPr>
              <w:t>=15.6</w:t>
            </w:r>
            <w:r w:rsidR="008A0545" w:rsidRPr="006454B5">
              <w:rPr>
                <w:rFonts w:ascii="Arial" w:hAnsi="Arial" w:cs="Arial"/>
                <w:iCs/>
                <w:szCs w:val="20"/>
              </w:rPr>
              <w:t xml:space="preserve"> (range 8-81)</w:t>
            </w:r>
          </w:p>
        </w:tc>
        <w:tc>
          <w:tcPr>
            <w:tcW w:w="597" w:type="pct"/>
          </w:tcPr>
          <w:p w14:paraId="1ECE5285" w14:textId="77777777" w:rsidR="00CB238E" w:rsidRPr="006454B5" w:rsidRDefault="00CB238E" w:rsidP="00123595">
            <w:pPr>
              <w:spacing w:after="0" w:line="240" w:lineRule="auto"/>
              <w:jc w:val="center"/>
              <w:rPr>
                <w:rFonts w:ascii="Arial" w:hAnsi="Arial" w:cs="Arial"/>
                <w:szCs w:val="20"/>
              </w:rPr>
            </w:pPr>
          </w:p>
        </w:tc>
      </w:tr>
      <w:tr w:rsidR="00123595" w:rsidRPr="006454B5" w14:paraId="4B60A431" w14:textId="77777777" w:rsidTr="00492808">
        <w:trPr>
          <w:trHeight w:val="20"/>
        </w:trPr>
        <w:tc>
          <w:tcPr>
            <w:tcW w:w="1454" w:type="pct"/>
            <w:gridSpan w:val="2"/>
            <w:vAlign w:val="center"/>
          </w:tcPr>
          <w:p w14:paraId="6D0821D1" w14:textId="77777777" w:rsidR="00123595" w:rsidRPr="006454B5" w:rsidRDefault="00123595" w:rsidP="00123595">
            <w:pPr>
              <w:spacing w:after="0" w:line="240" w:lineRule="auto"/>
              <w:rPr>
                <w:rFonts w:ascii="Arial" w:hAnsi="Arial" w:cs="Arial"/>
                <w:szCs w:val="20"/>
              </w:rPr>
            </w:pPr>
          </w:p>
        </w:tc>
        <w:tc>
          <w:tcPr>
            <w:tcW w:w="1305" w:type="pct"/>
            <w:gridSpan w:val="2"/>
          </w:tcPr>
          <w:p w14:paraId="6C064649"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iCs/>
                <w:szCs w:val="20"/>
              </w:rPr>
              <w:t>Under 16 at offence</w:t>
            </w:r>
          </w:p>
        </w:tc>
        <w:tc>
          <w:tcPr>
            <w:tcW w:w="458" w:type="pct"/>
            <w:vAlign w:val="center"/>
          </w:tcPr>
          <w:p w14:paraId="47C345FF"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24</w:t>
            </w:r>
          </w:p>
        </w:tc>
        <w:tc>
          <w:tcPr>
            <w:tcW w:w="1186" w:type="pct"/>
            <w:vAlign w:val="center"/>
          </w:tcPr>
          <w:p w14:paraId="29611BA2"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7.2</w:t>
            </w:r>
          </w:p>
        </w:tc>
        <w:tc>
          <w:tcPr>
            <w:tcW w:w="597" w:type="pct"/>
          </w:tcPr>
          <w:p w14:paraId="0D6DE115"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113</w:t>
            </w:r>
          </w:p>
        </w:tc>
      </w:tr>
      <w:tr w:rsidR="005E3F54" w:rsidRPr="006454B5" w14:paraId="60E0554B" w14:textId="77777777" w:rsidTr="005E3F54">
        <w:trPr>
          <w:trHeight w:val="20"/>
        </w:trPr>
        <w:tc>
          <w:tcPr>
            <w:tcW w:w="1454" w:type="pct"/>
            <w:gridSpan w:val="2"/>
            <w:vAlign w:val="center"/>
          </w:tcPr>
          <w:p w14:paraId="1D772DF4" w14:textId="77777777" w:rsidR="005E3F54" w:rsidRPr="006454B5" w:rsidRDefault="005E3F54" w:rsidP="00123595">
            <w:pPr>
              <w:spacing w:after="0" w:line="240" w:lineRule="auto"/>
              <w:rPr>
                <w:rFonts w:ascii="Arial" w:hAnsi="Arial" w:cs="Arial"/>
                <w:szCs w:val="20"/>
              </w:rPr>
            </w:pPr>
          </w:p>
        </w:tc>
        <w:tc>
          <w:tcPr>
            <w:tcW w:w="1305" w:type="pct"/>
            <w:gridSpan w:val="2"/>
            <w:vAlign w:val="center"/>
          </w:tcPr>
          <w:p w14:paraId="002AA5AA" w14:textId="0DAA5B1E" w:rsidR="005E3F54" w:rsidRPr="006454B5" w:rsidRDefault="005E3F54" w:rsidP="00123595">
            <w:pPr>
              <w:spacing w:after="0" w:line="240" w:lineRule="auto"/>
              <w:jc w:val="center"/>
              <w:rPr>
                <w:rFonts w:ascii="Arial" w:hAnsi="Arial" w:cs="Arial"/>
                <w:szCs w:val="20"/>
              </w:rPr>
            </w:pPr>
            <w:r w:rsidRPr="006454B5">
              <w:rPr>
                <w:rFonts w:ascii="Arial" w:hAnsi="Arial" w:cs="Arial"/>
                <w:szCs w:val="20"/>
              </w:rPr>
              <w:t>Age difference between victim and suspect</w:t>
            </w:r>
            <w:r w:rsidR="001B015C" w:rsidRPr="006454B5">
              <w:rPr>
                <w:rFonts w:ascii="Arial" w:hAnsi="Arial" w:cs="Arial"/>
                <w:szCs w:val="20"/>
              </w:rPr>
              <w:t xml:space="preserve"> (years)</w:t>
            </w:r>
          </w:p>
        </w:tc>
        <w:tc>
          <w:tcPr>
            <w:tcW w:w="1644" w:type="pct"/>
            <w:gridSpan w:val="2"/>
            <w:vAlign w:val="center"/>
          </w:tcPr>
          <w:p w14:paraId="580636F7" w14:textId="03AF8EC7" w:rsidR="005E3F54" w:rsidRPr="006454B5" w:rsidRDefault="005E3F54" w:rsidP="00123595">
            <w:pPr>
              <w:spacing w:after="0" w:line="240" w:lineRule="auto"/>
              <w:jc w:val="center"/>
              <w:rPr>
                <w:rFonts w:ascii="Arial" w:hAnsi="Arial" w:cs="Arial"/>
                <w:szCs w:val="20"/>
              </w:rPr>
            </w:pPr>
            <w:r w:rsidRPr="006454B5">
              <w:rPr>
                <w:rFonts w:ascii="Arial" w:hAnsi="Arial" w:cs="Arial"/>
                <w:i/>
                <w:iCs/>
                <w:szCs w:val="20"/>
              </w:rPr>
              <w:t>M</w:t>
            </w:r>
            <w:r w:rsidRPr="006454B5">
              <w:rPr>
                <w:rFonts w:ascii="Arial" w:hAnsi="Arial" w:cs="Arial"/>
                <w:szCs w:val="20"/>
              </w:rPr>
              <w:t>=6.</w:t>
            </w:r>
            <w:r w:rsidR="001B015C" w:rsidRPr="006454B5">
              <w:rPr>
                <w:rFonts w:ascii="Arial" w:hAnsi="Arial" w:cs="Arial"/>
                <w:szCs w:val="20"/>
              </w:rPr>
              <w:t>96</w:t>
            </w:r>
            <w:r w:rsidRPr="006454B5">
              <w:rPr>
                <w:rFonts w:ascii="Arial" w:hAnsi="Arial" w:cs="Arial"/>
                <w:szCs w:val="20"/>
              </w:rPr>
              <w:t xml:space="preserve">, </w:t>
            </w:r>
            <w:r w:rsidRPr="006454B5">
              <w:rPr>
                <w:rFonts w:ascii="Arial" w:hAnsi="Arial" w:cs="Arial"/>
                <w:i/>
                <w:iCs/>
                <w:szCs w:val="20"/>
              </w:rPr>
              <w:t>SD</w:t>
            </w:r>
            <w:r w:rsidRPr="006454B5">
              <w:rPr>
                <w:rFonts w:ascii="Arial" w:hAnsi="Arial" w:cs="Arial"/>
                <w:szCs w:val="20"/>
              </w:rPr>
              <w:t>=12.6</w:t>
            </w:r>
            <w:r w:rsidR="001B015C" w:rsidRPr="006454B5">
              <w:rPr>
                <w:rFonts w:ascii="Arial" w:hAnsi="Arial" w:cs="Arial"/>
                <w:szCs w:val="20"/>
              </w:rPr>
              <w:t>3</w:t>
            </w:r>
            <w:r w:rsidRPr="006454B5">
              <w:rPr>
                <w:rFonts w:ascii="Arial" w:hAnsi="Arial" w:cs="Arial"/>
                <w:szCs w:val="20"/>
              </w:rPr>
              <w:t xml:space="preserve"> (range -</w:t>
            </w:r>
            <w:r w:rsidR="001B015C" w:rsidRPr="006454B5">
              <w:rPr>
                <w:rFonts w:ascii="Arial" w:hAnsi="Arial" w:cs="Arial"/>
                <w:szCs w:val="20"/>
              </w:rPr>
              <w:t>20</w:t>
            </w:r>
            <w:r w:rsidRPr="006454B5">
              <w:rPr>
                <w:rFonts w:ascii="Arial" w:hAnsi="Arial" w:cs="Arial"/>
                <w:szCs w:val="20"/>
              </w:rPr>
              <w:t>-71)</w:t>
            </w:r>
          </w:p>
        </w:tc>
        <w:tc>
          <w:tcPr>
            <w:tcW w:w="597" w:type="pct"/>
          </w:tcPr>
          <w:p w14:paraId="017782C4" w14:textId="0C08C0C5" w:rsidR="005E3F54" w:rsidRPr="006454B5" w:rsidRDefault="001B015C" w:rsidP="00123595">
            <w:pPr>
              <w:spacing w:after="0" w:line="240" w:lineRule="auto"/>
              <w:jc w:val="center"/>
              <w:rPr>
                <w:rFonts w:ascii="Arial" w:hAnsi="Arial" w:cs="Arial"/>
                <w:szCs w:val="20"/>
              </w:rPr>
            </w:pPr>
            <w:r w:rsidRPr="006454B5">
              <w:rPr>
                <w:rFonts w:ascii="Arial" w:hAnsi="Arial" w:cs="Arial"/>
                <w:szCs w:val="20"/>
              </w:rPr>
              <w:t>113</w:t>
            </w:r>
          </w:p>
        </w:tc>
      </w:tr>
      <w:tr w:rsidR="00123595" w:rsidRPr="006454B5" w14:paraId="657BBDEB" w14:textId="77777777" w:rsidTr="00492808">
        <w:trPr>
          <w:trHeight w:val="20"/>
        </w:trPr>
        <w:tc>
          <w:tcPr>
            <w:tcW w:w="1454" w:type="pct"/>
            <w:gridSpan w:val="2"/>
            <w:vAlign w:val="center"/>
          </w:tcPr>
          <w:p w14:paraId="5587C32B" w14:textId="77777777" w:rsidR="00123595" w:rsidRPr="006454B5" w:rsidRDefault="00123595" w:rsidP="00123595">
            <w:pPr>
              <w:spacing w:after="0" w:line="240" w:lineRule="auto"/>
              <w:rPr>
                <w:rFonts w:ascii="Arial" w:hAnsi="Arial" w:cs="Arial"/>
                <w:szCs w:val="20"/>
              </w:rPr>
            </w:pPr>
            <w:r w:rsidRPr="006454B5">
              <w:rPr>
                <w:rFonts w:ascii="Arial" w:hAnsi="Arial" w:cs="Arial"/>
                <w:szCs w:val="20"/>
              </w:rPr>
              <w:t>Ethnicity</w:t>
            </w:r>
          </w:p>
        </w:tc>
        <w:tc>
          <w:tcPr>
            <w:tcW w:w="1305" w:type="pct"/>
            <w:gridSpan w:val="2"/>
            <w:vAlign w:val="center"/>
          </w:tcPr>
          <w:p w14:paraId="54571A84" w14:textId="77777777" w:rsidR="00123595" w:rsidRPr="006454B5" w:rsidRDefault="00123595" w:rsidP="00123595">
            <w:pPr>
              <w:spacing w:after="0" w:line="240" w:lineRule="auto"/>
              <w:jc w:val="center"/>
              <w:rPr>
                <w:rFonts w:ascii="Arial" w:hAnsi="Arial" w:cs="Arial"/>
                <w:color w:val="000000"/>
                <w:szCs w:val="20"/>
              </w:rPr>
            </w:pPr>
            <w:r w:rsidRPr="006454B5">
              <w:rPr>
                <w:rFonts w:ascii="Arial" w:hAnsi="Arial" w:cs="Arial"/>
                <w:szCs w:val="20"/>
              </w:rPr>
              <w:t>White</w:t>
            </w:r>
          </w:p>
        </w:tc>
        <w:tc>
          <w:tcPr>
            <w:tcW w:w="458" w:type="pct"/>
            <w:vAlign w:val="center"/>
          </w:tcPr>
          <w:p w14:paraId="2CA12840"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136</w:t>
            </w:r>
          </w:p>
        </w:tc>
        <w:tc>
          <w:tcPr>
            <w:tcW w:w="1186" w:type="pct"/>
            <w:vAlign w:val="center"/>
          </w:tcPr>
          <w:p w14:paraId="3D91E11D"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41.6</w:t>
            </w:r>
          </w:p>
        </w:tc>
        <w:tc>
          <w:tcPr>
            <w:tcW w:w="597" w:type="pct"/>
          </w:tcPr>
          <w:p w14:paraId="2075E26A"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119</w:t>
            </w:r>
          </w:p>
        </w:tc>
      </w:tr>
      <w:tr w:rsidR="00123595" w:rsidRPr="006454B5" w14:paraId="3EE39496" w14:textId="77777777" w:rsidTr="00492808">
        <w:trPr>
          <w:trHeight w:val="20"/>
        </w:trPr>
        <w:tc>
          <w:tcPr>
            <w:tcW w:w="1454" w:type="pct"/>
            <w:gridSpan w:val="2"/>
            <w:vAlign w:val="center"/>
          </w:tcPr>
          <w:p w14:paraId="5731D02A" w14:textId="77777777" w:rsidR="00123595" w:rsidRPr="006454B5" w:rsidRDefault="00123595" w:rsidP="00123595">
            <w:pPr>
              <w:spacing w:after="0" w:line="240" w:lineRule="auto"/>
              <w:rPr>
                <w:rFonts w:ascii="Arial" w:hAnsi="Arial" w:cs="Arial"/>
                <w:szCs w:val="20"/>
              </w:rPr>
            </w:pPr>
          </w:p>
        </w:tc>
        <w:tc>
          <w:tcPr>
            <w:tcW w:w="1305" w:type="pct"/>
            <w:gridSpan w:val="2"/>
            <w:vAlign w:val="center"/>
          </w:tcPr>
          <w:p w14:paraId="2D0BB566"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color w:val="000000"/>
                <w:szCs w:val="20"/>
              </w:rPr>
              <w:t>Black</w:t>
            </w:r>
          </w:p>
        </w:tc>
        <w:tc>
          <w:tcPr>
            <w:tcW w:w="458" w:type="pct"/>
            <w:vAlign w:val="center"/>
          </w:tcPr>
          <w:p w14:paraId="353AD13D"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115</w:t>
            </w:r>
          </w:p>
        </w:tc>
        <w:tc>
          <w:tcPr>
            <w:tcW w:w="1186" w:type="pct"/>
            <w:vAlign w:val="center"/>
          </w:tcPr>
          <w:p w14:paraId="2C79DA11"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35.2</w:t>
            </w:r>
          </w:p>
        </w:tc>
        <w:tc>
          <w:tcPr>
            <w:tcW w:w="597" w:type="pct"/>
          </w:tcPr>
          <w:p w14:paraId="59AF8DE6"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119</w:t>
            </w:r>
          </w:p>
        </w:tc>
      </w:tr>
      <w:tr w:rsidR="00123595" w:rsidRPr="006454B5" w14:paraId="75FCB11D" w14:textId="77777777" w:rsidTr="00492808">
        <w:trPr>
          <w:trHeight w:val="20"/>
        </w:trPr>
        <w:tc>
          <w:tcPr>
            <w:tcW w:w="1454" w:type="pct"/>
            <w:gridSpan w:val="2"/>
            <w:vAlign w:val="center"/>
          </w:tcPr>
          <w:p w14:paraId="3BC804C7" w14:textId="77777777" w:rsidR="00123595" w:rsidRPr="006454B5" w:rsidRDefault="00123595" w:rsidP="00123595">
            <w:pPr>
              <w:spacing w:after="0" w:line="240" w:lineRule="auto"/>
              <w:rPr>
                <w:rFonts w:ascii="Arial" w:hAnsi="Arial" w:cs="Arial"/>
                <w:szCs w:val="20"/>
              </w:rPr>
            </w:pPr>
          </w:p>
        </w:tc>
        <w:tc>
          <w:tcPr>
            <w:tcW w:w="1305" w:type="pct"/>
            <w:gridSpan w:val="2"/>
            <w:vAlign w:val="center"/>
          </w:tcPr>
          <w:p w14:paraId="036C084F"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color w:val="000000"/>
                <w:szCs w:val="20"/>
              </w:rPr>
              <w:t>Asian</w:t>
            </w:r>
          </w:p>
        </w:tc>
        <w:tc>
          <w:tcPr>
            <w:tcW w:w="458" w:type="pct"/>
            <w:vAlign w:val="center"/>
          </w:tcPr>
          <w:p w14:paraId="62877326"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64</w:t>
            </w:r>
          </w:p>
        </w:tc>
        <w:tc>
          <w:tcPr>
            <w:tcW w:w="1186" w:type="pct"/>
            <w:vAlign w:val="center"/>
          </w:tcPr>
          <w:p w14:paraId="01595858"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19.6</w:t>
            </w:r>
          </w:p>
        </w:tc>
        <w:tc>
          <w:tcPr>
            <w:tcW w:w="597" w:type="pct"/>
          </w:tcPr>
          <w:p w14:paraId="5B9ECBC8"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119</w:t>
            </w:r>
          </w:p>
        </w:tc>
      </w:tr>
      <w:tr w:rsidR="00123595" w:rsidRPr="006454B5" w14:paraId="65EF5316" w14:textId="77777777" w:rsidTr="00492808">
        <w:trPr>
          <w:trHeight w:val="20"/>
        </w:trPr>
        <w:tc>
          <w:tcPr>
            <w:tcW w:w="1454" w:type="pct"/>
            <w:gridSpan w:val="2"/>
            <w:vAlign w:val="center"/>
          </w:tcPr>
          <w:p w14:paraId="7A239BB2" w14:textId="77777777" w:rsidR="00123595" w:rsidRPr="006454B5" w:rsidRDefault="00123595" w:rsidP="00123595">
            <w:pPr>
              <w:spacing w:after="0" w:line="240" w:lineRule="auto"/>
              <w:rPr>
                <w:rFonts w:ascii="Arial" w:hAnsi="Arial" w:cs="Arial"/>
                <w:szCs w:val="20"/>
              </w:rPr>
            </w:pPr>
          </w:p>
        </w:tc>
        <w:tc>
          <w:tcPr>
            <w:tcW w:w="1305" w:type="pct"/>
            <w:gridSpan w:val="2"/>
            <w:vAlign w:val="center"/>
          </w:tcPr>
          <w:p w14:paraId="4318E6BD"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color w:val="000000"/>
                <w:szCs w:val="20"/>
              </w:rPr>
              <w:t>Other</w:t>
            </w:r>
          </w:p>
        </w:tc>
        <w:tc>
          <w:tcPr>
            <w:tcW w:w="458" w:type="pct"/>
            <w:vAlign w:val="center"/>
          </w:tcPr>
          <w:p w14:paraId="2D58A9DE"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12</w:t>
            </w:r>
          </w:p>
        </w:tc>
        <w:tc>
          <w:tcPr>
            <w:tcW w:w="1186" w:type="pct"/>
            <w:vAlign w:val="center"/>
          </w:tcPr>
          <w:p w14:paraId="3D796EE2"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3.6</w:t>
            </w:r>
          </w:p>
        </w:tc>
        <w:tc>
          <w:tcPr>
            <w:tcW w:w="597" w:type="pct"/>
          </w:tcPr>
          <w:p w14:paraId="769FA7A5"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119</w:t>
            </w:r>
          </w:p>
        </w:tc>
      </w:tr>
      <w:tr w:rsidR="00123595" w:rsidRPr="006454B5" w14:paraId="4B250356" w14:textId="77777777" w:rsidTr="00492808">
        <w:trPr>
          <w:trHeight w:val="20"/>
        </w:trPr>
        <w:tc>
          <w:tcPr>
            <w:tcW w:w="1454" w:type="pct"/>
            <w:gridSpan w:val="2"/>
            <w:vAlign w:val="center"/>
          </w:tcPr>
          <w:p w14:paraId="29534D6F" w14:textId="77777777" w:rsidR="00123595" w:rsidRPr="006454B5" w:rsidRDefault="00123595" w:rsidP="00123595">
            <w:pPr>
              <w:spacing w:after="0" w:line="240" w:lineRule="auto"/>
              <w:rPr>
                <w:rFonts w:ascii="Arial" w:hAnsi="Arial" w:cs="Arial"/>
                <w:szCs w:val="20"/>
              </w:rPr>
            </w:pPr>
            <w:r w:rsidRPr="006454B5">
              <w:rPr>
                <w:rFonts w:ascii="Arial" w:hAnsi="Arial" w:cs="Arial"/>
                <w:szCs w:val="20"/>
              </w:rPr>
              <w:t>Gender</w:t>
            </w:r>
          </w:p>
        </w:tc>
        <w:tc>
          <w:tcPr>
            <w:tcW w:w="1305" w:type="pct"/>
            <w:gridSpan w:val="2"/>
          </w:tcPr>
          <w:p w14:paraId="7BCE5803"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Male</w:t>
            </w:r>
          </w:p>
        </w:tc>
        <w:tc>
          <w:tcPr>
            <w:tcW w:w="458" w:type="pct"/>
            <w:vAlign w:val="center"/>
          </w:tcPr>
          <w:p w14:paraId="3613703D"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415</w:t>
            </w:r>
          </w:p>
        </w:tc>
        <w:tc>
          <w:tcPr>
            <w:tcW w:w="1186" w:type="pct"/>
            <w:vAlign w:val="center"/>
          </w:tcPr>
          <w:p w14:paraId="22C5A576"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98.8</w:t>
            </w:r>
          </w:p>
        </w:tc>
        <w:tc>
          <w:tcPr>
            <w:tcW w:w="597" w:type="pct"/>
          </w:tcPr>
          <w:p w14:paraId="1369566B"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26</w:t>
            </w:r>
          </w:p>
        </w:tc>
      </w:tr>
      <w:tr w:rsidR="00123595" w:rsidRPr="006454B5" w14:paraId="591974A2" w14:textId="77777777" w:rsidTr="00492808">
        <w:trPr>
          <w:trHeight w:val="20"/>
        </w:trPr>
        <w:tc>
          <w:tcPr>
            <w:tcW w:w="5000" w:type="pct"/>
            <w:gridSpan w:val="7"/>
            <w:vAlign w:val="center"/>
          </w:tcPr>
          <w:p w14:paraId="65FDEA7C" w14:textId="77777777" w:rsidR="00123595" w:rsidRPr="006454B5" w:rsidRDefault="00123595" w:rsidP="00123595">
            <w:pPr>
              <w:spacing w:after="0" w:line="240" w:lineRule="auto"/>
              <w:rPr>
                <w:rFonts w:ascii="Arial" w:hAnsi="Arial" w:cs="Arial"/>
                <w:szCs w:val="20"/>
              </w:rPr>
            </w:pPr>
            <w:r w:rsidRPr="006454B5">
              <w:rPr>
                <w:rFonts w:ascii="Arial" w:hAnsi="Arial" w:cs="Arial"/>
                <w:i/>
                <w:iCs/>
                <w:szCs w:val="20"/>
                <w:u w:val="single"/>
              </w:rPr>
              <w:t>Suspect Needs or Vulnerabilities</w:t>
            </w:r>
          </w:p>
        </w:tc>
      </w:tr>
      <w:tr w:rsidR="00123595" w:rsidRPr="006454B5" w14:paraId="1F040624" w14:textId="77777777" w:rsidTr="00492808">
        <w:trPr>
          <w:trHeight w:val="20"/>
        </w:trPr>
        <w:tc>
          <w:tcPr>
            <w:tcW w:w="1454" w:type="pct"/>
            <w:gridSpan w:val="2"/>
            <w:vAlign w:val="center"/>
          </w:tcPr>
          <w:p w14:paraId="409C3FAC" w14:textId="77777777" w:rsidR="00123595" w:rsidRPr="006454B5" w:rsidRDefault="00123595" w:rsidP="00123595">
            <w:pPr>
              <w:spacing w:after="0" w:line="240" w:lineRule="auto"/>
              <w:rPr>
                <w:rFonts w:ascii="Arial" w:hAnsi="Arial" w:cs="Arial"/>
                <w:szCs w:val="20"/>
              </w:rPr>
            </w:pPr>
            <w:r w:rsidRPr="006454B5">
              <w:rPr>
                <w:rFonts w:ascii="Arial" w:hAnsi="Arial" w:cs="Arial"/>
                <w:szCs w:val="20"/>
              </w:rPr>
              <w:t>Mental or physical health</w:t>
            </w:r>
          </w:p>
        </w:tc>
        <w:tc>
          <w:tcPr>
            <w:tcW w:w="1305" w:type="pct"/>
            <w:gridSpan w:val="2"/>
          </w:tcPr>
          <w:p w14:paraId="454374A3" w14:textId="1CB4C0C9" w:rsidR="00123595" w:rsidRPr="006454B5" w:rsidRDefault="00123595" w:rsidP="00123595">
            <w:pPr>
              <w:spacing w:after="0" w:line="240" w:lineRule="auto"/>
              <w:jc w:val="center"/>
              <w:rPr>
                <w:rFonts w:ascii="Arial" w:hAnsi="Arial" w:cs="Arial"/>
                <w:szCs w:val="20"/>
                <w:vertAlign w:val="superscript"/>
              </w:rPr>
            </w:pPr>
            <w:r w:rsidRPr="006454B5">
              <w:rPr>
                <w:rFonts w:ascii="Arial" w:hAnsi="Arial" w:cs="Arial"/>
                <w:szCs w:val="20"/>
              </w:rPr>
              <w:t xml:space="preserve">Mental health </w:t>
            </w:r>
            <w:proofErr w:type="spellStart"/>
            <w:r w:rsidRPr="006454B5">
              <w:rPr>
                <w:rFonts w:ascii="Arial" w:hAnsi="Arial" w:cs="Arial"/>
                <w:szCs w:val="20"/>
              </w:rPr>
              <w:t>issue</w:t>
            </w:r>
            <w:r w:rsidR="0078011B" w:rsidRPr="006454B5">
              <w:rPr>
                <w:rFonts w:ascii="Arial" w:hAnsi="Arial" w:cs="Arial"/>
                <w:szCs w:val="20"/>
                <w:vertAlign w:val="superscript"/>
              </w:rPr>
              <w:t>a</w:t>
            </w:r>
            <w:proofErr w:type="spellEnd"/>
          </w:p>
        </w:tc>
        <w:tc>
          <w:tcPr>
            <w:tcW w:w="458" w:type="pct"/>
            <w:vAlign w:val="center"/>
          </w:tcPr>
          <w:p w14:paraId="47DE722C"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32</w:t>
            </w:r>
          </w:p>
        </w:tc>
        <w:tc>
          <w:tcPr>
            <w:tcW w:w="1186" w:type="pct"/>
            <w:vAlign w:val="center"/>
          </w:tcPr>
          <w:p w14:paraId="3BCEDD79"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7.2</w:t>
            </w:r>
          </w:p>
        </w:tc>
        <w:tc>
          <w:tcPr>
            <w:tcW w:w="597" w:type="pct"/>
          </w:tcPr>
          <w:p w14:paraId="0A133C7C"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178685C6" w14:textId="77777777" w:rsidTr="00492808">
        <w:trPr>
          <w:trHeight w:val="20"/>
        </w:trPr>
        <w:tc>
          <w:tcPr>
            <w:tcW w:w="1454" w:type="pct"/>
            <w:gridSpan w:val="2"/>
            <w:vAlign w:val="center"/>
          </w:tcPr>
          <w:p w14:paraId="786C432E" w14:textId="77777777" w:rsidR="00123595" w:rsidRPr="006454B5" w:rsidRDefault="00123595" w:rsidP="00123595">
            <w:pPr>
              <w:spacing w:after="0" w:line="240" w:lineRule="auto"/>
              <w:rPr>
                <w:rFonts w:ascii="Arial" w:hAnsi="Arial" w:cs="Arial"/>
                <w:szCs w:val="20"/>
              </w:rPr>
            </w:pPr>
          </w:p>
        </w:tc>
        <w:tc>
          <w:tcPr>
            <w:tcW w:w="1305" w:type="pct"/>
            <w:gridSpan w:val="2"/>
          </w:tcPr>
          <w:p w14:paraId="6C5A2D13" w14:textId="5D549A5C" w:rsidR="00123595" w:rsidRPr="006454B5" w:rsidRDefault="00123595" w:rsidP="00123595">
            <w:pPr>
              <w:spacing w:after="0" w:line="240" w:lineRule="auto"/>
              <w:jc w:val="center"/>
              <w:rPr>
                <w:rFonts w:ascii="Arial" w:hAnsi="Arial" w:cs="Arial"/>
                <w:szCs w:val="20"/>
                <w:vertAlign w:val="superscript"/>
              </w:rPr>
            </w:pPr>
            <w:proofErr w:type="spellStart"/>
            <w:r w:rsidRPr="006454B5">
              <w:rPr>
                <w:rFonts w:ascii="Arial" w:hAnsi="Arial" w:cs="Arial"/>
                <w:szCs w:val="20"/>
              </w:rPr>
              <w:t>Disability</w:t>
            </w:r>
            <w:r w:rsidR="0078011B" w:rsidRPr="006454B5">
              <w:rPr>
                <w:rFonts w:ascii="Arial" w:hAnsi="Arial" w:cs="Arial"/>
                <w:szCs w:val="20"/>
                <w:vertAlign w:val="superscript"/>
              </w:rPr>
              <w:t>b</w:t>
            </w:r>
            <w:proofErr w:type="spellEnd"/>
          </w:p>
        </w:tc>
        <w:tc>
          <w:tcPr>
            <w:tcW w:w="458" w:type="pct"/>
            <w:vAlign w:val="center"/>
          </w:tcPr>
          <w:p w14:paraId="5A802B5C"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9</w:t>
            </w:r>
          </w:p>
        </w:tc>
        <w:tc>
          <w:tcPr>
            <w:tcW w:w="1186" w:type="pct"/>
            <w:vAlign w:val="center"/>
          </w:tcPr>
          <w:p w14:paraId="020C5333"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2.0</w:t>
            </w:r>
          </w:p>
        </w:tc>
        <w:tc>
          <w:tcPr>
            <w:tcW w:w="597" w:type="pct"/>
          </w:tcPr>
          <w:p w14:paraId="2DE078C9"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0A9ED2E4" w14:textId="77777777" w:rsidTr="00492808">
        <w:trPr>
          <w:trHeight w:val="20"/>
        </w:trPr>
        <w:tc>
          <w:tcPr>
            <w:tcW w:w="1454" w:type="pct"/>
            <w:gridSpan w:val="2"/>
            <w:vAlign w:val="center"/>
          </w:tcPr>
          <w:p w14:paraId="1EC6C3BD" w14:textId="77777777" w:rsidR="00123595" w:rsidRPr="006454B5" w:rsidRDefault="00123595" w:rsidP="00123595">
            <w:pPr>
              <w:spacing w:after="0" w:line="240" w:lineRule="auto"/>
              <w:rPr>
                <w:rFonts w:ascii="Arial" w:hAnsi="Arial" w:cs="Arial"/>
                <w:szCs w:val="20"/>
              </w:rPr>
            </w:pPr>
          </w:p>
        </w:tc>
        <w:tc>
          <w:tcPr>
            <w:tcW w:w="1305" w:type="pct"/>
            <w:gridSpan w:val="2"/>
          </w:tcPr>
          <w:p w14:paraId="4A4FF616" w14:textId="11B2B63C" w:rsidR="00123595" w:rsidRPr="006454B5" w:rsidRDefault="00123595" w:rsidP="00123595">
            <w:pPr>
              <w:spacing w:after="0" w:line="240" w:lineRule="auto"/>
              <w:jc w:val="center"/>
              <w:rPr>
                <w:rFonts w:ascii="Arial" w:hAnsi="Arial" w:cs="Arial"/>
                <w:szCs w:val="20"/>
                <w:vertAlign w:val="superscript"/>
              </w:rPr>
            </w:pPr>
            <w:r w:rsidRPr="006454B5">
              <w:rPr>
                <w:rFonts w:ascii="Arial" w:hAnsi="Arial" w:cs="Arial"/>
                <w:szCs w:val="20"/>
              </w:rPr>
              <w:t xml:space="preserve">Learning </w:t>
            </w:r>
            <w:proofErr w:type="spellStart"/>
            <w:r w:rsidRPr="006454B5">
              <w:rPr>
                <w:rFonts w:ascii="Arial" w:hAnsi="Arial" w:cs="Arial"/>
                <w:szCs w:val="20"/>
              </w:rPr>
              <w:t>difficulty</w:t>
            </w:r>
            <w:r w:rsidR="0078011B" w:rsidRPr="006454B5">
              <w:rPr>
                <w:rFonts w:ascii="Arial" w:hAnsi="Arial" w:cs="Arial"/>
                <w:szCs w:val="20"/>
                <w:vertAlign w:val="superscript"/>
              </w:rPr>
              <w:t>c</w:t>
            </w:r>
            <w:proofErr w:type="spellEnd"/>
          </w:p>
        </w:tc>
        <w:tc>
          <w:tcPr>
            <w:tcW w:w="458" w:type="pct"/>
            <w:vAlign w:val="center"/>
          </w:tcPr>
          <w:p w14:paraId="78A08E51"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4</w:t>
            </w:r>
          </w:p>
        </w:tc>
        <w:tc>
          <w:tcPr>
            <w:tcW w:w="1186" w:type="pct"/>
            <w:vAlign w:val="center"/>
          </w:tcPr>
          <w:p w14:paraId="4280C1F2"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0.9</w:t>
            </w:r>
          </w:p>
        </w:tc>
        <w:tc>
          <w:tcPr>
            <w:tcW w:w="597" w:type="pct"/>
          </w:tcPr>
          <w:p w14:paraId="609D38F4"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0C0517E7" w14:textId="77777777" w:rsidTr="00492808">
        <w:trPr>
          <w:trHeight w:val="20"/>
        </w:trPr>
        <w:tc>
          <w:tcPr>
            <w:tcW w:w="1454" w:type="pct"/>
            <w:gridSpan w:val="2"/>
            <w:vAlign w:val="center"/>
          </w:tcPr>
          <w:p w14:paraId="0A0D3E09" w14:textId="77777777" w:rsidR="00123595" w:rsidRPr="006454B5" w:rsidRDefault="00123595" w:rsidP="00123595">
            <w:pPr>
              <w:spacing w:after="0" w:line="240" w:lineRule="auto"/>
              <w:rPr>
                <w:rFonts w:ascii="Arial" w:hAnsi="Arial" w:cs="Arial"/>
                <w:szCs w:val="20"/>
              </w:rPr>
            </w:pPr>
            <w:r w:rsidRPr="006454B5">
              <w:rPr>
                <w:rFonts w:ascii="Arial" w:hAnsi="Arial" w:cs="Arial"/>
                <w:szCs w:val="20"/>
              </w:rPr>
              <w:t>Language</w:t>
            </w:r>
          </w:p>
        </w:tc>
        <w:tc>
          <w:tcPr>
            <w:tcW w:w="1305" w:type="pct"/>
            <w:gridSpan w:val="2"/>
            <w:vAlign w:val="center"/>
          </w:tcPr>
          <w:p w14:paraId="3911A481" w14:textId="1005C41D" w:rsidR="00123595" w:rsidRPr="006454B5" w:rsidRDefault="00123595" w:rsidP="00123595">
            <w:pPr>
              <w:spacing w:after="0" w:line="240" w:lineRule="auto"/>
              <w:jc w:val="center"/>
              <w:rPr>
                <w:rFonts w:ascii="Arial" w:hAnsi="Arial" w:cs="Arial"/>
                <w:szCs w:val="20"/>
                <w:vertAlign w:val="superscript"/>
              </w:rPr>
            </w:pPr>
            <w:r w:rsidRPr="006454B5">
              <w:rPr>
                <w:rFonts w:ascii="Arial" w:hAnsi="Arial" w:cs="Arial"/>
                <w:szCs w:val="20"/>
              </w:rPr>
              <w:t xml:space="preserve">English not first </w:t>
            </w:r>
            <w:proofErr w:type="spellStart"/>
            <w:r w:rsidRPr="006454B5">
              <w:rPr>
                <w:rFonts w:ascii="Arial" w:hAnsi="Arial" w:cs="Arial"/>
                <w:szCs w:val="20"/>
              </w:rPr>
              <w:t>language</w:t>
            </w:r>
            <w:r w:rsidR="0078011B" w:rsidRPr="006454B5">
              <w:rPr>
                <w:rFonts w:ascii="Arial" w:hAnsi="Arial" w:cs="Arial"/>
                <w:szCs w:val="20"/>
                <w:vertAlign w:val="superscript"/>
              </w:rPr>
              <w:t>d</w:t>
            </w:r>
            <w:proofErr w:type="spellEnd"/>
          </w:p>
        </w:tc>
        <w:tc>
          <w:tcPr>
            <w:tcW w:w="458" w:type="pct"/>
            <w:vAlign w:val="center"/>
          </w:tcPr>
          <w:p w14:paraId="74E0BC68"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60</w:t>
            </w:r>
          </w:p>
        </w:tc>
        <w:tc>
          <w:tcPr>
            <w:tcW w:w="1186" w:type="pct"/>
            <w:vAlign w:val="center"/>
          </w:tcPr>
          <w:p w14:paraId="6CA8CFEC"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13.5</w:t>
            </w:r>
          </w:p>
        </w:tc>
        <w:tc>
          <w:tcPr>
            <w:tcW w:w="597" w:type="pct"/>
          </w:tcPr>
          <w:p w14:paraId="233D918A"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794C2893" w14:textId="77777777" w:rsidTr="00492808">
        <w:trPr>
          <w:trHeight w:val="20"/>
        </w:trPr>
        <w:tc>
          <w:tcPr>
            <w:tcW w:w="1454" w:type="pct"/>
            <w:gridSpan w:val="2"/>
            <w:vAlign w:val="center"/>
          </w:tcPr>
          <w:p w14:paraId="3A72B84F" w14:textId="77777777" w:rsidR="00123595" w:rsidRPr="006454B5" w:rsidRDefault="00123595" w:rsidP="00123595">
            <w:pPr>
              <w:spacing w:after="0" w:line="240" w:lineRule="auto"/>
              <w:rPr>
                <w:rFonts w:ascii="Arial" w:hAnsi="Arial" w:cs="Arial"/>
                <w:szCs w:val="20"/>
              </w:rPr>
            </w:pPr>
          </w:p>
        </w:tc>
        <w:tc>
          <w:tcPr>
            <w:tcW w:w="1305" w:type="pct"/>
            <w:gridSpan w:val="2"/>
            <w:vAlign w:val="center"/>
          </w:tcPr>
          <w:p w14:paraId="5E157BCD" w14:textId="5A83D699" w:rsidR="00123595" w:rsidRPr="006454B5" w:rsidRDefault="00123595" w:rsidP="00123595">
            <w:pPr>
              <w:spacing w:after="0" w:line="240" w:lineRule="auto"/>
              <w:jc w:val="center"/>
              <w:rPr>
                <w:rFonts w:ascii="Arial" w:hAnsi="Arial" w:cs="Arial"/>
                <w:szCs w:val="20"/>
                <w:vertAlign w:val="superscript"/>
              </w:rPr>
            </w:pPr>
            <w:r w:rsidRPr="006454B5">
              <w:rPr>
                <w:rFonts w:ascii="Arial" w:hAnsi="Arial" w:cs="Arial"/>
                <w:szCs w:val="20"/>
              </w:rPr>
              <w:t xml:space="preserve">Requires </w:t>
            </w:r>
            <w:proofErr w:type="spellStart"/>
            <w:r w:rsidRPr="006454B5">
              <w:rPr>
                <w:rFonts w:ascii="Arial" w:hAnsi="Arial" w:cs="Arial"/>
                <w:szCs w:val="20"/>
              </w:rPr>
              <w:t>interpreter</w:t>
            </w:r>
            <w:r w:rsidR="00DA37D4" w:rsidRPr="006454B5">
              <w:rPr>
                <w:rFonts w:ascii="Arial" w:hAnsi="Arial" w:cs="Arial"/>
                <w:szCs w:val="20"/>
                <w:vertAlign w:val="superscript"/>
              </w:rPr>
              <w:t>d</w:t>
            </w:r>
            <w:proofErr w:type="spellEnd"/>
          </w:p>
        </w:tc>
        <w:tc>
          <w:tcPr>
            <w:tcW w:w="458" w:type="pct"/>
            <w:vAlign w:val="center"/>
          </w:tcPr>
          <w:p w14:paraId="793B3DC9"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6</w:t>
            </w:r>
          </w:p>
        </w:tc>
        <w:tc>
          <w:tcPr>
            <w:tcW w:w="1186" w:type="pct"/>
            <w:vAlign w:val="center"/>
          </w:tcPr>
          <w:p w14:paraId="70BE51CF"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1.3</w:t>
            </w:r>
          </w:p>
        </w:tc>
        <w:tc>
          <w:tcPr>
            <w:tcW w:w="597" w:type="pct"/>
          </w:tcPr>
          <w:p w14:paraId="505573E6"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58E30474" w14:textId="77777777" w:rsidTr="00492808">
        <w:trPr>
          <w:trHeight w:val="20"/>
        </w:trPr>
        <w:tc>
          <w:tcPr>
            <w:tcW w:w="1454" w:type="pct"/>
            <w:gridSpan w:val="2"/>
            <w:vAlign w:val="center"/>
          </w:tcPr>
          <w:p w14:paraId="79BD906D" w14:textId="77777777" w:rsidR="00123595" w:rsidRPr="006454B5" w:rsidRDefault="00123595" w:rsidP="00123595">
            <w:pPr>
              <w:spacing w:after="0" w:line="240" w:lineRule="auto"/>
              <w:rPr>
                <w:rFonts w:ascii="Arial" w:hAnsi="Arial" w:cs="Arial"/>
                <w:szCs w:val="20"/>
              </w:rPr>
            </w:pPr>
            <w:r w:rsidRPr="006454B5">
              <w:rPr>
                <w:rFonts w:ascii="Arial" w:hAnsi="Arial" w:cs="Arial"/>
                <w:szCs w:val="20"/>
              </w:rPr>
              <w:t>Other needs</w:t>
            </w:r>
          </w:p>
        </w:tc>
        <w:tc>
          <w:tcPr>
            <w:tcW w:w="1305" w:type="pct"/>
            <w:gridSpan w:val="2"/>
          </w:tcPr>
          <w:p w14:paraId="785A9DB4" w14:textId="0ECC92B0" w:rsidR="00123595" w:rsidRPr="006454B5" w:rsidRDefault="00123595" w:rsidP="00123595">
            <w:pPr>
              <w:spacing w:after="0" w:line="240" w:lineRule="auto"/>
              <w:jc w:val="center"/>
              <w:rPr>
                <w:rFonts w:ascii="Arial" w:hAnsi="Arial" w:cs="Arial"/>
                <w:szCs w:val="20"/>
                <w:vertAlign w:val="superscript"/>
              </w:rPr>
            </w:pPr>
            <w:r w:rsidRPr="006454B5">
              <w:rPr>
                <w:rFonts w:ascii="Arial" w:hAnsi="Arial" w:cs="Arial"/>
                <w:szCs w:val="20"/>
              </w:rPr>
              <w:t xml:space="preserve">Asylum </w:t>
            </w:r>
            <w:proofErr w:type="spellStart"/>
            <w:r w:rsidRPr="006454B5">
              <w:rPr>
                <w:rFonts w:ascii="Arial" w:hAnsi="Arial" w:cs="Arial"/>
                <w:szCs w:val="20"/>
              </w:rPr>
              <w:t>seeker</w:t>
            </w:r>
            <w:r w:rsidR="00DA37D4" w:rsidRPr="006454B5">
              <w:rPr>
                <w:rFonts w:ascii="Arial" w:hAnsi="Arial" w:cs="Arial"/>
                <w:szCs w:val="20"/>
                <w:vertAlign w:val="superscript"/>
              </w:rPr>
              <w:t>d</w:t>
            </w:r>
            <w:proofErr w:type="spellEnd"/>
          </w:p>
        </w:tc>
        <w:tc>
          <w:tcPr>
            <w:tcW w:w="458" w:type="pct"/>
            <w:vAlign w:val="center"/>
          </w:tcPr>
          <w:p w14:paraId="47610930"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w:t>
            </w:r>
          </w:p>
        </w:tc>
        <w:tc>
          <w:tcPr>
            <w:tcW w:w="1186" w:type="pct"/>
            <w:vAlign w:val="center"/>
          </w:tcPr>
          <w:p w14:paraId="70AA4795"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0.2</w:t>
            </w:r>
          </w:p>
        </w:tc>
        <w:tc>
          <w:tcPr>
            <w:tcW w:w="597" w:type="pct"/>
          </w:tcPr>
          <w:p w14:paraId="4F891477"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51B7A6A4" w14:textId="77777777" w:rsidTr="00492808">
        <w:trPr>
          <w:trHeight w:val="20"/>
        </w:trPr>
        <w:tc>
          <w:tcPr>
            <w:tcW w:w="5000" w:type="pct"/>
            <w:gridSpan w:val="7"/>
            <w:vAlign w:val="center"/>
          </w:tcPr>
          <w:p w14:paraId="182EAD36" w14:textId="77777777" w:rsidR="00123595" w:rsidRPr="006454B5" w:rsidRDefault="00123595" w:rsidP="00123595">
            <w:pPr>
              <w:spacing w:after="0" w:line="240" w:lineRule="auto"/>
              <w:rPr>
                <w:rFonts w:ascii="Arial" w:hAnsi="Arial" w:cs="Arial"/>
                <w:szCs w:val="20"/>
              </w:rPr>
            </w:pPr>
            <w:r w:rsidRPr="006454B5">
              <w:rPr>
                <w:rFonts w:ascii="Arial" w:hAnsi="Arial" w:cs="Arial"/>
                <w:i/>
                <w:iCs/>
                <w:szCs w:val="20"/>
                <w:u w:val="single"/>
              </w:rPr>
              <w:t>Suspect Prior History with Police</w:t>
            </w:r>
          </w:p>
        </w:tc>
      </w:tr>
      <w:tr w:rsidR="00123595" w:rsidRPr="006454B5" w14:paraId="154F13D8" w14:textId="77777777" w:rsidTr="00492808">
        <w:trPr>
          <w:trHeight w:val="20"/>
        </w:trPr>
        <w:tc>
          <w:tcPr>
            <w:tcW w:w="1454" w:type="pct"/>
            <w:gridSpan w:val="2"/>
            <w:vAlign w:val="center"/>
          </w:tcPr>
          <w:p w14:paraId="0D80B9FF" w14:textId="77777777" w:rsidR="00123595" w:rsidRPr="006454B5" w:rsidRDefault="00123595" w:rsidP="00123595">
            <w:pPr>
              <w:spacing w:after="0" w:line="240" w:lineRule="auto"/>
              <w:rPr>
                <w:rFonts w:ascii="Arial" w:hAnsi="Arial" w:cs="Arial"/>
                <w:szCs w:val="20"/>
              </w:rPr>
            </w:pPr>
            <w:r w:rsidRPr="006454B5">
              <w:rPr>
                <w:rFonts w:ascii="Arial" w:hAnsi="Arial" w:cs="Arial"/>
                <w:szCs w:val="20"/>
              </w:rPr>
              <w:t>Previous criminal history</w:t>
            </w:r>
          </w:p>
        </w:tc>
        <w:tc>
          <w:tcPr>
            <w:tcW w:w="1305" w:type="pct"/>
            <w:gridSpan w:val="2"/>
          </w:tcPr>
          <w:p w14:paraId="1E6C2C01" w14:textId="59241B04" w:rsidR="00123595" w:rsidRPr="006454B5" w:rsidRDefault="00123595" w:rsidP="00123595">
            <w:pPr>
              <w:spacing w:after="0" w:line="240" w:lineRule="auto"/>
              <w:jc w:val="center"/>
              <w:rPr>
                <w:rFonts w:ascii="Arial" w:hAnsi="Arial" w:cs="Arial"/>
                <w:szCs w:val="20"/>
                <w:vertAlign w:val="superscript"/>
              </w:rPr>
            </w:pPr>
            <w:r w:rsidRPr="006454B5">
              <w:rPr>
                <w:rFonts w:ascii="Arial" w:hAnsi="Arial" w:cs="Arial"/>
                <w:szCs w:val="20"/>
              </w:rPr>
              <w:t xml:space="preserve">Police </w:t>
            </w:r>
            <w:proofErr w:type="spellStart"/>
            <w:r w:rsidRPr="006454B5">
              <w:rPr>
                <w:rFonts w:ascii="Arial" w:hAnsi="Arial" w:cs="Arial"/>
                <w:szCs w:val="20"/>
              </w:rPr>
              <w:t>record</w:t>
            </w:r>
            <w:r w:rsidR="00DA37D4" w:rsidRPr="006454B5">
              <w:rPr>
                <w:rFonts w:ascii="Arial" w:hAnsi="Arial" w:cs="Arial"/>
                <w:szCs w:val="20"/>
                <w:vertAlign w:val="superscript"/>
              </w:rPr>
              <w:t>e</w:t>
            </w:r>
            <w:proofErr w:type="spellEnd"/>
          </w:p>
        </w:tc>
        <w:tc>
          <w:tcPr>
            <w:tcW w:w="458" w:type="pct"/>
            <w:vAlign w:val="center"/>
          </w:tcPr>
          <w:p w14:paraId="36E0D6F7"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135</w:t>
            </w:r>
          </w:p>
        </w:tc>
        <w:tc>
          <w:tcPr>
            <w:tcW w:w="1186" w:type="pct"/>
            <w:vAlign w:val="center"/>
          </w:tcPr>
          <w:p w14:paraId="6AA388D6"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30.3</w:t>
            </w:r>
          </w:p>
        </w:tc>
        <w:tc>
          <w:tcPr>
            <w:tcW w:w="597" w:type="pct"/>
          </w:tcPr>
          <w:p w14:paraId="1EC5620B"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033C61F1" w14:textId="77777777" w:rsidTr="00492808">
        <w:trPr>
          <w:trHeight w:val="20"/>
        </w:trPr>
        <w:tc>
          <w:tcPr>
            <w:tcW w:w="1454" w:type="pct"/>
            <w:gridSpan w:val="2"/>
            <w:vAlign w:val="center"/>
          </w:tcPr>
          <w:p w14:paraId="15B902C3" w14:textId="77777777" w:rsidR="00123595" w:rsidRPr="006454B5" w:rsidRDefault="00123595" w:rsidP="00123595">
            <w:pPr>
              <w:spacing w:after="0" w:line="240" w:lineRule="auto"/>
              <w:rPr>
                <w:rFonts w:ascii="Arial" w:hAnsi="Arial" w:cs="Arial"/>
                <w:szCs w:val="20"/>
              </w:rPr>
            </w:pPr>
          </w:p>
        </w:tc>
        <w:tc>
          <w:tcPr>
            <w:tcW w:w="1305" w:type="pct"/>
            <w:gridSpan w:val="2"/>
          </w:tcPr>
          <w:p w14:paraId="75ABBCA4" w14:textId="592D4151" w:rsidR="00123595" w:rsidRPr="006454B5" w:rsidRDefault="00123595" w:rsidP="00123595">
            <w:pPr>
              <w:spacing w:after="0" w:line="240" w:lineRule="auto"/>
              <w:jc w:val="center"/>
              <w:rPr>
                <w:rFonts w:ascii="Arial" w:hAnsi="Arial" w:cs="Arial"/>
                <w:szCs w:val="20"/>
                <w:vertAlign w:val="superscript"/>
              </w:rPr>
            </w:pPr>
            <w:r w:rsidRPr="006454B5">
              <w:rPr>
                <w:rFonts w:ascii="Arial" w:hAnsi="Arial" w:cs="Arial"/>
                <w:szCs w:val="20"/>
              </w:rPr>
              <w:t>Any offending</w:t>
            </w:r>
            <w:r w:rsidR="009938B0" w:rsidRPr="006454B5">
              <w:rPr>
                <w:rFonts w:ascii="Arial" w:hAnsi="Arial" w:cs="Arial"/>
                <w:szCs w:val="20"/>
              </w:rPr>
              <w:t xml:space="preserve"> – non domestic violence or sexual </w:t>
            </w:r>
            <w:proofErr w:type="spellStart"/>
            <w:r w:rsidR="009938B0" w:rsidRPr="006454B5">
              <w:rPr>
                <w:rFonts w:ascii="Arial" w:hAnsi="Arial" w:cs="Arial"/>
                <w:szCs w:val="20"/>
              </w:rPr>
              <w:t>assault</w:t>
            </w:r>
            <w:r w:rsidR="00DA37D4" w:rsidRPr="006454B5">
              <w:rPr>
                <w:rFonts w:ascii="Arial" w:hAnsi="Arial" w:cs="Arial"/>
                <w:szCs w:val="20"/>
                <w:vertAlign w:val="superscript"/>
              </w:rPr>
              <w:t>f</w:t>
            </w:r>
            <w:proofErr w:type="spellEnd"/>
          </w:p>
        </w:tc>
        <w:tc>
          <w:tcPr>
            <w:tcW w:w="458" w:type="pct"/>
            <w:vAlign w:val="center"/>
          </w:tcPr>
          <w:p w14:paraId="5870DC8F"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98</w:t>
            </w:r>
          </w:p>
        </w:tc>
        <w:tc>
          <w:tcPr>
            <w:tcW w:w="1186" w:type="pct"/>
            <w:vAlign w:val="center"/>
          </w:tcPr>
          <w:p w14:paraId="7CCA32E3"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22.0</w:t>
            </w:r>
          </w:p>
        </w:tc>
        <w:tc>
          <w:tcPr>
            <w:tcW w:w="597" w:type="pct"/>
          </w:tcPr>
          <w:p w14:paraId="740F1F9B"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0ADDD23A" w14:textId="77777777" w:rsidTr="00492808">
        <w:trPr>
          <w:trHeight w:val="20"/>
        </w:trPr>
        <w:tc>
          <w:tcPr>
            <w:tcW w:w="1454" w:type="pct"/>
            <w:gridSpan w:val="2"/>
            <w:vAlign w:val="center"/>
          </w:tcPr>
          <w:p w14:paraId="3E860BEE" w14:textId="77777777" w:rsidR="00123595" w:rsidRPr="006454B5" w:rsidRDefault="00123595" w:rsidP="00123595">
            <w:pPr>
              <w:spacing w:after="0" w:line="240" w:lineRule="auto"/>
              <w:rPr>
                <w:rFonts w:ascii="Arial" w:hAnsi="Arial" w:cs="Arial"/>
                <w:szCs w:val="20"/>
              </w:rPr>
            </w:pPr>
          </w:p>
        </w:tc>
        <w:tc>
          <w:tcPr>
            <w:tcW w:w="1305" w:type="pct"/>
            <w:gridSpan w:val="2"/>
          </w:tcPr>
          <w:p w14:paraId="378477D7" w14:textId="382FAA9A" w:rsidR="00123595" w:rsidRPr="006454B5" w:rsidRDefault="00123595" w:rsidP="00123595">
            <w:pPr>
              <w:spacing w:after="0" w:line="240" w:lineRule="auto"/>
              <w:jc w:val="center"/>
              <w:rPr>
                <w:rFonts w:ascii="Arial" w:hAnsi="Arial" w:cs="Arial"/>
                <w:szCs w:val="20"/>
                <w:vertAlign w:val="superscript"/>
              </w:rPr>
            </w:pPr>
            <w:r w:rsidRPr="006454B5">
              <w:rPr>
                <w:rFonts w:ascii="Arial" w:hAnsi="Arial" w:cs="Arial"/>
                <w:szCs w:val="20"/>
              </w:rPr>
              <w:t xml:space="preserve">Domestic </w:t>
            </w:r>
            <w:proofErr w:type="spellStart"/>
            <w:r w:rsidRPr="006454B5">
              <w:rPr>
                <w:rFonts w:ascii="Arial" w:hAnsi="Arial" w:cs="Arial"/>
                <w:szCs w:val="20"/>
              </w:rPr>
              <w:t>abuse</w:t>
            </w:r>
            <w:r w:rsidR="00DA37D4" w:rsidRPr="006454B5">
              <w:rPr>
                <w:rFonts w:ascii="Arial" w:hAnsi="Arial" w:cs="Arial"/>
                <w:szCs w:val="20"/>
                <w:vertAlign w:val="superscript"/>
              </w:rPr>
              <w:t>f</w:t>
            </w:r>
            <w:proofErr w:type="spellEnd"/>
          </w:p>
        </w:tc>
        <w:tc>
          <w:tcPr>
            <w:tcW w:w="458" w:type="pct"/>
            <w:vAlign w:val="center"/>
          </w:tcPr>
          <w:p w14:paraId="6FF63D6F"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55</w:t>
            </w:r>
          </w:p>
        </w:tc>
        <w:tc>
          <w:tcPr>
            <w:tcW w:w="1186" w:type="pct"/>
            <w:vAlign w:val="center"/>
          </w:tcPr>
          <w:p w14:paraId="549FAC5B"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12.3</w:t>
            </w:r>
          </w:p>
        </w:tc>
        <w:tc>
          <w:tcPr>
            <w:tcW w:w="597" w:type="pct"/>
          </w:tcPr>
          <w:p w14:paraId="0CA40198"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494CED5A" w14:textId="77777777" w:rsidTr="00492808">
        <w:trPr>
          <w:trHeight w:val="20"/>
        </w:trPr>
        <w:tc>
          <w:tcPr>
            <w:tcW w:w="1454" w:type="pct"/>
            <w:gridSpan w:val="2"/>
            <w:vAlign w:val="center"/>
          </w:tcPr>
          <w:p w14:paraId="7AD6C2C6" w14:textId="77777777" w:rsidR="00123595" w:rsidRPr="006454B5" w:rsidRDefault="00123595" w:rsidP="00123595">
            <w:pPr>
              <w:spacing w:after="0" w:line="240" w:lineRule="auto"/>
              <w:rPr>
                <w:rFonts w:ascii="Arial" w:hAnsi="Arial" w:cs="Arial"/>
                <w:szCs w:val="20"/>
              </w:rPr>
            </w:pPr>
          </w:p>
        </w:tc>
        <w:tc>
          <w:tcPr>
            <w:tcW w:w="1305" w:type="pct"/>
            <w:gridSpan w:val="2"/>
          </w:tcPr>
          <w:p w14:paraId="1BFB1F9E" w14:textId="17B0982F" w:rsidR="00123595" w:rsidRPr="006454B5" w:rsidRDefault="00123595" w:rsidP="00123595">
            <w:pPr>
              <w:spacing w:after="0" w:line="240" w:lineRule="auto"/>
              <w:jc w:val="center"/>
              <w:rPr>
                <w:rFonts w:ascii="Arial" w:hAnsi="Arial" w:cs="Arial"/>
                <w:szCs w:val="20"/>
                <w:vertAlign w:val="superscript"/>
              </w:rPr>
            </w:pPr>
            <w:r w:rsidRPr="006454B5">
              <w:rPr>
                <w:rFonts w:ascii="Arial" w:hAnsi="Arial" w:cs="Arial"/>
                <w:szCs w:val="20"/>
              </w:rPr>
              <w:t>Sexual assault/</w:t>
            </w:r>
            <w:proofErr w:type="spellStart"/>
            <w:r w:rsidRPr="006454B5">
              <w:rPr>
                <w:rFonts w:ascii="Arial" w:hAnsi="Arial" w:cs="Arial"/>
                <w:szCs w:val="20"/>
              </w:rPr>
              <w:t>rape</w:t>
            </w:r>
            <w:r w:rsidR="00DA37D4" w:rsidRPr="006454B5">
              <w:rPr>
                <w:rFonts w:ascii="Arial" w:hAnsi="Arial" w:cs="Arial"/>
                <w:szCs w:val="20"/>
                <w:vertAlign w:val="superscript"/>
              </w:rPr>
              <w:t>f</w:t>
            </w:r>
            <w:proofErr w:type="spellEnd"/>
          </w:p>
        </w:tc>
        <w:tc>
          <w:tcPr>
            <w:tcW w:w="458" w:type="pct"/>
            <w:vAlign w:val="center"/>
          </w:tcPr>
          <w:p w14:paraId="0BF8A347"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32</w:t>
            </w:r>
          </w:p>
        </w:tc>
        <w:tc>
          <w:tcPr>
            <w:tcW w:w="1186" w:type="pct"/>
            <w:vAlign w:val="center"/>
          </w:tcPr>
          <w:p w14:paraId="5C9C9B14"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7.2</w:t>
            </w:r>
          </w:p>
        </w:tc>
        <w:tc>
          <w:tcPr>
            <w:tcW w:w="597" w:type="pct"/>
          </w:tcPr>
          <w:p w14:paraId="7EF6489F"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09F21422" w14:textId="77777777" w:rsidTr="00492808">
        <w:trPr>
          <w:trHeight w:val="20"/>
        </w:trPr>
        <w:tc>
          <w:tcPr>
            <w:tcW w:w="5000" w:type="pct"/>
            <w:gridSpan w:val="7"/>
            <w:vAlign w:val="center"/>
          </w:tcPr>
          <w:p w14:paraId="273A7D9F" w14:textId="77777777" w:rsidR="00123595" w:rsidRPr="006454B5" w:rsidRDefault="00123595" w:rsidP="00123595">
            <w:pPr>
              <w:spacing w:after="0" w:line="240" w:lineRule="auto"/>
              <w:rPr>
                <w:rFonts w:ascii="Arial" w:hAnsi="Arial" w:cs="Arial"/>
                <w:szCs w:val="20"/>
                <w:u w:val="single"/>
              </w:rPr>
            </w:pPr>
            <w:r w:rsidRPr="006454B5">
              <w:rPr>
                <w:rFonts w:ascii="Arial" w:hAnsi="Arial" w:cs="Arial"/>
                <w:i/>
                <w:iCs/>
                <w:szCs w:val="20"/>
                <w:u w:val="single"/>
              </w:rPr>
              <w:t>Relationship to Victim</w:t>
            </w:r>
          </w:p>
        </w:tc>
      </w:tr>
      <w:tr w:rsidR="00123595" w:rsidRPr="006454B5" w14:paraId="6F29982F" w14:textId="77777777" w:rsidTr="00492808">
        <w:trPr>
          <w:trHeight w:val="20"/>
        </w:trPr>
        <w:tc>
          <w:tcPr>
            <w:tcW w:w="1454" w:type="pct"/>
            <w:gridSpan w:val="2"/>
            <w:vAlign w:val="center"/>
          </w:tcPr>
          <w:p w14:paraId="26FB07E3" w14:textId="77777777" w:rsidR="00123595" w:rsidRPr="006454B5" w:rsidRDefault="00123595" w:rsidP="00123595">
            <w:pPr>
              <w:spacing w:after="0" w:line="240" w:lineRule="auto"/>
              <w:rPr>
                <w:rFonts w:ascii="Arial" w:hAnsi="Arial" w:cs="Arial"/>
                <w:szCs w:val="20"/>
              </w:rPr>
            </w:pPr>
            <w:r w:rsidRPr="006454B5">
              <w:rPr>
                <w:rFonts w:ascii="Arial" w:hAnsi="Arial" w:cs="Arial"/>
                <w:szCs w:val="20"/>
              </w:rPr>
              <w:t>Type of relationship</w:t>
            </w:r>
          </w:p>
        </w:tc>
        <w:tc>
          <w:tcPr>
            <w:tcW w:w="1305" w:type="pct"/>
            <w:gridSpan w:val="2"/>
            <w:vAlign w:val="center"/>
          </w:tcPr>
          <w:p w14:paraId="076A5766" w14:textId="079A1706" w:rsidR="00123595" w:rsidRPr="006454B5" w:rsidRDefault="00123595" w:rsidP="00123595">
            <w:pPr>
              <w:spacing w:after="0" w:line="240" w:lineRule="auto"/>
              <w:jc w:val="center"/>
              <w:rPr>
                <w:rFonts w:ascii="Arial" w:hAnsi="Arial" w:cs="Arial"/>
                <w:szCs w:val="20"/>
                <w:vertAlign w:val="superscript"/>
              </w:rPr>
            </w:pPr>
            <w:r w:rsidRPr="006454B5">
              <w:rPr>
                <w:rFonts w:ascii="Arial" w:hAnsi="Arial" w:cs="Arial"/>
                <w:szCs w:val="20"/>
              </w:rPr>
              <w:t>Intimate partner</w:t>
            </w:r>
          </w:p>
        </w:tc>
        <w:tc>
          <w:tcPr>
            <w:tcW w:w="458" w:type="pct"/>
            <w:vAlign w:val="center"/>
          </w:tcPr>
          <w:p w14:paraId="15A7A5EB"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148</w:t>
            </w:r>
          </w:p>
        </w:tc>
        <w:tc>
          <w:tcPr>
            <w:tcW w:w="1186" w:type="pct"/>
            <w:vAlign w:val="center"/>
          </w:tcPr>
          <w:p w14:paraId="5B94F53F"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37.4</w:t>
            </w:r>
          </w:p>
        </w:tc>
        <w:tc>
          <w:tcPr>
            <w:tcW w:w="597" w:type="pct"/>
          </w:tcPr>
          <w:p w14:paraId="7C9159A9"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50</w:t>
            </w:r>
          </w:p>
        </w:tc>
      </w:tr>
      <w:tr w:rsidR="00123595" w:rsidRPr="006454B5" w14:paraId="1F3E44BB" w14:textId="77777777" w:rsidTr="00492808">
        <w:trPr>
          <w:trHeight w:val="20"/>
        </w:trPr>
        <w:tc>
          <w:tcPr>
            <w:tcW w:w="1454" w:type="pct"/>
            <w:gridSpan w:val="2"/>
            <w:vAlign w:val="center"/>
          </w:tcPr>
          <w:p w14:paraId="29C04394" w14:textId="77777777" w:rsidR="00123595" w:rsidRPr="006454B5" w:rsidRDefault="00123595" w:rsidP="00123595">
            <w:pPr>
              <w:spacing w:after="0" w:line="240" w:lineRule="auto"/>
              <w:rPr>
                <w:rFonts w:ascii="Arial" w:hAnsi="Arial" w:cs="Arial"/>
                <w:szCs w:val="20"/>
              </w:rPr>
            </w:pPr>
          </w:p>
        </w:tc>
        <w:tc>
          <w:tcPr>
            <w:tcW w:w="1305" w:type="pct"/>
            <w:gridSpan w:val="2"/>
            <w:vAlign w:val="center"/>
          </w:tcPr>
          <w:p w14:paraId="4FED4C06"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Friend/Acquaintance</w:t>
            </w:r>
          </w:p>
        </w:tc>
        <w:tc>
          <w:tcPr>
            <w:tcW w:w="458" w:type="pct"/>
            <w:vAlign w:val="center"/>
          </w:tcPr>
          <w:p w14:paraId="5D8A520D"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135</w:t>
            </w:r>
          </w:p>
        </w:tc>
        <w:tc>
          <w:tcPr>
            <w:tcW w:w="1186" w:type="pct"/>
            <w:vAlign w:val="center"/>
          </w:tcPr>
          <w:p w14:paraId="1E7AAEB1"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34.1</w:t>
            </w:r>
          </w:p>
        </w:tc>
        <w:tc>
          <w:tcPr>
            <w:tcW w:w="597" w:type="pct"/>
          </w:tcPr>
          <w:p w14:paraId="638C7A57"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50</w:t>
            </w:r>
          </w:p>
        </w:tc>
      </w:tr>
      <w:tr w:rsidR="00123595" w:rsidRPr="006454B5" w14:paraId="7515FFE2" w14:textId="77777777" w:rsidTr="00492808">
        <w:trPr>
          <w:trHeight w:val="20"/>
        </w:trPr>
        <w:tc>
          <w:tcPr>
            <w:tcW w:w="1454" w:type="pct"/>
            <w:gridSpan w:val="2"/>
            <w:vAlign w:val="center"/>
          </w:tcPr>
          <w:p w14:paraId="32DF8DB4" w14:textId="77777777" w:rsidR="00123595" w:rsidRPr="006454B5" w:rsidRDefault="00123595" w:rsidP="00123595">
            <w:pPr>
              <w:spacing w:after="0" w:line="240" w:lineRule="auto"/>
              <w:rPr>
                <w:rFonts w:ascii="Arial" w:hAnsi="Arial" w:cs="Arial"/>
                <w:szCs w:val="20"/>
              </w:rPr>
            </w:pPr>
          </w:p>
        </w:tc>
        <w:tc>
          <w:tcPr>
            <w:tcW w:w="1305" w:type="pct"/>
            <w:gridSpan w:val="2"/>
            <w:vAlign w:val="center"/>
          </w:tcPr>
          <w:p w14:paraId="454C0F14" w14:textId="6CCB0C6D" w:rsidR="00123595" w:rsidRPr="006454B5" w:rsidRDefault="00123595" w:rsidP="00123595">
            <w:pPr>
              <w:spacing w:after="0" w:line="240" w:lineRule="auto"/>
              <w:jc w:val="center"/>
              <w:rPr>
                <w:rFonts w:ascii="Arial" w:hAnsi="Arial" w:cs="Arial"/>
                <w:szCs w:val="20"/>
                <w:vertAlign w:val="superscript"/>
              </w:rPr>
            </w:pPr>
            <w:r w:rsidRPr="006454B5">
              <w:rPr>
                <w:rFonts w:ascii="Arial" w:hAnsi="Arial" w:cs="Arial"/>
                <w:szCs w:val="20"/>
              </w:rPr>
              <w:t>Stranger 1</w:t>
            </w:r>
            <w:r w:rsidR="00DA37D4" w:rsidRPr="006454B5">
              <w:rPr>
                <w:rFonts w:ascii="Arial" w:hAnsi="Arial" w:cs="Arial"/>
                <w:szCs w:val="20"/>
                <w:vertAlign w:val="superscript"/>
              </w:rPr>
              <w:t>g</w:t>
            </w:r>
          </w:p>
        </w:tc>
        <w:tc>
          <w:tcPr>
            <w:tcW w:w="458" w:type="pct"/>
            <w:vAlign w:val="center"/>
          </w:tcPr>
          <w:p w14:paraId="11EB4032"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21</w:t>
            </w:r>
          </w:p>
        </w:tc>
        <w:tc>
          <w:tcPr>
            <w:tcW w:w="1186" w:type="pct"/>
            <w:vAlign w:val="center"/>
          </w:tcPr>
          <w:p w14:paraId="090A6E0C"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5.3</w:t>
            </w:r>
          </w:p>
        </w:tc>
        <w:tc>
          <w:tcPr>
            <w:tcW w:w="597" w:type="pct"/>
          </w:tcPr>
          <w:p w14:paraId="702C7874"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50</w:t>
            </w:r>
          </w:p>
        </w:tc>
      </w:tr>
      <w:tr w:rsidR="00123595" w:rsidRPr="006454B5" w14:paraId="091EA08C" w14:textId="77777777" w:rsidTr="00492808">
        <w:trPr>
          <w:trHeight w:val="20"/>
        </w:trPr>
        <w:tc>
          <w:tcPr>
            <w:tcW w:w="1454" w:type="pct"/>
            <w:gridSpan w:val="2"/>
            <w:vAlign w:val="center"/>
          </w:tcPr>
          <w:p w14:paraId="68068A25" w14:textId="77777777" w:rsidR="00123595" w:rsidRPr="006454B5" w:rsidRDefault="00123595" w:rsidP="00123595">
            <w:pPr>
              <w:spacing w:after="0" w:line="240" w:lineRule="auto"/>
              <w:rPr>
                <w:rFonts w:ascii="Arial" w:hAnsi="Arial" w:cs="Arial"/>
                <w:szCs w:val="20"/>
              </w:rPr>
            </w:pPr>
          </w:p>
        </w:tc>
        <w:tc>
          <w:tcPr>
            <w:tcW w:w="1305" w:type="pct"/>
            <w:gridSpan w:val="2"/>
            <w:vAlign w:val="center"/>
          </w:tcPr>
          <w:p w14:paraId="5DEE8FD2" w14:textId="44A8AB22" w:rsidR="00123595" w:rsidRPr="006454B5" w:rsidRDefault="00123595" w:rsidP="00123595">
            <w:pPr>
              <w:spacing w:after="0" w:line="240" w:lineRule="auto"/>
              <w:jc w:val="center"/>
              <w:rPr>
                <w:rFonts w:ascii="Arial" w:hAnsi="Arial" w:cs="Arial"/>
                <w:szCs w:val="20"/>
                <w:vertAlign w:val="superscript"/>
              </w:rPr>
            </w:pPr>
            <w:r w:rsidRPr="006454B5">
              <w:rPr>
                <w:rFonts w:ascii="Arial" w:hAnsi="Arial" w:cs="Arial"/>
                <w:szCs w:val="20"/>
              </w:rPr>
              <w:t>Stranger 2</w:t>
            </w:r>
          </w:p>
        </w:tc>
        <w:tc>
          <w:tcPr>
            <w:tcW w:w="458" w:type="pct"/>
            <w:vAlign w:val="center"/>
          </w:tcPr>
          <w:p w14:paraId="24105816"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44</w:t>
            </w:r>
          </w:p>
        </w:tc>
        <w:tc>
          <w:tcPr>
            <w:tcW w:w="1186" w:type="pct"/>
            <w:vAlign w:val="center"/>
          </w:tcPr>
          <w:p w14:paraId="221013F1"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11.1</w:t>
            </w:r>
          </w:p>
        </w:tc>
        <w:tc>
          <w:tcPr>
            <w:tcW w:w="597" w:type="pct"/>
          </w:tcPr>
          <w:p w14:paraId="5DD9D71F"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50</w:t>
            </w:r>
          </w:p>
        </w:tc>
      </w:tr>
      <w:tr w:rsidR="00123595" w:rsidRPr="006454B5" w14:paraId="10CC1246" w14:textId="77777777" w:rsidTr="00492808">
        <w:trPr>
          <w:trHeight w:val="20"/>
        </w:trPr>
        <w:tc>
          <w:tcPr>
            <w:tcW w:w="1454" w:type="pct"/>
            <w:gridSpan w:val="2"/>
            <w:vAlign w:val="center"/>
          </w:tcPr>
          <w:p w14:paraId="7701DDFE" w14:textId="77777777" w:rsidR="00123595" w:rsidRPr="006454B5" w:rsidRDefault="00123595" w:rsidP="00123595">
            <w:pPr>
              <w:spacing w:after="0" w:line="240" w:lineRule="auto"/>
              <w:rPr>
                <w:rFonts w:ascii="Arial" w:hAnsi="Arial" w:cs="Arial"/>
                <w:szCs w:val="20"/>
              </w:rPr>
            </w:pPr>
          </w:p>
        </w:tc>
        <w:tc>
          <w:tcPr>
            <w:tcW w:w="1305" w:type="pct"/>
            <w:gridSpan w:val="2"/>
            <w:vAlign w:val="center"/>
          </w:tcPr>
          <w:p w14:paraId="1DAE4FE3"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Family member</w:t>
            </w:r>
          </w:p>
        </w:tc>
        <w:tc>
          <w:tcPr>
            <w:tcW w:w="458" w:type="pct"/>
            <w:vAlign w:val="center"/>
          </w:tcPr>
          <w:p w14:paraId="433B7F9F"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42</w:t>
            </w:r>
          </w:p>
        </w:tc>
        <w:tc>
          <w:tcPr>
            <w:tcW w:w="1186" w:type="pct"/>
            <w:vAlign w:val="center"/>
          </w:tcPr>
          <w:p w14:paraId="5C9BCD87"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10.6</w:t>
            </w:r>
          </w:p>
        </w:tc>
        <w:tc>
          <w:tcPr>
            <w:tcW w:w="597" w:type="pct"/>
          </w:tcPr>
          <w:p w14:paraId="60289AEB"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50</w:t>
            </w:r>
          </w:p>
        </w:tc>
      </w:tr>
      <w:tr w:rsidR="00123595" w:rsidRPr="006454B5" w14:paraId="6F4CB7F8" w14:textId="77777777" w:rsidTr="00492808">
        <w:trPr>
          <w:trHeight w:val="20"/>
        </w:trPr>
        <w:tc>
          <w:tcPr>
            <w:tcW w:w="1454" w:type="pct"/>
            <w:gridSpan w:val="2"/>
            <w:vAlign w:val="center"/>
          </w:tcPr>
          <w:p w14:paraId="7FE5C64A" w14:textId="77777777" w:rsidR="00123595" w:rsidRPr="006454B5" w:rsidRDefault="00123595" w:rsidP="00123595">
            <w:pPr>
              <w:spacing w:after="0" w:line="240" w:lineRule="auto"/>
              <w:rPr>
                <w:rFonts w:ascii="Arial" w:hAnsi="Arial" w:cs="Arial"/>
                <w:szCs w:val="20"/>
              </w:rPr>
            </w:pPr>
          </w:p>
        </w:tc>
        <w:tc>
          <w:tcPr>
            <w:tcW w:w="1305" w:type="pct"/>
            <w:gridSpan w:val="2"/>
          </w:tcPr>
          <w:p w14:paraId="2CF5144C"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Professional</w:t>
            </w:r>
          </w:p>
        </w:tc>
        <w:tc>
          <w:tcPr>
            <w:tcW w:w="458" w:type="pct"/>
            <w:vAlign w:val="center"/>
          </w:tcPr>
          <w:p w14:paraId="5118748F"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6</w:t>
            </w:r>
          </w:p>
        </w:tc>
        <w:tc>
          <w:tcPr>
            <w:tcW w:w="1186" w:type="pct"/>
            <w:vAlign w:val="center"/>
          </w:tcPr>
          <w:p w14:paraId="323C80B2"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1.5</w:t>
            </w:r>
          </w:p>
        </w:tc>
        <w:tc>
          <w:tcPr>
            <w:tcW w:w="597" w:type="pct"/>
          </w:tcPr>
          <w:p w14:paraId="5621F1F9"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50</w:t>
            </w:r>
          </w:p>
        </w:tc>
      </w:tr>
      <w:tr w:rsidR="00123595" w:rsidRPr="006454B5" w14:paraId="75A90184" w14:textId="77777777" w:rsidTr="00492808">
        <w:trPr>
          <w:trHeight w:val="20"/>
        </w:trPr>
        <w:tc>
          <w:tcPr>
            <w:tcW w:w="1365" w:type="pct"/>
            <w:tcBorders>
              <w:bottom w:val="single" w:sz="4" w:space="0" w:color="auto"/>
            </w:tcBorders>
            <w:vAlign w:val="center"/>
          </w:tcPr>
          <w:p w14:paraId="6D3A8F1D" w14:textId="77777777" w:rsidR="00123595" w:rsidRPr="006454B5" w:rsidRDefault="00123595" w:rsidP="00123595">
            <w:pPr>
              <w:spacing w:after="0" w:line="240" w:lineRule="auto"/>
              <w:rPr>
                <w:rFonts w:ascii="Arial" w:hAnsi="Arial" w:cs="Arial"/>
                <w:szCs w:val="20"/>
              </w:rPr>
            </w:pPr>
            <w:r w:rsidRPr="006454B5">
              <w:rPr>
                <w:rFonts w:ascii="Arial" w:hAnsi="Arial" w:cs="Arial"/>
                <w:szCs w:val="20"/>
              </w:rPr>
              <w:t>Other</w:t>
            </w:r>
          </w:p>
        </w:tc>
        <w:tc>
          <w:tcPr>
            <w:tcW w:w="1385" w:type="pct"/>
            <w:gridSpan w:val="2"/>
            <w:tcBorders>
              <w:bottom w:val="single" w:sz="4" w:space="0" w:color="auto"/>
            </w:tcBorders>
          </w:tcPr>
          <w:p w14:paraId="7A914CA2"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History of consensual sex with victim</w:t>
            </w:r>
          </w:p>
        </w:tc>
        <w:tc>
          <w:tcPr>
            <w:tcW w:w="467" w:type="pct"/>
            <w:gridSpan w:val="2"/>
            <w:tcBorders>
              <w:bottom w:val="single" w:sz="4" w:space="0" w:color="auto"/>
            </w:tcBorders>
            <w:vAlign w:val="center"/>
          </w:tcPr>
          <w:p w14:paraId="3335E1DB"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117</w:t>
            </w:r>
          </w:p>
        </w:tc>
        <w:tc>
          <w:tcPr>
            <w:tcW w:w="1186" w:type="pct"/>
            <w:tcBorders>
              <w:bottom w:val="single" w:sz="4" w:space="0" w:color="auto"/>
            </w:tcBorders>
            <w:vAlign w:val="center"/>
          </w:tcPr>
          <w:p w14:paraId="352663E7"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26.2</w:t>
            </w:r>
          </w:p>
        </w:tc>
        <w:tc>
          <w:tcPr>
            <w:tcW w:w="597" w:type="pct"/>
            <w:tcBorders>
              <w:bottom w:val="single" w:sz="4" w:space="0" w:color="auto"/>
            </w:tcBorders>
            <w:vAlign w:val="center"/>
          </w:tcPr>
          <w:p w14:paraId="1CD36A7D"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3ABE19D5" w14:textId="77777777" w:rsidTr="00492808">
        <w:trPr>
          <w:trHeight w:val="20"/>
        </w:trPr>
        <w:tc>
          <w:tcPr>
            <w:tcW w:w="5000" w:type="pct"/>
            <w:gridSpan w:val="7"/>
            <w:tcBorders>
              <w:top w:val="single" w:sz="4" w:space="0" w:color="auto"/>
            </w:tcBorders>
            <w:vAlign w:val="center"/>
          </w:tcPr>
          <w:p w14:paraId="023FC879" w14:textId="77777777" w:rsidR="00862379" w:rsidRPr="006454B5" w:rsidRDefault="00862379" w:rsidP="0078011B">
            <w:pPr>
              <w:spacing w:after="0" w:line="240" w:lineRule="auto"/>
              <w:ind w:left="-110"/>
              <w:rPr>
                <w:rFonts w:ascii="Arial" w:hAnsi="Arial" w:cs="Arial"/>
                <w:szCs w:val="20"/>
                <w:vertAlign w:val="superscript"/>
              </w:rPr>
            </w:pPr>
          </w:p>
          <w:p w14:paraId="6FAC296C" w14:textId="289F4C53" w:rsidR="00123595" w:rsidRPr="006454B5" w:rsidRDefault="00123595" w:rsidP="0078011B">
            <w:pPr>
              <w:spacing w:after="0" w:line="240" w:lineRule="auto"/>
              <w:ind w:left="-110"/>
              <w:rPr>
                <w:rFonts w:ascii="Arial" w:hAnsi="Arial" w:cs="Arial"/>
                <w:szCs w:val="20"/>
              </w:rPr>
            </w:pPr>
            <w:proofErr w:type="spellStart"/>
            <w:proofErr w:type="gramStart"/>
            <w:r w:rsidRPr="006454B5">
              <w:rPr>
                <w:rFonts w:ascii="Arial" w:hAnsi="Arial" w:cs="Arial"/>
                <w:szCs w:val="20"/>
                <w:vertAlign w:val="superscript"/>
              </w:rPr>
              <w:t>a</w:t>
            </w:r>
            <w:proofErr w:type="spellEnd"/>
            <w:proofErr w:type="gramEnd"/>
            <w:r w:rsidRPr="006454B5">
              <w:rPr>
                <w:rFonts w:ascii="Arial" w:hAnsi="Arial" w:cs="Arial"/>
                <w:szCs w:val="20"/>
                <w:vertAlign w:val="superscript"/>
              </w:rPr>
              <w:t xml:space="preserve"> </w:t>
            </w:r>
            <w:r w:rsidR="009938B0" w:rsidRPr="006454B5">
              <w:rPr>
                <w:rFonts w:ascii="Arial" w:hAnsi="Arial" w:cs="Arial"/>
                <w:szCs w:val="20"/>
              </w:rPr>
              <w:t>Officer narrative includes reference to suspect presenting with one or more mental illness.</w:t>
            </w:r>
          </w:p>
        </w:tc>
      </w:tr>
    </w:tbl>
    <w:p w14:paraId="4B77AFCE" w14:textId="460EA872" w:rsidR="0078011B" w:rsidRPr="006454B5" w:rsidRDefault="0078011B" w:rsidP="0078011B">
      <w:pPr>
        <w:spacing w:after="0" w:line="240" w:lineRule="auto"/>
        <w:rPr>
          <w:rFonts w:ascii="Arial" w:hAnsi="Arial" w:cs="Arial"/>
          <w:sz w:val="20"/>
          <w:szCs w:val="20"/>
        </w:rPr>
      </w:pPr>
      <w:proofErr w:type="gramStart"/>
      <w:r w:rsidRPr="006454B5">
        <w:rPr>
          <w:rFonts w:ascii="Arial" w:hAnsi="Arial" w:cs="Arial"/>
          <w:sz w:val="20"/>
          <w:szCs w:val="20"/>
          <w:vertAlign w:val="superscript"/>
        </w:rPr>
        <w:t>b</w:t>
      </w:r>
      <w:proofErr w:type="gramEnd"/>
      <w:r w:rsidRPr="006454B5">
        <w:rPr>
          <w:rFonts w:ascii="Arial" w:hAnsi="Arial" w:cs="Arial"/>
          <w:sz w:val="20"/>
          <w:szCs w:val="20"/>
          <w:vertAlign w:val="superscript"/>
        </w:rPr>
        <w:t xml:space="preserve"> </w:t>
      </w:r>
      <w:r w:rsidRPr="006454B5">
        <w:rPr>
          <w:rFonts w:ascii="Arial" w:hAnsi="Arial" w:cs="Arial"/>
          <w:sz w:val="20"/>
          <w:szCs w:val="20"/>
        </w:rPr>
        <w:t>A specific field in CRIS report of physical disability.</w:t>
      </w:r>
    </w:p>
    <w:p w14:paraId="49A05544" w14:textId="1E63D1DC" w:rsidR="0078011B" w:rsidRPr="006454B5" w:rsidRDefault="009938B0" w:rsidP="0078011B">
      <w:pPr>
        <w:spacing w:after="0" w:line="240" w:lineRule="auto"/>
        <w:rPr>
          <w:rFonts w:ascii="Arial" w:hAnsi="Arial" w:cs="Arial"/>
          <w:sz w:val="20"/>
          <w:szCs w:val="20"/>
        </w:rPr>
      </w:pPr>
      <w:proofErr w:type="gramStart"/>
      <w:r w:rsidRPr="006454B5">
        <w:rPr>
          <w:rFonts w:ascii="Arial" w:hAnsi="Arial" w:cs="Arial"/>
          <w:sz w:val="20"/>
          <w:szCs w:val="20"/>
          <w:vertAlign w:val="superscript"/>
        </w:rPr>
        <w:t>c</w:t>
      </w:r>
      <w:proofErr w:type="gramEnd"/>
      <w:r w:rsidR="0078011B" w:rsidRPr="006454B5">
        <w:rPr>
          <w:rFonts w:ascii="Arial" w:hAnsi="Arial" w:cs="Arial"/>
          <w:sz w:val="20"/>
          <w:szCs w:val="20"/>
          <w:vertAlign w:val="superscript"/>
        </w:rPr>
        <w:t xml:space="preserve"> </w:t>
      </w:r>
      <w:r w:rsidR="0078011B" w:rsidRPr="006454B5">
        <w:rPr>
          <w:rFonts w:ascii="Arial" w:hAnsi="Arial" w:cs="Arial"/>
          <w:sz w:val="20"/>
          <w:szCs w:val="20"/>
        </w:rPr>
        <w:t xml:space="preserve">Officer narrative includes reference to </w:t>
      </w:r>
      <w:r w:rsidRPr="006454B5">
        <w:rPr>
          <w:rFonts w:ascii="Arial" w:hAnsi="Arial" w:cs="Arial"/>
          <w:sz w:val="20"/>
          <w:szCs w:val="20"/>
        </w:rPr>
        <w:t>suspect</w:t>
      </w:r>
      <w:r w:rsidR="0078011B" w:rsidRPr="006454B5">
        <w:rPr>
          <w:rFonts w:ascii="Arial" w:hAnsi="Arial" w:cs="Arial"/>
          <w:sz w:val="20"/>
          <w:szCs w:val="20"/>
        </w:rPr>
        <w:t xml:space="preserve"> presenting with some form of learning difficulty.</w:t>
      </w:r>
    </w:p>
    <w:p w14:paraId="49056D88" w14:textId="5875E036" w:rsidR="009938B0" w:rsidRPr="006454B5" w:rsidRDefault="009938B0" w:rsidP="009938B0">
      <w:pPr>
        <w:spacing w:after="0" w:line="240" w:lineRule="auto"/>
        <w:rPr>
          <w:rFonts w:ascii="Arial" w:hAnsi="Arial" w:cs="Arial"/>
          <w:sz w:val="20"/>
          <w:szCs w:val="20"/>
        </w:rPr>
      </w:pPr>
      <w:proofErr w:type="gramStart"/>
      <w:r w:rsidRPr="006454B5">
        <w:rPr>
          <w:rFonts w:ascii="Arial" w:hAnsi="Arial" w:cs="Arial"/>
          <w:sz w:val="20"/>
          <w:szCs w:val="20"/>
          <w:vertAlign w:val="superscript"/>
        </w:rPr>
        <w:t>d</w:t>
      </w:r>
      <w:proofErr w:type="gramEnd"/>
      <w:r w:rsidR="00DA37D4" w:rsidRPr="006454B5">
        <w:rPr>
          <w:rFonts w:ascii="Arial" w:hAnsi="Arial" w:cs="Arial"/>
          <w:sz w:val="20"/>
          <w:szCs w:val="20"/>
          <w:vertAlign w:val="superscript"/>
        </w:rPr>
        <w:t xml:space="preserve"> </w:t>
      </w:r>
      <w:r w:rsidRPr="006454B5">
        <w:rPr>
          <w:rFonts w:ascii="Arial" w:hAnsi="Arial" w:cs="Arial"/>
          <w:sz w:val="20"/>
          <w:szCs w:val="20"/>
        </w:rPr>
        <w:t>Yes/no, based on questions identified by CRIS report.</w:t>
      </w:r>
    </w:p>
    <w:p w14:paraId="58363EAB" w14:textId="3D2769F5" w:rsidR="009938B0" w:rsidRPr="006454B5" w:rsidRDefault="00DA37D4" w:rsidP="009938B0">
      <w:pPr>
        <w:spacing w:after="0" w:line="240" w:lineRule="auto"/>
        <w:rPr>
          <w:rFonts w:ascii="Arial" w:hAnsi="Arial" w:cs="Arial"/>
          <w:sz w:val="20"/>
          <w:szCs w:val="20"/>
        </w:rPr>
      </w:pPr>
      <w:proofErr w:type="spellStart"/>
      <w:proofErr w:type="gramStart"/>
      <w:r w:rsidRPr="006454B5">
        <w:rPr>
          <w:rFonts w:ascii="Arial" w:hAnsi="Arial" w:cs="Arial"/>
          <w:sz w:val="20"/>
          <w:szCs w:val="20"/>
          <w:vertAlign w:val="superscript"/>
        </w:rPr>
        <w:t>e</w:t>
      </w:r>
      <w:proofErr w:type="spellEnd"/>
      <w:proofErr w:type="gramEnd"/>
      <w:r w:rsidR="009938B0" w:rsidRPr="006454B5">
        <w:rPr>
          <w:rFonts w:ascii="Arial" w:hAnsi="Arial" w:cs="Arial"/>
          <w:sz w:val="20"/>
          <w:szCs w:val="20"/>
          <w:vertAlign w:val="superscript"/>
        </w:rPr>
        <w:t xml:space="preserve"> </w:t>
      </w:r>
      <w:r w:rsidR="009938B0" w:rsidRPr="006454B5">
        <w:rPr>
          <w:rFonts w:ascii="Arial" w:hAnsi="Arial" w:cs="Arial"/>
          <w:sz w:val="20"/>
          <w:szCs w:val="20"/>
        </w:rPr>
        <w:t>Suspect known to the police as having a previous criminal record – may be the result of formal intelligence search.</w:t>
      </w:r>
    </w:p>
    <w:p w14:paraId="0F30612C" w14:textId="37C6FBE1" w:rsidR="0078011B" w:rsidRPr="006454B5" w:rsidRDefault="00DA37D4" w:rsidP="0078011B">
      <w:pPr>
        <w:spacing w:after="0" w:line="240" w:lineRule="auto"/>
        <w:rPr>
          <w:rFonts w:ascii="Arial" w:hAnsi="Arial" w:cs="Arial"/>
          <w:sz w:val="20"/>
          <w:szCs w:val="20"/>
        </w:rPr>
      </w:pPr>
      <w:proofErr w:type="gramStart"/>
      <w:r w:rsidRPr="006454B5">
        <w:rPr>
          <w:rFonts w:ascii="Arial" w:hAnsi="Arial" w:cs="Arial"/>
          <w:sz w:val="20"/>
          <w:szCs w:val="20"/>
          <w:vertAlign w:val="superscript"/>
        </w:rPr>
        <w:t>f</w:t>
      </w:r>
      <w:proofErr w:type="gramEnd"/>
      <w:r w:rsidR="009938B0" w:rsidRPr="006454B5">
        <w:rPr>
          <w:rFonts w:ascii="Arial" w:hAnsi="Arial" w:cs="Arial"/>
          <w:sz w:val="20"/>
          <w:szCs w:val="20"/>
          <w:vertAlign w:val="superscript"/>
        </w:rPr>
        <w:t xml:space="preserve"> </w:t>
      </w:r>
      <w:r w:rsidR="009938B0" w:rsidRPr="006454B5">
        <w:rPr>
          <w:rFonts w:ascii="Arial" w:hAnsi="Arial" w:cs="Arial"/>
          <w:sz w:val="20"/>
          <w:szCs w:val="20"/>
        </w:rPr>
        <w:t xml:space="preserve">Indication that perpetrator has previously been charged or convicted </w:t>
      </w:r>
      <w:r w:rsidRPr="006454B5">
        <w:rPr>
          <w:rFonts w:ascii="Arial" w:hAnsi="Arial" w:cs="Arial"/>
          <w:sz w:val="20"/>
          <w:szCs w:val="20"/>
        </w:rPr>
        <w:t xml:space="preserve">of this type of offending </w:t>
      </w:r>
      <w:r w:rsidR="009938B0" w:rsidRPr="006454B5">
        <w:rPr>
          <w:rFonts w:ascii="Arial" w:hAnsi="Arial" w:cs="Arial"/>
          <w:sz w:val="20"/>
          <w:szCs w:val="20"/>
        </w:rPr>
        <w:t>- may be as a result of a formal intelligence search.</w:t>
      </w:r>
    </w:p>
    <w:p w14:paraId="0815F29B" w14:textId="2BE6758E" w:rsidR="009938B0" w:rsidRPr="006454B5" w:rsidRDefault="00DA37D4" w:rsidP="0078011B">
      <w:pPr>
        <w:spacing w:after="0" w:line="240" w:lineRule="auto"/>
        <w:rPr>
          <w:rFonts w:ascii="Arial" w:hAnsi="Arial" w:cs="Arial"/>
          <w:sz w:val="20"/>
          <w:szCs w:val="20"/>
          <w:vertAlign w:val="superscript"/>
        </w:rPr>
      </w:pPr>
      <w:proofErr w:type="gramStart"/>
      <w:r w:rsidRPr="006454B5">
        <w:rPr>
          <w:rFonts w:ascii="Arial" w:hAnsi="Arial" w:cs="Arial"/>
          <w:sz w:val="20"/>
          <w:szCs w:val="20"/>
          <w:vertAlign w:val="superscript"/>
        </w:rPr>
        <w:t>g</w:t>
      </w:r>
      <w:proofErr w:type="gramEnd"/>
      <w:r w:rsidR="009938B0" w:rsidRPr="006454B5">
        <w:rPr>
          <w:rFonts w:ascii="Arial" w:hAnsi="Arial" w:cs="Arial"/>
          <w:szCs w:val="20"/>
        </w:rPr>
        <w:t xml:space="preserve"> </w:t>
      </w:r>
      <w:r w:rsidR="009938B0" w:rsidRPr="006454B5">
        <w:rPr>
          <w:rFonts w:ascii="Arial" w:hAnsi="Arial" w:cs="Arial"/>
          <w:sz w:val="20"/>
          <w:szCs w:val="20"/>
        </w:rPr>
        <w:t>Stranger 1 is a complete stranger and Stranger 2 is someone the victim met a short time before the incident</w:t>
      </w:r>
      <w:r w:rsidR="001F4320" w:rsidRPr="006454B5">
        <w:rPr>
          <w:rFonts w:ascii="Arial" w:hAnsi="Arial" w:cs="Arial"/>
          <w:sz w:val="20"/>
          <w:szCs w:val="20"/>
        </w:rPr>
        <w:t>.</w:t>
      </w:r>
      <w:r w:rsidR="0078011B" w:rsidRPr="006454B5">
        <w:rPr>
          <w:rFonts w:ascii="Arial" w:hAnsi="Arial" w:cs="Arial"/>
          <w:sz w:val="20"/>
          <w:szCs w:val="20"/>
          <w:vertAlign w:val="superscript"/>
        </w:rPr>
        <w:t xml:space="preserve"> </w:t>
      </w:r>
    </w:p>
    <w:p w14:paraId="29F1D520" w14:textId="7B29028F" w:rsidR="00123595" w:rsidRPr="006454B5" w:rsidRDefault="00123595" w:rsidP="00123595">
      <w:pPr>
        <w:spacing w:after="0" w:line="240" w:lineRule="auto"/>
        <w:rPr>
          <w:rFonts w:ascii="Arial" w:hAnsi="Arial" w:cs="Arial"/>
          <w:sz w:val="20"/>
          <w:szCs w:val="20"/>
        </w:rPr>
      </w:pPr>
    </w:p>
    <w:bookmarkEnd w:id="1"/>
    <w:p w14:paraId="3D89F0CF" w14:textId="77777777" w:rsidR="00123595" w:rsidRPr="006454B5" w:rsidRDefault="00123595" w:rsidP="00123595">
      <w:pPr>
        <w:spacing w:after="0" w:line="240" w:lineRule="auto"/>
        <w:rPr>
          <w:rFonts w:ascii="Arial" w:hAnsi="Arial" w:cs="Arial"/>
          <w:sz w:val="20"/>
          <w:szCs w:val="20"/>
        </w:rPr>
      </w:pPr>
    </w:p>
    <w:p w14:paraId="6FE81A46" w14:textId="77777777" w:rsidR="00123595" w:rsidRPr="006454B5" w:rsidRDefault="00123595" w:rsidP="00123595">
      <w:pPr>
        <w:spacing w:after="0" w:line="240" w:lineRule="auto"/>
        <w:rPr>
          <w:rFonts w:ascii="Arial" w:hAnsi="Arial" w:cs="Arial"/>
          <w:b/>
          <w:bCs/>
          <w:sz w:val="20"/>
          <w:szCs w:val="20"/>
        </w:rPr>
        <w:sectPr w:rsidR="00123595" w:rsidRPr="006454B5" w:rsidSect="00492808">
          <w:headerReference w:type="even" r:id="rId66"/>
          <w:headerReference w:type="default" r:id="rId67"/>
          <w:footerReference w:type="even" r:id="rId68"/>
          <w:footerReference w:type="default" r:id="rId69"/>
          <w:pgSz w:w="11900" w:h="16840"/>
          <w:pgMar w:top="1440" w:right="1440" w:bottom="1440" w:left="1440" w:header="708" w:footer="708" w:gutter="0"/>
          <w:cols w:space="708"/>
          <w:docGrid w:linePitch="360"/>
        </w:sectPr>
      </w:pPr>
    </w:p>
    <w:p w14:paraId="374122AB" w14:textId="08863F35" w:rsidR="00123595" w:rsidRPr="006454B5" w:rsidRDefault="00123595" w:rsidP="00123595">
      <w:pPr>
        <w:spacing w:after="0" w:line="240" w:lineRule="auto"/>
        <w:rPr>
          <w:rFonts w:ascii="Arial" w:hAnsi="Arial" w:cs="Arial"/>
          <w:b/>
          <w:bCs/>
          <w:sz w:val="22"/>
        </w:rPr>
      </w:pPr>
      <w:r w:rsidRPr="006454B5">
        <w:rPr>
          <w:rFonts w:ascii="Arial" w:hAnsi="Arial" w:cs="Arial"/>
          <w:b/>
          <w:bCs/>
          <w:sz w:val="22"/>
        </w:rPr>
        <w:lastRenderedPageBreak/>
        <w:t>Table 3</w:t>
      </w:r>
    </w:p>
    <w:p w14:paraId="045C762C" w14:textId="77777777" w:rsidR="00123595" w:rsidRPr="006454B5" w:rsidRDefault="00123595" w:rsidP="00123595">
      <w:pPr>
        <w:spacing w:after="0" w:line="240" w:lineRule="auto"/>
        <w:rPr>
          <w:rFonts w:ascii="Arial" w:hAnsi="Arial" w:cs="Arial"/>
          <w:sz w:val="22"/>
        </w:rPr>
      </w:pPr>
    </w:p>
    <w:p w14:paraId="3644F0E8" w14:textId="43388760" w:rsidR="00123595" w:rsidRPr="006454B5" w:rsidRDefault="00DA37D4" w:rsidP="00123595">
      <w:pPr>
        <w:spacing w:after="0" w:line="240" w:lineRule="auto"/>
        <w:rPr>
          <w:rFonts w:ascii="Arial" w:hAnsi="Arial" w:cs="Arial"/>
          <w:i/>
          <w:iCs/>
          <w:sz w:val="22"/>
        </w:rPr>
      </w:pPr>
      <w:r w:rsidRPr="006454B5">
        <w:rPr>
          <w:rFonts w:ascii="Arial" w:hAnsi="Arial" w:cs="Arial"/>
          <w:i/>
          <w:iCs/>
          <w:sz w:val="22"/>
        </w:rPr>
        <w:t xml:space="preserve">Frequencies </w:t>
      </w:r>
      <w:r w:rsidR="00123595" w:rsidRPr="006454B5">
        <w:rPr>
          <w:rFonts w:ascii="Arial" w:hAnsi="Arial" w:cs="Arial"/>
          <w:i/>
          <w:iCs/>
          <w:sz w:val="22"/>
        </w:rPr>
        <w:t xml:space="preserve">for offence-related variables </w:t>
      </w:r>
      <w:r w:rsidR="00A0095C" w:rsidRPr="006454B5">
        <w:rPr>
          <w:rFonts w:ascii="Arial" w:hAnsi="Arial" w:cs="Arial"/>
          <w:i/>
          <w:iCs/>
          <w:sz w:val="22"/>
        </w:rPr>
        <w:t>(n=446)</w:t>
      </w:r>
    </w:p>
    <w:p w14:paraId="0DDAC954" w14:textId="77777777" w:rsidR="00123595" w:rsidRPr="006454B5" w:rsidRDefault="00123595" w:rsidP="00123595">
      <w:pPr>
        <w:spacing w:after="0" w:line="240" w:lineRule="auto"/>
        <w:rPr>
          <w:rFonts w:ascii="Arial" w:hAnsi="Arial" w:cs="Arial"/>
          <w:sz w:val="20"/>
          <w:szCs w:val="20"/>
        </w:rPr>
      </w:pPr>
    </w:p>
    <w:tbl>
      <w:tblPr>
        <w:tblStyle w:val="TableGrid"/>
        <w:tblW w:w="49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2694"/>
        <w:gridCol w:w="1024"/>
        <w:gridCol w:w="1359"/>
        <w:gridCol w:w="1302"/>
      </w:tblGrid>
      <w:tr w:rsidR="00123595" w:rsidRPr="006454B5" w14:paraId="52954F63" w14:textId="77777777" w:rsidTr="00492808">
        <w:trPr>
          <w:trHeight w:val="20"/>
        </w:trPr>
        <w:tc>
          <w:tcPr>
            <w:tcW w:w="1429" w:type="pct"/>
            <w:tcBorders>
              <w:top w:val="single" w:sz="4" w:space="0" w:color="auto"/>
              <w:bottom w:val="single" w:sz="4" w:space="0" w:color="auto"/>
            </w:tcBorders>
            <w:vAlign w:val="center"/>
          </w:tcPr>
          <w:p w14:paraId="1D6A5536" w14:textId="77777777" w:rsidR="00123595" w:rsidRPr="006454B5" w:rsidRDefault="00123595" w:rsidP="00123595">
            <w:pPr>
              <w:spacing w:after="0" w:line="240" w:lineRule="auto"/>
              <w:rPr>
                <w:rFonts w:ascii="Arial" w:hAnsi="Arial" w:cs="Arial"/>
                <w:bCs/>
                <w:szCs w:val="20"/>
              </w:rPr>
            </w:pPr>
            <w:r w:rsidRPr="006454B5">
              <w:rPr>
                <w:rFonts w:ascii="Arial" w:hAnsi="Arial" w:cs="Arial"/>
                <w:bCs/>
                <w:szCs w:val="20"/>
              </w:rPr>
              <w:t>Variable</w:t>
            </w:r>
          </w:p>
        </w:tc>
        <w:tc>
          <w:tcPr>
            <w:tcW w:w="1508" w:type="pct"/>
            <w:tcBorders>
              <w:top w:val="single" w:sz="4" w:space="0" w:color="auto"/>
              <w:bottom w:val="single" w:sz="4" w:space="0" w:color="auto"/>
            </w:tcBorders>
          </w:tcPr>
          <w:p w14:paraId="1353CD37" w14:textId="77777777" w:rsidR="00123595" w:rsidRPr="006454B5" w:rsidRDefault="00123595" w:rsidP="00123595">
            <w:pPr>
              <w:spacing w:after="0" w:line="240" w:lineRule="auto"/>
              <w:jc w:val="center"/>
              <w:rPr>
                <w:rFonts w:ascii="Arial" w:hAnsi="Arial" w:cs="Arial"/>
                <w:bCs/>
                <w:szCs w:val="20"/>
              </w:rPr>
            </w:pPr>
          </w:p>
        </w:tc>
        <w:tc>
          <w:tcPr>
            <w:tcW w:w="573" w:type="pct"/>
            <w:tcBorders>
              <w:top w:val="single" w:sz="4" w:space="0" w:color="auto"/>
              <w:bottom w:val="single" w:sz="4" w:space="0" w:color="auto"/>
            </w:tcBorders>
            <w:vAlign w:val="center"/>
          </w:tcPr>
          <w:p w14:paraId="10F46D3B" w14:textId="77777777" w:rsidR="00123595" w:rsidRPr="006454B5" w:rsidRDefault="00123595" w:rsidP="00123595">
            <w:pPr>
              <w:spacing w:after="0" w:line="240" w:lineRule="auto"/>
              <w:jc w:val="center"/>
              <w:rPr>
                <w:rFonts w:ascii="Arial" w:hAnsi="Arial" w:cs="Arial"/>
                <w:bCs/>
                <w:szCs w:val="20"/>
              </w:rPr>
            </w:pPr>
            <w:r w:rsidRPr="006454B5">
              <w:rPr>
                <w:rFonts w:ascii="Arial" w:hAnsi="Arial" w:cs="Arial"/>
                <w:bCs/>
                <w:szCs w:val="20"/>
              </w:rPr>
              <w:t>N</w:t>
            </w:r>
          </w:p>
        </w:tc>
        <w:tc>
          <w:tcPr>
            <w:tcW w:w="761" w:type="pct"/>
            <w:tcBorders>
              <w:top w:val="single" w:sz="4" w:space="0" w:color="auto"/>
              <w:bottom w:val="single" w:sz="4" w:space="0" w:color="auto"/>
            </w:tcBorders>
            <w:vAlign w:val="center"/>
          </w:tcPr>
          <w:p w14:paraId="0C0F3765" w14:textId="77777777" w:rsidR="00123595" w:rsidRPr="006454B5" w:rsidRDefault="00123595" w:rsidP="00123595">
            <w:pPr>
              <w:spacing w:after="0" w:line="240" w:lineRule="auto"/>
              <w:jc w:val="center"/>
              <w:rPr>
                <w:rFonts w:ascii="Arial" w:hAnsi="Arial" w:cs="Arial"/>
                <w:bCs/>
                <w:szCs w:val="20"/>
              </w:rPr>
            </w:pPr>
            <w:r w:rsidRPr="006454B5">
              <w:rPr>
                <w:rFonts w:ascii="Arial" w:hAnsi="Arial" w:cs="Arial"/>
                <w:bCs/>
                <w:szCs w:val="20"/>
              </w:rPr>
              <w:t>% of sample</w:t>
            </w:r>
          </w:p>
        </w:tc>
        <w:tc>
          <w:tcPr>
            <w:tcW w:w="729" w:type="pct"/>
            <w:tcBorders>
              <w:top w:val="single" w:sz="4" w:space="0" w:color="auto"/>
              <w:bottom w:val="single" w:sz="4" w:space="0" w:color="auto"/>
            </w:tcBorders>
          </w:tcPr>
          <w:p w14:paraId="3ECCD1B1" w14:textId="77777777" w:rsidR="00123595" w:rsidRPr="006454B5" w:rsidRDefault="00123595" w:rsidP="00123595">
            <w:pPr>
              <w:spacing w:after="0" w:line="240" w:lineRule="auto"/>
              <w:jc w:val="center"/>
              <w:rPr>
                <w:rFonts w:ascii="Arial" w:hAnsi="Arial" w:cs="Arial"/>
                <w:bCs/>
                <w:szCs w:val="20"/>
              </w:rPr>
            </w:pPr>
            <w:r w:rsidRPr="006454B5">
              <w:rPr>
                <w:rFonts w:ascii="Arial" w:hAnsi="Arial" w:cs="Arial"/>
                <w:bCs/>
                <w:szCs w:val="20"/>
              </w:rPr>
              <w:t>Missing data</w:t>
            </w:r>
          </w:p>
        </w:tc>
      </w:tr>
      <w:tr w:rsidR="00123595" w:rsidRPr="006454B5" w14:paraId="3B375565" w14:textId="77777777" w:rsidTr="00492808">
        <w:trPr>
          <w:trHeight w:val="20"/>
        </w:trPr>
        <w:tc>
          <w:tcPr>
            <w:tcW w:w="1429" w:type="pct"/>
            <w:tcBorders>
              <w:top w:val="single" w:sz="4" w:space="0" w:color="auto"/>
            </w:tcBorders>
            <w:vAlign w:val="center"/>
          </w:tcPr>
          <w:p w14:paraId="45136BDF" w14:textId="77777777" w:rsidR="00123595" w:rsidRPr="006454B5" w:rsidRDefault="00123595" w:rsidP="00123595">
            <w:pPr>
              <w:spacing w:after="0" w:line="240" w:lineRule="auto"/>
              <w:rPr>
                <w:rFonts w:ascii="Arial" w:hAnsi="Arial" w:cs="Arial"/>
                <w:i/>
                <w:iCs/>
                <w:szCs w:val="20"/>
                <w:u w:val="single"/>
              </w:rPr>
            </w:pPr>
            <w:r w:rsidRPr="006454B5">
              <w:rPr>
                <w:rFonts w:ascii="Arial" w:hAnsi="Arial" w:cs="Arial"/>
                <w:i/>
                <w:iCs/>
                <w:szCs w:val="20"/>
                <w:u w:val="single"/>
              </w:rPr>
              <w:t>Details of Offence</w:t>
            </w:r>
          </w:p>
        </w:tc>
        <w:tc>
          <w:tcPr>
            <w:tcW w:w="1508" w:type="pct"/>
            <w:tcBorders>
              <w:top w:val="single" w:sz="4" w:space="0" w:color="auto"/>
            </w:tcBorders>
          </w:tcPr>
          <w:p w14:paraId="151E1ADD" w14:textId="77777777" w:rsidR="00123595" w:rsidRPr="006454B5" w:rsidRDefault="00123595" w:rsidP="00123595">
            <w:pPr>
              <w:spacing w:after="0" w:line="240" w:lineRule="auto"/>
              <w:jc w:val="center"/>
              <w:rPr>
                <w:rFonts w:ascii="Arial" w:hAnsi="Arial" w:cs="Arial"/>
                <w:szCs w:val="20"/>
              </w:rPr>
            </w:pPr>
          </w:p>
        </w:tc>
        <w:tc>
          <w:tcPr>
            <w:tcW w:w="573" w:type="pct"/>
            <w:tcBorders>
              <w:top w:val="single" w:sz="4" w:space="0" w:color="auto"/>
            </w:tcBorders>
            <w:vAlign w:val="center"/>
          </w:tcPr>
          <w:p w14:paraId="3EF94363" w14:textId="77777777" w:rsidR="00123595" w:rsidRPr="006454B5" w:rsidRDefault="00123595" w:rsidP="00123595">
            <w:pPr>
              <w:spacing w:after="0" w:line="240" w:lineRule="auto"/>
              <w:jc w:val="center"/>
              <w:rPr>
                <w:rFonts w:ascii="Arial" w:hAnsi="Arial" w:cs="Arial"/>
                <w:szCs w:val="20"/>
              </w:rPr>
            </w:pPr>
          </w:p>
        </w:tc>
        <w:tc>
          <w:tcPr>
            <w:tcW w:w="761" w:type="pct"/>
            <w:tcBorders>
              <w:top w:val="single" w:sz="4" w:space="0" w:color="auto"/>
            </w:tcBorders>
            <w:vAlign w:val="center"/>
          </w:tcPr>
          <w:p w14:paraId="7B9B0228" w14:textId="77777777" w:rsidR="00123595" w:rsidRPr="006454B5" w:rsidRDefault="00123595" w:rsidP="00123595">
            <w:pPr>
              <w:spacing w:after="0" w:line="240" w:lineRule="auto"/>
              <w:jc w:val="center"/>
              <w:rPr>
                <w:rFonts w:ascii="Arial" w:hAnsi="Arial" w:cs="Arial"/>
                <w:szCs w:val="20"/>
              </w:rPr>
            </w:pPr>
          </w:p>
        </w:tc>
        <w:tc>
          <w:tcPr>
            <w:tcW w:w="729" w:type="pct"/>
            <w:tcBorders>
              <w:top w:val="single" w:sz="4" w:space="0" w:color="auto"/>
            </w:tcBorders>
          </w:tcPr>
          <w:p w14:paraId="04AEA688" w14:textId="77777777" w:rsidR="00123595" w:rsidRPr="006454B5" w:rsidRDefault="00123595" w:rsidP="00123595">
            <w:pPr>
              <w:spacing w:after="0" w:line="240" w:lineRule="auto"/>
              <w:jc w:val="center"/>
              <w:rPr>
                <w:rFonts w:ascii="Arial" w:hAnsi="Arial" w:cs="Arial"/>
                <w:szCs w:val="20"/>
              </w:rPr>
            </w:pPr>
          </w:p>
        </w:tc>
      </w:tr>
      <w:tr w:rsidR="00123595" w:rsidRPr="006454B5" w14:paraId="61663483" w14:textId="77777777" w:rsidTr="00492808">
        <w:trPr>
          <w:trHeight w:val="20"/>
        </w:trPr>
        <w:tc>
          <w:tcPr>
            <w:tcW w:w="1429" w:type="pct"/>
            <w:vMerge w:val="restart"/>
          </w:tcPr>
          <w:p w14:paraId="54D3E10D" w14:textId="77777777" w:rsidR="00123595" w:rsidRPr="006454B5" w:rsidRDefault="00123595" w:rsidP="00123595">
            <w:pPr>
              <w:spacing w:after="0" w:line="240" w:lineRule="auto"/>
              <w:rPr>
                <w:rFonts w:ascii="Arial" w:hAnsi="Arial" w:cs="Arial"/>
                <w:szCs w:val="20"/>
              </w:rPr>
            </w:pPr>
            <w:r w:rsidRPr="006454B5">
              <w:rPr>
                <w:rFonts w:ascii="Arial" w:hAnsi="Arial" w:cs="Arial"/>
                <w:szCs w:val="20"/>
              </w:rPr>
              <w:t>Location</w:t>
            </w:r>
          </w:p>
        </w:tc>
        <w:tc>
          <w:tcPr>
            <w:tcW w:w="1508" w:type="pct"/>
          </w:tcPr>
          <w:p w14:paraId="5F6D9600"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Known</w:t>
            </w:r>
          </w:p>
        </w:tc>
        <w:tc>
          <w:tcPr>
            <w:tcW w:w="573" w:type="pct"/>
            <w:vAlign w:val="center"/>
          </w:tcPr>
          <w:p w14:paraId="0A205585"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376</w:t>
            </w:r>
          </w:p>
        </w:tc>
        <w:tc>
          <w:tcPr>
            <w:tcW w:w="761" w:type="pct"/>
            <w:vAlign w:val="center"/>
          </w:tcPr>
          <w:p w14:paraId="157D88CA"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84.3</w:t>
            </w:r>
          </w:p>
        </w:tc>
        <w:tc>
          <w:tcPr>
            <w:tcW w:w="729" w:type="pct"/>
            <w:vAlign w:val="center"/>
          </w:tcPr>
          <w:p w14:paraId="0BF56D13"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02F2FDDE" w14:textId="77777777" w:rsidTr="00492808">
        <w:trPr>
          <w:trHeight w:val="20"/>
        </w:trPr>
        <w:tc>
          <w:tcPr>
            <w:tcW w:w="1429" w:type="pct"/>
            <w:vMerge/>
            <w:vAlign w:val="center"/>
          </w:tcPr>
          <w:p w14:paraId="28F971CA" w14:textId="77777777" w:rsidR="00123595" w:rsidRPr="006454B5" w:rsidRDefault="00123595" w:rsidP="00123595">
            <w:pPr>
              <w:spacing w:after="0" w:line="240" w:lineRule="auto"/>
              <w:rPr>
                <w:rFonts w:ascii="Arial" w:hAnsi="Arial" w:cs="Arial"/>
                <w:szCs w:val="20"/>
              </w:rPr>
            </w:pPr>
          </w:p>
        </w:tc>
        <w:tc>
          <w:tcPr>
            <w:tcW w:w="1508" w:type="pct"/>
          </w:tcPr>
          <w:p w14:paraId="048F10F4"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Domestic (victim or suspect’s address)</w:t>
            </w:r>
          </w:p>
        </w:tc>
        <w:tc>
          <w:tcPr>
            <w:tcW w:w="573" w:type="pct"/>
            <w:vAlign w:val="center"/>
          </w:tcPr>
          <w:p w14:paraId="7F8A0773"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255</w:t>
            </w:r>
          </w:p>
        </w:tc>
        <w:tc>
          <w:tcPr>
            <w:tcW w:w="761" w:type="pct"/>
            <w:vAlign w:val="center"/>
          </w:tcPr>
          <w:p w14:paraId="6D4CCA6D"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67.8</w:t>
            </w:r>
          </w:p>
        </w:tc>
        <w:tc>
          <w:tcPr>
            <w:tcW w:w="729" w:type="pct"/>
            <w:vAlign w:val="center"/>
          </w:tcPr>
          <w:p w14:paraId="35FE96FB"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70</w:t>
            </w:r>
          </w:p>
        </w:tc>
      </w:tr>
      <w:tr w:rsidR="00123595" w:rsidRPr="006454B5" w14:paraId="20D4964F" w14:textId="77777777" w:rsidTr="00492808">
        <w:trPr>
          <w:trHeight w:val="20"/>
        </w:trPr>
        <w:tc>
          <w:tcPr>
            <w:tcW w:w="1429" w:type="pct"/>
            <w:vMerge w:val="restart"/>
          </w:tcPr>
          <w:p w14:paraId="3F01E997" w14:textId="77777777" w:rsidR="00123595" w:rsidRPr="006454B5" w:rsidRDefault="00123595" w:rsidP="00123595">
            <w:pPr>
              <w:spacing w:after="0" w:line="240" w:lineRule="auto"/>
              <w:rPr>
                <w:rFonts w:ascii="Arial" w:hAnsi="Arial" w:cs="Arial"/>
                <w:szCs w:val="20"/>
              </w:rPr>
            </w:pPr>
            <w:r w:rsidRPr="006454B5">
              <w:rPr>
                <w:rFonts w:ascii="Arial" w:hAnsi="Arial" w:cs="Arial"/>
                <w:szCs w:val="20"/>
              </w:rPr>
              <w:t>Other</w:t>
            </w:r>
          </w:p>
        </w:tc>
        <w:tc>
          <w:tcPr>
            <w:tcW w:w="1508" w:type="pct"/>
          </w:tcPr>
          <w:p w14:paraId="476B2BAF"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Domestic violence related</w:t>
            </w:r>
          </w:p>
        </w:tc>
        <w:tc>
          <w:tcPr>
            <w:tcW w:w="573" w:type="pct"/>
            <w:vAlign w:val="center"/>
          </w:tcPr>
          <w:p w14:paraId="7577C3A5"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132</w:t>
            </w:r>
          </w:p>
        </w:tc>
        <w:tc>
          <w:tcPr>
            <w:tcW w:w="761" w:type="pct"/>
            <w:vAlign w:val="center"/>
          </w:tcPr>
          <w:p w14:paraId="0E998070"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29.6</w:t>
            </w:r>
          </w:p>
        </w:tc>
        <w:tc>
          <w:tcPr>
            <w:tcW w:w="729" w:type="pct"/>
            <w:vAlign w:val="center"/>
          </w:tcPr>
          <w:p w14:paraId="31E106F4"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670717C7" w14:textId="77777777" w:rsidTr="00492808">
        <w:trPr>
          <w:trHeight w:val="20"/>
        </w:trPr>
        <w:tc>
          <w:tcPr>
            <w:tcW w:w="1429" w:type="pct"/>
            <w:vMerge/>
            <w:vAlign w:val="center"/>
          </w:tcPr>
          <w:p w14:paraId="16971C1C" w14:textId="77777777" w:rsidR="00123595" w:rsidRPr="006454B5" w:rsidRDefault="00123595" w:rsidP="00123595">
            <w:pPr>
              <w:spacing w:after="0" w:line="240" w:lineRule="auto"/>
              <w:rPr>
                <w:rFonts w:ascii="Arial" w:hAnsi="Arial" w:cs="Arial"/>
                <w:szCs w:val="20"/>
              </w:rPr>
            </w:pPr>
          </w:p>
        </w:tc>
        <w:tc>
          <w:tcPr>
            <w:tcW w:w="1508" w:type="pct"/>
          </w:tcPr>
          <w:p w14:paraId="3E1E159F"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Linked to other offence</w:t>
            </w:r>
          </w:p>
        </w:tc>
        <w:tc>
          <w:tcPr>
            <w:tcW w:w="573" w:type="pct"/>
            <w:vAlign w:val="center"/>
          </w:tcPr>
          <w:p w14:paraId="23303820"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146</w:t>
            </w:r>
          </w:p>
        </w:tc>
        <w:tc>
          <w:tcPr>
            <w:tcW w:w="761" w:type="pct"/>
            <w:vAlign w:val="center"/>
          </w:tcPr>
          <w:p w14:paraId="0BE5E26B"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32.7</w:t>
            </w:r>
          </w:p>
        </w:tc>
        <w:tc>
          <w:tcPr>
            <w:tcW w:w="729" w:type="pct"/>
            <w:vAlign w:val="center"/>
          </w:tcPr>
          <w:p w14:paraId="0D2BDE98"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23EA8740" w14:textId="77777777" w:rsidTr="00492808">
        <w:trPr>
          <w:trHeight w:val="20"/>
        </w:trPr>
        <w:tc>
          <w:tcPr>
            <w:tcW w:w="1429" w:type="pct"/>
            <w:vAlign w:val="center"/>
          </w:tcPr>
          <w:p w14:paraId="16280DBB" w14:textId="77777777" w:rsidR="00123595" w:rsidRPr="006454B5" w:rsidRDefault="00123595" w:rsidP="00123595">
            <w:pPr>
              <w:spacing w:after="0" w:line="240" w:lineRule="auto"/>
              <w:rPr>
                <w:rFonts w:ascii="Arial" w:hAnsi="Arial" w:cs="Arial"/>
                <w:i/>
                <w:iCs/>
                <w:szCs w:val="20"/>
                <w:u w:val="single"/>
              </w:rPr>
            </w:pPr>
            <w:r w:rsidRPr="006454B5">
              <w:rPr>
                <w:rFonts w:ascii="Arial" w:hAnsi="Arial" w:cs="Arial"/>
                <w:i/>
                <w:iCs/>
                <w:szCs w:val="20"/>
                <w:u w:val="single"/>
              </w:rPr>
              <w:t>Substance use</w:t>
            </w:r>
          </w:p>
        </w:tc>
        <w:tc>
          <w:tcPr>
            <w:tcW w:w="1508" w:type="pct"/>
          </w:tcPr>
          <w:p w14:paraId="19A369A5" w14:textId="77777777" w:rsidR="00123595" w:rsidRPr="006454B5" w:rsidRDefault="00123595" w:rsidP="00123595">
            <w:pPr>
              <w:spacing w:after="0" w:line="240" w:lineRule="auto"/>
              <w:jc w:val="center"/>
              <w:rPr>
                <w:rFonts w:ascii="Arial" w:hAnsi="Arial" w:cs="Arial"/>
                <w:szCs w:val="20"/>
              </w:rPr>
            </w:pPr>
          </w:p>
        </w:tc>
        <w:tc>
          <w:tcPr>
            <w:tcW w:w="573" w:type="pct"/>
            <w:vAlign w:val="center"/>
          </w:tcPr>
          <w:p w14:paraId="2D18A6F3" w14:textId="77777777" w:rsidR="00123595" w:rsidRPr="006454B5" w:rsidRDefault="00123595" w:rsidP="00123595">
            <w:pPr>
              <w:spacing w:after="0" w:line="240" w:lineRule="auto"/>
              <w:jc w:val="center"/>
              <w:rPr>
                <w:rFonts w:ascii="Arial" w:hAnsi="Arial" w:cs="Arial"/>
                <w:szCs w:val="20"/>
              </w:rPr>
            </w:pPr>
          </w:p>
        </w:tc>
        <w:tc>
          <w:tcPr>
            <w:tcW w:w="761" w:type="pct"/>
            <w:vAlign w:val="center"/>
          </w:tcPr>
          <w:p w14:paraId="25C9811C" w14:textId="77777777" w:rsidR="00123595" w:rsidRPr="006454B5" w:rsidRDefault="00123595" w:rsidP="00123595">
            <w:pPr>
              <w:spacing w:after="0" w:line="240" w:lineRule="auto"/>
              <w:jc w:val="center"/>
              <w:rPr>
                <w:rFonts w:ascii="Arial" w:hAnsi="Arial" w:cs="Arial"/>
                <w:szCs w:val="20"/>
              </w:rPr>
            </w:pPr>
          </w:p>
        </w:tc>
        <w:tc>
          <w:tcPr>
            <w:tcW w:w="729" w:type="pct"/>
            <w:vAlign w:val="center"/>
          </w:tcPr>
          <w:p w14:paraId="3E6AD7ED" w14:textId="77777777" w:rsidR="00123595" w:rsidRPr="006454B5" w:rsidRDefault="00123595" w:rsidP="00123595">
            <w:pPr>
              <w:spacing w:after="0" w:line="240" w:lineRule="auto"/>
              <w:jc w:val="center"/>
              <w:rPr>
                <w:rFonts w:ascii="Arial" w:hAnsi="Arial" w:cs="Arial"/>
                <w:szCs w:val="20"/>
              </w:rPr>
            </w:pPr>
          </w:p>
        </w:tc>
      </w:tr>
      <w:tr w:rsidR="00123595" w:rsidRPr="006454B5" w14:paraId="19273530" w14:textId="77777777" w:rsidTr="00492808">
        <w:trPr>
          <w:trHeight w:val="20"/>
        </w:trPr>
        <w:tc>
          <w:tcPr>
            <w:tcW w:w="1429" w:type="pct"/>
            <w:vMerge w:val="restart"/>
          </w:tcPr>
          <w:p w14:paraId="77536828" w14:textId="77777777" w:rsidR="00123595" w:rsidRPr="006454B5" w:rsidRDefault="00123595" w:rsidP="00123595">
            <w:pPr>
              <w:spacing w:after="0" w:line="240" w:lineRule="auto"/>
              <w:rPr>
                <w:rFonts w:ascii="Arial" w:hAnsi="Arial" w:cs="Arial"/>
                <w:szCs w:val="20"/>
              </w:rPr>
            </w:pPr>
            <w:r w:rsidRPr="006454B5">
              <w:rPr>
                <w:rFonts w:ascii="Arial" w:hAnsi="Arial" w:cs="Arial"/>
                <w:szCs w:val="20"/>
              </w:rPr>
              <w:t>Victim</w:t>
            </w:r>
          </w:p>
        </w:tc>
        <w:tc>
          <w:tcPr>
            <w:tcW w:w="1508" w:type="pct"/>
          </w:tcPr>
          <w:p w14:paraId="55CFB26D" w14:textId="183B62C7" w:rsidR="00123595" w:rsidRPr="006454B5" w:rsidRDefault="00123595" w:rsidP="00123595">
            <w:pPr>
              <w:spacing w:after="0" w:line="240" w:lineRule="auto"/>
              <w:jc w:val="center"/>
              <w:rPr>
                <w:rFonts w:ascii="Arial" w:hAnsi="Arial" w:cs="Arial"/>
                <w:szCs w:val="20"/>
                <w:vertAlign w:val="superscript"/>
              </w:rPr>
            </w:pPr>
            <w:r w:rsidRPr="006454B5">
              <w:rPr>
                <w:rFonts w:ascii="Arial" w:hAnsi="Arial" w:cs="Arial"/>
                <w:szCs w:val="20"/>
              </w:rPr>
              <w:t xml:space="preserve">Had been </w:t>
            </w:r>
            <w:proofErr w:type="spellStart"/>
            <w:r w:rsidRPr="006454B5">
              <w:rPr>
                <w:rFonts w:ascii="Arial" w:hAnsi="Arial" w:cs="Arial"/>
                <w:szCs w:val="20"/>
              </w:rPr>
              <w:t>drinking</w:t>
            </w:r>
            <w:r w:rsidR="007B74F4" w:rsidRPr="006454B5">
              <w:rPr>
                <w:rFonts w:ascii="Arial" w:hAnsi="Arial" w:cs="Arial"/>
                <w:szCs w:val="20"/>
                <w:vertAlign w:val="superscript"/>
              </w:rPr>
              <w:t>a</w:t>
            </w:r>
            <w:proofErr w:type="spellEnd"/>
          </w:p>
        </w:tc>
        <w:tc>
          <w:tcPr>
            <w:tcW w:w="573" w:type="pct"/>
            <w:vAlign w:val="center"/>
          </w:tcPr>
          <w:p w14:paraId="1BFCEF05"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117</w:t>
            </w:r>
          </w:p>
        </w:tc>
        <w:tc>
          <w:tcPr>
            <w:tcW w:w="761" w:type="pct"/>
            <w:vAlign w:val="center"/>
          </w:tcPr>
          <w:p w14:paraId="516A4A1D"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26.2</w:t>
            </w:r>
          </w:p>
        </w:tc>
        <w:tc>
          <w:tcPr>
            <w:tcW w:w="729" w:type="pct"/>
            <w:vAlign w:val="center"/>
          </w:tcPr>
          <w:p w14:paraId="75AA1652"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2CC50948" w14:textId="77777777" w:rsidTr="00492808">
        <w:trPr>
          <w:trHeight w:val="20"/>
        </w:trPr>
        <w:tc>
          <w:tcPr>
            <w:tcW w:w="1429" w:type="pct"/>
            <w:vMerge/>
            <w:vAlign w:val="center"/>
          </w:tcPr>
          <w:p w14:paraId="10302D69" w14:textId="77777777" w:rsidR="00123595" w:rsidRPr="006454B5" w:rsidRDefault="00123595" w:rsidP="00123595">
            <w:pPr>
              <w:spacing w:after="0" w:line="240" w:lineRule="auto"/>
              <w:rPr>
                <w:rFonts w:ascii="Arial" w:hAnsi="Arial" w:cs="Arial"/>
                <w:szCs w:val="20"/>
              </w:rPr>
            </w:pPr>
          </w:p>
        </w:tc>
        <w:tc>
          <w:tcPr>
            <w:tcW w:w="1508" w:type="pct"/>
          </w:tcPr>
          <w:p w14:paraId="234AC6C0" w14:textId="6AAE4FF4" w:rsidR="00123595" w:rsidRPr="006454B5" w:rsidRDefault="00123595" w:rsidP="00123595">
            <w:pPr>
              <w:spacing w:after="0" w:line="240" w:lineRule="auto"/>
              <w:jc w:val="center"/>
              <w:rPr>
                <w:rFonts w:ascii="Arial" w:hAnsi="Arial" w:cs="Arial"/>
                <w:szCs w:val="20"/>
                <w:vertAlign w:val="superscript"/>
              </w:rPr>
            </w:pPr>
            <w:r w:rsidRPr="006454B5">
              <w:rPr>
                <w:rFonts w:ascii="Arial" w:hAnsi="Arial" w:cs="Arial"/>
                <w:szCs w:val="20"/>
              </w:rPr>
              <w:t xml:space="preserve">Had taken </w:t>
            </w:r>
            <w:proofErr w:type="spellStart"/>
            <w:r w:rsidRPr="006454B5">
              <w:rPr>
                <w:rFonts w:ascii="Arial" w:hAnsi="Arial" w:cs="Arial"/>
                <w:szCs w:val="20"/>
              </w:rPr>
              <w:t>drugs</w:t>
            </w:r>
            <w:r w:rsidR="00DA37D4" w:rsidRPr="006454B5">
              <w:rPr>
                <w:rFonts w:ascii="Arial" w:hAnsi="Arial" w:cs="Arial"/>
                <w:szCs w:val="20"/>
                <w:vertAlign w:val="superscript"/>
              </w:rPr>
              <w:t>a</w:t>
            </w:r>
            <w:proofErr w:type="spellEnd"/>
          </w:p>
        </w:tc>
        <w:tc>
          <w:tcPr>
            <w:tcW w:w="573" w:type="pct"/>
            <w:vAlign w:val="center"/>
          </w:tcPr>
          <w:p w14:paraId="06B770AC"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29</w:t>
            </w:r>
          </w:p>
        </w:tc>
        <w:tc>
          <w:tcPr>
            <w:tcW w:w="761" w:type="pct"/>
            <w:vAlign w:val="center"/>
          </w:tcPr>
          <w:p w14:paraId="466A1D72"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6.5</w:t>
            </w:r>
          </w:p>
        </w:tc>
        <w:tc>
          <w:tcPr>
            <w:tcW w:w="729" w:type="pct"/>
            <w:vAlign w:val="center"/>
          </w:tcPr>
          <w:p w14:paraId="6FF889A2"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56EF55B6" w14:textId="77777777" w:rsidTr="00492808">
        <w:trPr>
          <w:trHeight w:val="20"/>
        </w:trPr>
        <w:tc>
          <w:tcPr>
            <w:tcW w:w="1429" w:type="pct"/>
            <w:vMerge/>
            <w:vAlign w:val="center"/>
          </w:tcPr>
          <w:p w14:paraId="1E01EBB2" w14:textId="77777777" w:rsidR="00123595" w:rsidRPr="006454B5" w:rsidRDefault="00123595" w:rsidP="00123595">
            <w:pPr>
              <w:spacing w:after="0" w:line="240" w:lineRule="auto"/>
              <w:rPr>
                <w:rFonts w:ascii="Arial" w:hAnsi="Arial" w:cs="Arial"/>
                <w:szCs w:val="20"/>
              </w:rPr>
            </w:pPr>
          </w:p>
        </w:tc>
        <w:tc>
          <w:tcPr>
            <w:tcW w:w="1508" w:type="pct"/>
          </w:tcPr>
          <w:p w14:paraId="4ABBCBA7" w14:textId="3C3E3AED" w:rsidR="00123595" w:rsidRPr="006454B5" w:rsidRDefault="00123595" w:rsidP="00123595">
            <w:pPr>
              <w:spacing w:after="0" w:line="240" w:lineRule="auto"/>
              <w:jc w:val="center"/>
              <w:rPr>
                <w:rFonts w:ascii="Arial" w:hAnsi="Arial" w:cs="Arial"/>
                <w:szCs w:val="20"/>
                <w:vertAlign w:val="superscript"/>
              </w:rPr>
            </w:pPr>
            <w:r w:rsidRPr="006454B5">
              <w:rPr>
                <w:rFonts w:ascii="Arial" w:hAnsi="Arial" w:cs="Arial"/>
                <w:szCs w:val="20"/>
              </w:rPr>
              <w:t xml:space="preserve">Believes they were </w:t>
            </w:r>
            <w:proofErr w:type="spellStart"/>
            <w:r w:rsidRPr="006454B5">
              <w:rPr>
                <w:rFonts w:ascii="Arial" w:hAnsi="Arial" w:cs="Arial"/>
                <w:szCs w:val="20"/>
              </w:rPr>
              <w:t>drugged</w:t>
            </w:r>
            <w:r w:rsidR="00DA37D4" w:rsidRPr="006454B5">
              <w:rPr>
                <w:rFonts w:ascii="Arial" w:hAnsi="Arial" w:cs="Arial"/>
                <w:szCs w:val="20"/>
                <w:vertAlign w:val="superscript"/>
              </w:rPr>
              <w:t>b</w:t>
            </w:r>
            <w:proofErr w:type="spellEnd"/>
          </w:p>
        </w:tc>
        <w:tc>
          <w:tcPr>
            <w:tcW w:w="573" w:type="pct"/>
            <w:vAlign w:val="center"/>
          </w:tcPr>
          <w:p w14:paraId="2180A428"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29</w:t>
            </w:r>
          </w:p>
        </w:tc>
        <w:tc>
          <w:tcPr>
            <w:tcW w:w="761" w:type="pct"/>
            <w:vAlign w:val="center"/>
          </w:tcPr>
          <w:p w14:paraId="5F2647E1"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6.5</w:t>
            </w:r>
          </w:p>
        </w:tc>
        <w:tc>
          <w:tcPr>
            <w:tcW w:w="729" w:type="pct"/>
            <w:vAlign w:val="center"/>
          </w:tcPr>
          <w:p w14:paraId="5AA0692A"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05F2ECA2" w14:textId="77777777" w:rsidTr="00492808">
        <w:trPr>
          <w:trHeight w:val="20"/>
        </w:trPr>
        <w:tc>
          <w:tcPr>
            <w:tcW w:w="1429" w:type="pct"/>
            <w:vMerge w:val="restart"/>
          </w:tcPr>
          <w:p w14:paraId="36B7FEB6" w14:textId="77777777" w:rsidR="00123595" w:rsidRPr="006454B5" w:rsidRDefault="00123595" w:rsidP="00123595">
            <w:pPr>
              <w:spacing w:after="0" w:line="240" w:lineRule="auto"/>
              <w:rPr>
                <w:rFonts w:ascii="Arial" w:hAnsi="Arial" w:cs="Arial"/>
                <w:szCs w:val="20"/>
              </w:rPr>
            </w:pPr>
            <w:r w:rsidRPr="006454B5">
              <w:rPr>
                <w:rFonts w:ascii="Arial" w:hAnsi="Arial" w:cs="Arial"/>
                <w:szCs w:val="20"/>
              </w:rPr>
              <w:t>Suspect</w:t>
            </w:r>
          </w:p>
        </w:tc>
        <w:tc>
          <w:tcPr>
            <w:tcW w:w="1508" w:type="pct"/>
          </w:tcPr>
          <w:p w14:paraId="4BB34C8E" w14:textId="3A677688" w:rsidR="00123595" w:rsidRPr="006454B5" w:rsidRDefault="00123595" w:rsidP="00123595">
            <w:pPr>
              <w:spacing w:after="0" w:line="240" w:lineRule="auto"/>
              <w:jc w:val="center"/>
              <w:rPr>
                <w:rFonts w:ascii="Arial" w:hAnsi="Arial" w:cs="Arial"/>
                <w:szCs w:val="20"/>
                <w:vertAlign w:val="superscript"/>
              </w:rPr>
            </w:pPr>
            <w:r w:rsidRPr="006454B5">
              <w:rPr>
                <w:rFonts w:ascii="Arial" w:hAnsi="Arial" w:cs="Arial"/>
                <w:szCs w:val="20"/>
              </w:rPr>
              <w:t xml:space="preserve">Had been </w:t>
            </w:r>
            <w:proofErr w:type="spellStart"/>
            <w:r w:rsidRPr="006454B5">
              <w:rPr>
                <w:rFonts w:ascii="Arial" w:hAnsi="Arial" w:cs="Arial"/>
                <w:szCs w:val="20"/>
              </w:rPr>
              <w:t>drinking</w:t>
            </w:r>
            <w:r w:rsidR="00DA37D4" w:rsidRPr="006454B5">
              <w:rPr>
                <w:rFonts w:ascii="Arial" w:hAnsi="Arial" w:cs="Arial"/>
                <w:szCs w:val="20"/>
                <w:vertAlign w:val="superscript"/>
              </w:rPr>
              <w:t>c</w:t>
            </w:r>
            <w:proofErr w:type="spellEnd"/>
          </w:p>
        </w:tc>
        <w:tc>
          <w:tcPr>
            <w:tcW w:w="573" w:type="pct"/>
            <w:vAlign w:val="center"/>
          </w:tcPr>
          <w:p w14:paraId="388CC585"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89</w:t>
            </w:r>
          </w:p>
        </w:tc>
        <w:tc>
          <w:tcPr>
            <w:tcW w:w="761" w:type="pct"/>
            <w:vAlign w:val="center"/>
          </w:tcPr>
          <w:p w14:paraId="0B82424E"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20.0</w:t>
            </w:r>
          </w:p>
        </w:tc>
        <w:tc>
          <w:tcPr>
            <w:tcW w:w="729" w:type="pct"/>
            <w:vAlign w:val="center"/>
          </w:tcPr>
          <w:p w14:paraId="1F366CA6"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7678CE3D" w14:textId="77777777" w:rsidTr="00492808">
        <w:trPr>
          <w:trHeight w:val="20"/>
        </w:trPr>
        <w:tc>
          <w:tcPr>
            <w:tcW w:w="1429" w:type="pct"/>
            <w:vMerge/>
            <w:vAlign w:val="center"/>
          </w:tcPr>
          <w:p w14:paraId="536CAB89" w14:textId="77777777" w:rsidR="00123595" w:rsidRPr="006454B5" w:rsidRDefault="00123595" w:rsidP="00123595">
            <w:pPr>
              <w:spacing w:after="0" w:line="240" w:lineRule="auto"/>
              <w:rPr>
                <w:rFonts w:ascii="Arial" w:hAnsi="Arial" w:cs="Arial"/>
                <w:szCs w:val="20"/>
              </w:rPr>
            </w:pPr>
          </w:p>
        </w:tc>
        <w:tc>
          <w:tcPr>
            <w:tcW w:w="1508" w:type="pct"/>
          </w:tcPr>
          <w:p w14:paraId="0AFD98D0" w14:textId="2E3B107B" w:rsidR="00123595" w:rsidRPr="006454B5" w:rsidRDefault="00123595" w:rsidP="00123595">
            <w:pPr>
              <w:spacing w:after="0" w:line="240" w:lineRule="auto"/>
              <w:jc w:val="center"/>
              <w:rPr>
                <w:rFonts w:ascii="Arial" w:hAnsi="Arial" w:cs="Arial"/>
                <w:szCs w:val="20"/>
                <w:vertAlign w:val="superscript"/>
              </w:rPr>
            </w:pPr>
            <w:r w:rsidRPr="006454B5">
              <w:rPr>
                <w:rFonts w:ascii="Arial" w:hAnsi="Arial" w:cs="Arial"/>
                <w:szCs w:val="20"/>
              </w:rPr>
              <w:t xml:space="preserve">Had taken </w:t>
            </w:r>
            <w:proofErr w:type="spellStart"/>
            <w:r w:rsidRPr="006454B5">
              <w:rPr>
                <w:rFonts w:ascii="Arial" w:hAnsi="Arial" w:cs="Arial"/>
                <w:szCs w:val="20"/>
              </w:rPr>
              <w:t>drugs</w:t>
            </w:r>
            <w:r w:rsidR="00DA37D4" w:rsidRPr="006454B5">
              <w:rPr>
                <w:rFonts w:ascii="Arial" w:hAnsi="Arial" w:cs="Arial"/>
                <w:szCs w:val="20"/>
                <w:vertAlign w:val="superscript"/>
              </w:rPr>
              <w:t>c</w:t>
            </w:r>
            <w:proofErr w:type="spellEnd"/>
          </w:p>
        </w:tc>
        <w:tc>
          <w:tcPr>
            <w:tcW w:w="573" w:type="pct"/>
            <w:vAlign w:val="center"/>
          </w:tcPr>
          <w:p w14:paraId="3DDC2892"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25</w:t>
            </w:r>
          </w:p>
        </w:tc>
        <w:tc>
          <w:tcPr>
            <w:tcW w:w="761" w:type="pct"/>
            <w:vAlign w:val="center"/>
          </w:tcPr>
          <w:p w14:paraId="420D4E0B"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5.6</w:t>
            </w:r>
          </w:p>
        </w:tc>
        <w:tc>
          <w:tcPr>
            <w:tcW w:w="729" w:type="pct"/>
            <w:vAlign w:val="center"/>
          </w:tcPr>
          <w:p w14:paraId="1377D025"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5CBE230C" w14:textId="77777777" w:rsidTr="00492808">
        <w:trPr>
          <w:trHeight w:val="20"/>
        </w:trPr>
        <w:tc>
          <w:tcPr>
            <w:tcW w:w="1429" w:type="pct"/>
            <w:vAlign w:val="center"/>
          </w:tcPr>
          <w:p w14:paraId="138D0036" w14:textId="77777777" w:rsidR="00123595" w:rsidRPr="006454B5" w:rsidRDefault="00123595" w:rsidP="00123595">
            <w:pPr>
              <w:spacing w:after="0" w:line="240" w:lineRule="auto"/>
              <w:rPr>
                <w:rFonts w:ascii="Arial" w:hAnsi="Arial" w:cs="Arial"/>
                <w:b/>
                <w:bCs/>
                <w:i/>
                <w:iCs/>
                <w:szCs w:val="20"/>
                <w:u w:val="single"/>
              </w:rPr>
            </w:pPr>
            <w:r w:rsidRPr="006454B5">
              <w:rPr>
                <w:rFonts w:ascii="Arial" w:hAnsi="Arial" w:cs="Arial"/>
                <w:i/>
                <w:iCs/>
                <w:szCs w:val="20"/>
                <w:u w:val="single"/>
              </w:rPr>
              <w:t>Level of violence</w:t>
            </w:r>
          </w:p>
        </w:tc>
        <w:tc>
          <w:tcPr>
            <w:tcW w:w="1508" w:type="pct"/>
            <w:vAlign w:val="center"/>
          </w:tcPr>
          <w:p w14:paraId="234DC972" w14:textId="77777777" w:rsidR="00123595" w:rsidRPr="006454B5" w:rsidRDefault="00123595" w:rsidP="00123595">
            <w:pPr>
              <w:spacing w:after="0" w:line="240" w:lineRule="auto"/>
              <w:jc w:val="center"/>
              <w:rPr>
                <w:rFonts w:ascii="Arial" w:hAnsi="Arial" w:cs="Arial"/>
                <w:szCs w:val="20"/>
              </w:rPr>
            </w:pPr>
          </w:p>
        </w:tc>
        <w:tc>
          <w:tcPr>
            <w:tcW w:w="573" w:type="pct"/>
            <w:vAlign w:val="center"/>
          </w:tcPr>
          <w:p w14:paraId="7A35EC3C" w14:textId="77777777" w:rsidR="00123595" w:rsidRPr="006454B5" w:rsidRDefault="00123595" w:rsidP="00123595">
            <w:pPr>
              <w:spacing w:after="0" w:line="240" w:lineRule="auto"/>
              <w:jc w:val="center"/>
              <w:rPr>
                <w:rFonts w:ascii="Arial" w:hAnsi="Arial" w:cs="Arial"/>
                <w:szCs w:val="20"/>
              </w:rPr>
            </w:pPr>
          </w:p>
        </w:tc>
        <w:tc>
          <w:tcPr>
            <w:tcW w:w="761" w:type="pct"/>
            <w:vAlign w:val="center"/>
          </w:tcPr>
          <w:p w14:paraId="01B4A121" w14:textId="77777777" w:rsidR="00123595" w:rsidRPr="006454B5" w:rsidRDefault="00123595" w:rsidP="00123595">
            <w:pPr>
              <w:spacing w:after="0" w:line="240" w:lineRule="auto"/>
              <w:jc w:val="center"/>
              <w:rPr>
                <w:rFonts w:ascii="Arial" w:hAnsi="Arial" w:cs="Arial"/>
                <w:szCs w:val="20"/>
              </w:rPr>
            </w:pPr>
          </w:p>
        </w:tc>
        <w:tc>
          <w:tcPr>
            <w:tcW w:w="729" w:type="pct"/>
            <w:vAlign w:val="center"/>
          </w:tcPr>
          <w:p w14:paraId="09960EB0" w14:textId="77777777" w:rsidR="00123595" w:rsidRPr="006454B5" w:rsidRDefault="00123595" w:rsidP="00123595">
            <w:pPr>
              <w:spacing w:after="0" w:line="240" w:lineRule="auto"/>
              <w:jc w:val="center"/>
              <w:rPr>
                <w:rFonts w:ascii="Arial" w:hAnsi="Arial" w:cs="Arial"/>
                <w:szCs w:val="20"/>
              </w:rPr>
            </w:pPr>
          </w:p>
        </w:tc>
      </w:tr>
      <w:tr w:rsidR="00123595" w:rsidRPr="006454B5" w14:paraId="6152899E" w14:textId="77777777" w:rsidTr="00492808">
        <w:trPr>
          <w:trHeight w:val="20"/>
        </w:trPr>
        <w:tc>
          <w:tcPr>
            <w:tcW w:w="1429" w:type="pct"/>
            <w:vMerge w:val="restart"/>
          </w:tcPr>
          <w:p w14:paraId="05535B2B" w14:textId="77777777" w:rsidR="00123595" w:rsidRPr="006454B5" w:rsidRDefault="00123595" w:rsidP="00123595">
            <w:pPr>
              <w:spacing w:after="0" w:line="240" w:lineRule="auto"/>
              <w:rPr>
                <w:rFonts w:ascii="Arial" w:hAnsi="Arial" w:cs="Arial"/>
                <w:szCs w:val="20"/>
              </w:rPr>
            </w:pPr>
            <w:r w:rsidRPr="006454B5">
              <w:rPr>
                <w:rFonts w:ascii="Arial" w:hAnsi="Arial" w:cs="Arial"/>
                <w:szCs w:val="20"/>
              </w:rPr>
              <w:t>Level of force</w:t>
            </w:r>
          </w:p>
        </w:tc>
        <w:tc>
          <w:tcPr>
            <w:tcW w:w="1508" w:type="pct"/>
            <w:vAlign w:val="center"/>
          </w:tcPr>
          <w:p w14:paraId="69DD46AD" w14:textId="2AF406B1"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 xml:space="preserve">Victim verbally </w:t>
            </w:r>
            <w:proofErr w:type="spellStart"/>
            <w:r w:rsidRPr="006454B5">
              <w:rPr>
                <w:rFonts w:ascii="Arial" w:hAnsi="Arial" w:cs="Arial"/>
                <w:szCs w:val="20"/>
              </w:rPr>
              <w:t>resisted</w:t>
            </w:r>
            <w:r w:rsidR="00A0095C" w:rsidRPr="006454B5">
              <w:rPr>
                <w:rFonts w:ascii="Arial" w:hAnsi="Arial" w:cs="Arial"/>
                <w:szCs w:val="20"/>
                <w:vertAlign w:val="superscript"/>
              </w:rPr>
              <w:t>d</w:t>
            </w:r>
            <w:proofErr w:type="spellEnd"/>
            <w:r w:rsidRPr="006454B5">
              <w:rPr>
                <w:rFonts w:ascii="Arial" w:hAnsi="Arial" w:cs="Arial"/>
                <w:szCs w:val="20"/>
              </w:rPr>
              <w:t xml:space="preserve"> </w:t>
            </w:r>
          </w:p>
        </w:tc>
        <w:tc>
          <w:tcPr>
            <w:tcW w:w="573" w:type="pct"/>
            <w:vAlign w:val="center"/>
          </w:tcPr>
          <w:p w14:paraId="68ED54AE"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171</w:t>
            </w:r>
          </w:p>
        </w:tc>
        <w:tc>
          <w:tcPr>
            <w:tcW w:w="761" w:type="pct"/>
            <w:vAlign w:val="center"/>
          </w:tcPr>
          <w:p w14:paraId="73D67E62"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38.3</w:t>
            </w:r>
          </w:p>
        </w:tc>
        <w:tc>
          <w:tcPr>
            <w:tcW w:w="729" w:type="pct"/>
            <w:vAlign w:val="center"/>
          </w:tcPr>
          <w:p w14:paraId="06BB7A61"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08679D9E" w14:textId="77777777" w:rsidTr="00492808">
        <w:trPr>
          <w:trHeight w:val="20"/>
        </w:trPr>
        <w:tc>
          <w:tcPr>
            <w:tcW w:w="1429" w:type="pct"/>
            <w:vMerge/>
            <w:vAlign w:val="center"/>
          </w:tcPr>
          <w:p w14:paraId="36765CF3" w14:textId="77777777" w:rsidR="00123595" w:rsidRPr="006454B5" w:rsidRDefault="00123595" w:rsidP="00123595">
            <w:pPr>
              <w:spacing w:after="0" w:line="240" w:lineRule="auto"/>
              <w:rPr>
                <w:rFonts w:ascii="Arial" w:hAnsi="Arial" w:cs="Arial"/>
                <w:szCs w:val="20"/>
              </w:rPr>
            </w:pPr>
          </w:p>
        </w:tc>
        <w:tc>
          <w:tcPr>
            <w:tcW w:w="1508" w:type="pct"/>
            <w:vAlign w:val="center"/>
          </w:tcPr>
          <w:p w14:paraId="75D894FD" w14:textId="6EB17D21" w:rsidR="00123595" w:rsidRPr="006454B5" w:rsidRDefault="00123595" w:rsidP="00123595">
            <w:pPr>
              <w:spacing w:after="0" w:line="240" w:lineRule="auto"/>
              <w:jc w:val="center"/>
              <w:rPr>
                <w:rFonts w:ascii="Arial" w:hAnsi="Arial" w:cs="Arial"/>
                <w:szCs w:val="20"/>
                <w:vertAlign w:val="superscript"/>
              </w:rPr>
            </w:pPr>
            <w:r w:rsidRPr="006454B5">
              <w:rPr>
                <w:rFonts w:ascii="Arial" w:hAnsi="Arial" w:cs="Arial"/>
                <w:szCs w:val="20"/>
              </w:rPr>
              <w:t xml:space="preserve">Victim physically </w:t>
            </w:r>
            <w:proofErr w:type="spellStart"/>
            <w:r w:rsidRPr="006454B5">
              <w:rPr>
                <w:rFonts w:ascii="Arial" w:hAnsi="Arial" w:cs="Arial"/>
                <w:szCs w:val="20"/>
              </w:rPr>
              <w:t>resisted</w:t>
            </w:r>
            <w:r w:rsidR="00A0095C" w:rsidRPr="006454B5">
              <w:rPr>
                <w:rFonts w:ascii="Arial" w:hAnsi="Arial" w:cs="Arial"/>
                <w:szCs w:val="20"/>
                <w:vertAlign w:val="superscript"/>
              </w:rPr>
              <w:t>d</w:t>
            </w:r>
            <w:proofErr w:type="spellEnd"/>
          </w:p>
        </w:tc>
        <w:tc>
          <w:tcPr>
            <w:tcW w:w="573" w:type="pct"/>
            <w:vAlign w:val="center"/>
          </w:tcPr>
          <w:p w14:paraId="10D8AF64"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69</w:t>
            </w:r>
          </w:p>
        </w:tc>
        <w:tc>
          <w:tcPr>
            <w:tcW w:w="761" w:type="pct"/>
            <w:vAlign w:val="center"/>
          </w:tcPr>
          <w:p w14:paraId="63CD3E02"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15.5</w:t>
            </w:r>
          </w:p>
        </w:tc>
        <w:tc>
          <w:tcPr>
            <w:tcW w:w="729" w:type="pct"/>
            <w:vAlign w:val="center"/>
          </w:tcPr>
          <w:p w14:paraId="53D0B2C9"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76E424EA" w14:textId="77777777" w:rsidTr="00492808">
        <w:trPr>
          <w:trHeight w:val="20"/>
        </w:trPr>
        <w:tc>
          <w:tcPr>
            <w:tcW w:w="1429" w:type="pct"/>
            <w:vMerge/>
            <w:vAlign w:val="center"/>
          </w:tcPr>
          <w:p w14:paraId="0A166CA6" w14:textId="77777777" w:rsidR="00123595" w:rsidRPr="006454B5" w:rsidRDefault="00123595" w:rsidP="00123595">
            <w:pPr>
              <w:spacing w:after="0" w:line="240" w:lineRule="auto"/>
              <w:rPr>
                <w:rFonts w:ascii="Arial" w:hAnsi="Arial" w:cs="Arial"/>
                <w:szCs w:val="20"/>
              </w:rPr>
            </w:pPr>
          </w:p>
        </w:tc>
        <w:tc>
          <w:tcPr>
            <w:tcW w:w="1508" w:type="pct"/>
          </w:tcPr>
          <w:p w14:paraId="1952E344" w14:textId="2A1A4A1C" w:rsidR="00123595" w:rsidRPr="006454B5" w:rsidRDefault="00123595" w:rsidP="00123595">
            <w:pPr>
              <w:spacing w:after="0" w:line="240" w:lineRule="auto"/>
              <w:jc w:val="center"/>
              <w:rPr>
                <w:rFonts w:ascii="Arial" w:hAnsi="Arial" w:cs="Arial"/>
                <w:szCs w:val="20"/>
                <w:vertAlign w:val="superscript"/>
              </w:rPr>
            </w:pPr>
            <w:r w:rsidRPr="006454B5">
              <w:rPr>
                <w:rFonts w:ascii="Arial" w:hAnsi="Arial" w:cs="Arial"/>
                <w:szCs w:val="20"/>
              </w:rPr>
              <w:t xml:space="preserve">Weapon </w:t>
            </w:r>
            <w:proofErr w:type="spellStart"/>
            <w:r w:rsidRPr="006454B5">
              <w:rPr>
                <w:rFonts w:ascii="Arial" w:hAnsi="Arial" w:cs="Arial"/>
                <w:szCs w:val="20"/>
              </w:rPr>
              <w:t>used</w:t>
            </w:r>
            <w:r w:rsidR="00A0095C" w:rsidRPr="006454B5">
              <w:rPr>
                <w:rFonts w:ascii="Arial" w:hAnsi="Arial" w:cs="Arial"/>
                <w:szCs w:val="20"/>
                <w:vertAlign w:val="superscript"/>
              </w:rPr>
              <w:t>e</w:t>
            </w:r>
            <w:proofErr w:type="spellEnd"/>
          </w:p>
        </w:tc>
        <w:tc>
          <w:tcPr>
            <w:tcW w:w="573" w:type="pct"/>
            <w:vAlign w:val="center"/>
          </w:tcPr>
          <w:p w14:paraId="1BE55BB5"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11</w:t>
            </w:r>
          </w:p>
        </w:tc>
        <w:tc>
          <w:tcPr>
            <w:tcW w:w="761" w:type="pct"/>
            <w:vAlign w:val="center"/>
          </w:tcPr>
          <w:p w14:paraId="48FBE47A"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2.5</w:t>
            </w:r>
          </w:p>
        </w:tc>
        <w:tc>
          <w:tcPr>
            <w:tcW w:w="729" w:type="pct"/>
            <w:vAlign w:val="center"/>
          </w:tcPr>
          <w:p w14:paraId="0278FF3B"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7B3EDF1D" w14:textId="77777777" w:rsidTr="00492808">
        <w:trPr>
          <w:trHeight w:val="20"/>
        </w:trPr>
        <w:tc>
          <w:tcPr>
            <w:tcW w:w="1429" w:type="pct"/>
            <w:vMerge/>
            <w:vAlign w:val="center"/>
          </w:tcPr>
          <w:p w14:paraId="296924D7" w14:textId="77777777" w:rsidR="00123595" w:rsidRPr="006454B5" w:rsidRDefault="00123595" w:rsidP="00123595">
            <w:pPr>
              <w:spacing w:after="0" w:line="240" w:lineRule="auto"/>
              <w:rPr>
                <w:rFonts w:ascii="Arial" w:hAnsi="Arial" w:cs="Arial"/>
                <w:szCs w:val="20"/>
              </w:rPr>
            </w:pPr>
          </w:p>
        </w:tc>
        <w:tc>
          <w:tcPr>
            <w:tcW w:w="1508" w:type="pct"/>
          </w:tcPr>
          <w:p w14:paraId="41B71204" w14:textId="4D99D609" w:rsidR="00123595" w:rsidRPr="006454B5" w:rsidRDefault="00123595" w:rsidP="00123595">
            <w:pPr>
              <w:spacing w:after="0" w:line="240" w:lineRule="auto"/>
              <w:jc w:val="center"/>
              <w:rPr>
                <w:rFonts w:ascii="Arial" w:hAnsi="Arial" w:cs="Arial"/>
                <w:szCs w:val="20"/>
                <w:vertAlign w:val="superscript"/>
              </w:rPr>
            </w:pPr>
            <w:r w:rsidRPr="006454B5">
              <w:rPr>
                <w:rFonts w:ascii="Arial" w:hAnsi="Arial" w:cs="Arial"/>
                <w:szCs w:val="20"/>
              </w:rPr>
              <w:t xml:space="preserve">Injury </w:t>
            </w:r>
            <w:proofErr w:type="spellStart"/>
            <w:r w:rsidRPr="006454B5">
              <w:rPr>
                <w:rFonts w:ascii="Arial" w:hAnsi="Arial" w:cs="Arial"/>
                <w:szCs w:val="20"/>
              </w:rPr>
              <w:t>sustained</w:t>
            </w:r>
            <w:r w:rsidR="00A0095C" w:rsidRPr="006454B5">
              <w:rPr>
                <w:rFonts w:ascii="Arial" w:hAnsi="Arial" w:cs="Arial"/>
                <w:szCs w:val="20"/>
                <w:vertAlign w:val="superscript"/>
              </w:rPr>
              <w:t>f</w:t>
            </w:r>
            <w:proofErr w:type="spellEnd"/>
          </w:p>
        </w:tc>
        <w:tc>
          <w:tcPr>
            <w:tcW w:w="573" w:type="pct"/>
            <w:vAlign w:val="center"/>
          </w:tcPr>
          <w:p w14:paraId="273AE8FD"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104</w:t>
            </w:r>
          </w:p>
        </w:tc>
        <w:tc>
          <w:tcPr>
            <w:tcW w:w="761" w:type="pct"/>
            <w:vAlign w:val="center"/>
          </w:tcPr>
          <w:p w14:paraId="1A08FAF8"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23.3</w:t>
            </w:r>
          </w:p>
        </w:tc>
        <w:tc>
          <w:tcPr>
            <w:tcW w:w="729" w:type="pct"/>
            <w:vAlign w:val="center"/>
          </w:tcPr>
          <w:p w14:paraId="6590B364"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741EF567" w14:textId="77777777" w:rsidTr="00492808">
        <w:trPr>
          <w:trHeight w:val="20"/>
        </w:trPr>
        <w:tc>
          <w:tcPr>
            <w:tcW w:w="1429" w:type="pct"/>
            <w:vMerge w:val="restart"/>
          </w:tcPr>
          <w:p w14:paraId="360248EE" w14:textId="21B4E426" w:rsidR="00123595" w:rsidRPr="006454B5" w:rsidRDefault="00123595" w:rsidP="00123595">
            <w:pPr>
              <w:spacing w:after="0" w:line="240" w:lineRule="auto"/>
              <w:rPr>
                <w:rFonts w:ascii="Arial" w:hAnsi="Arial" w:cs="Arial"/>
                <w:szCs w:val="20"/>
                <w:vertAlign w:val="superscript"/>
              </w:rPr>
            </w:pPr>
            <w:r w:rsidRPr="006454B5">
              <w:rPr>
                <w:rFonts w:ascii="Arial" w:hAnsi="Arial" w:cs="Arial"/>
                <w:szCs w:val="20"/>
              </w:rPr>
              <w:t xml:space="preserve">Injury </w:t>
            </w:r>
            <w:proofErr w:type="spellStart"/>
            <w:r w:rsidRPr="006454B5">
              <w:rPr>
                <w:rFonts w:ascii="Arial" w:hAnsi="Arial" w:cs="Arial"/>
                <w:szCs w:val="20"/>
              </w:rPr>
              <w:t>level</w:t>
            </w:r>
            <w:r w:rsidR="00A0095C" w:rsidRPr="006454B5">
              <w:rPr>
                <w:rFonts w:ascii="Arial" w:hAnsi="Arial" w:cs="Arial"/>
                <w:szCs w:val="20"/>
                <w:vertAlign w:val="superscript"/>
              </w:rPr>
              <w:t>g</w:t>
            </w:r>
            <w:proofErr w:type="spellEnd"/>
          </w:p>
        </w:tc>
        <w:tc>
          <w:tcPr>
            <w:tcW w:w="1508" w:type="pct"/>
          </w:tcPr>
          <w:p w14:paraId="10B4B3CC" w14:textId="0CF4BDC9" w:rsidR="00123595" w:rsidRPr="006454B5" w:rsidRDefault="00123595" w:rsidP="00123595">
            <w:pPr>
              <w:spacing w:after="0" w:line="240" w:lineRule="auto"/>
              <w:jc w:val="center"/>
              <w:rPr>
                <w:rFonts w:ascii="Arial" w:hAnsi="Arial" w:cs="Arial"/>
                <w:szCs w:val="20"/>
                <w:vertAlign w:val="superscript"/>
              </w:rPr>
            </w:pPr>
            <w:r w:rsidRPr="006454B5">
              <w:rPr>
                <w:rFonts w:ascii="Arial" w:hAnsi="Arial" w:cs="Arial"/>
                <w:szCs w:val="20"/>
              </w:rPr>
              <w:t>None</w:t>
            </w:r>
          </w:p>
        </w:tc>
        <w:tc>
          <w:tcPr>
            <w:tcW w:w="573" w:type="pct"/>
            <w:vAlign w:val="center"/>
          </w:tcPr>
          <w:p w14:paraId="7F624AB5"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342</w:t>
            </w:r>
          </w:p>
        </w:tc>
        <w:tc>
          <w:tcPr>
            <w:tcW w:w="761" w:type="pct"/>
            <w:vAlign w:val="center"/>
          </w:tcPr>
          <w:p w14:paraId="78D90B65"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76.7</w:t>
            </w:r>
          </w:p>
        </w:tc>
        <w:tc>
          <w:tcPr>
            <w:tcW w:w="729" w:type="pct"/>
            <w:vAlign w:val="center"/>
          </w:tcPr>
          <w:p w14:paraId="39971575"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01C3130C" w14:textId="77777777" w:rsidTr="00492808">
        <w:trPr>
          <w:trHeight w:val="20"/>
        </w:trPr>
        <w:tc>
          <w:tcPr>
            <w:tcW w:w="1429" w:type="pct"/>
            <w:vMerge/>
          </w:tcPr>
          <w:p w14:paraId="62B970B2" w14:textId="77777777" w:rsidR="00123595" w:rsidRPr="006454B5" w:rsidRDefault="00123595" w:rsidP="00123595">
            <w:pPr>
              <w:spacing w:after="0" w:line="240" w:lineRule="auto"/>
              <w:rPr>
                <w:rFonts w:ascii="Arial" w:hAnsi="Arial" w:cs="Arial"/>
                <w:szCs w:val="20"/>
              </w:rPr>
            </w:pPr>
          </w:p>
        </w:tc>
        <w:tc>
          <w:tcPr>
            <w:tcW w:w="1508" w:type="pct"/>
          </w:tcPr>
          <w:p w14:paraId="7F25354D" w14:textId="5F017589" w:rsidR="00123595" w:rsidRPr="006454B5" w:rsidRDefault="00123595" w:rsidP="00123595">
            <w:pPr>
              <w:spacing w:after="0" w:line="240" w:lineRule="auto"/>
              <w:jc w:val="center"/>
              <w:rPr>
                <w:rFonts w:ascii="Arial" w:hAnsi="Arial" w:cs="Arial"/>
                <w:szCs w:val="20"/>
                <w:vertAlign w:val="superscript"/>
              </w:rPr>
            </w:pPr>
            <w:r w:rsidRPr="006454B5">
              <w:rPr>
                <w:rFonts w:ascii="Arial" w:hAnsi="Arial" w:cs="Arial"/>
                <w:szCs w:val="20"/>
              </w:rPr>
              <w:t>Minor</w:t>
            </w:r>
          </w:p>
        </w:tc>
        <w:tc>
          <w:tcPr>
            <w:tcW w:w="573" w:type="pct"/>
            <w:vAlign w:val="center"/>
          </w:tcPr>
          <w:p w14:paraId="517AC69B"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81</w:t>
            </w:r>
          </w:p>
        </w:tc>
        <w:tc>
          <w:tcPr>
            <w:tcW w:w="761" w:type="pct"/>
            <w:vAlign w:val="center"/>
          </w:tcPr>
          <w:p w14:paraId="6E21F70E"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18.2</w:t>
            </w:r>
          </w:p>
        </w:tc>
        <w:tc>
          <w:tcPr>
            <w:tcW w:w="729" w:type="pct"/>
            <w:vAlign w:val="center"/>
          </w:tcPr>
          <w:p w14:paraId="280FD09E"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116D02CE" w14:textId="77777777" w:rsidTr="00492808">
        <w:trPr>
          <w:trHeight w:val="20"/>
        </w:trPr>
        <w:tc>
          <w:tcPr>
            <w:tcW w:w="1429" w:type="pct"/>
            <w:vMerge/>
          </w:tcPr>
          <w:p w14:paraId="33BE5813" w14:textId="77777777" w:rsidR="00123595" w:rsidRPr="006454B5" w:rsidRDefault="00123595" w:rsidP="00123595">
            <w:pPr>
              <w:spacing w:after="0" w:line="240" w:lineRule="auto"/>
              <w:rPr>
                <w:rFonts w:ascii="Arial" w:hAnsi="Arial" w:cs="Arial"/>
                <w:szCs w:val="20"/>
              </w:rPr>
            </w:pPr>
          </w:p>
        </w:tc>
        <w:tc>
          <w:tcPr>
            <w:tcW w:w="1508" w:type="pct"/>
          </w:tcPr>
          <w:p w14:paraId="2845AAE5" w14:textId="3B2A40B7" w:rsidR="00123595" w:rsidRPr="006454B5" w:rsidRDefault="00123595" w:rsidP="00123595">
            <w:pPr>
              <w:spacing w:after="0" w:line="240" w:lineRule="auto"/>
              <w:jc w:val="center"/>
              <w:rPr>
                <w:rFonts w:ascii="Arial" w:hAnsi="Arial" w:cs="Arial"/>
                <w:szCs w:val="20"/>
                <w:vertAlign w:val="superscript"/>
              </w:rPr>
            </w:pPr>
            <w:r w:rsidRPr="006454B5">
              <w:rPr>
                <w:rFonts w:ascii="Arial" w:hAnsi="Arial" w:cs="Arial"/>
                <w:szCs w:val="20"/>
              </w:rPr>
              <w:t>Moderate</w:t>
            </w:r>
          </w:p>
        </w:tc>
        <w:tc>
          <w:tcPr>
            <w:tcW w:w="573" w:type="pct"/>
            <w:vAlign w:val="center"/>
          </w:tcPr>
          <w:p w14:paraId="13B9E371"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14</w:t>
            </w:r>
          </w:p>
        </w:tc>
        <w:tc>
          <w:tcPr>
            <w:tcW w:w="761" w:type="pct"/>
            <w:vAlign w:val="center"/>
          </w:tcPr>
          <w:p w14:paraId="5D572E21"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3.1</w:t>
            </w:r>
          </w:p>
        </w:tc>
        <w:tc>
          <w:tcPr>
            <w:tcW w:w="729" w:type="pct"/>
            <w:vAlign w:val="center"/>
          </w:tcPr>
          <w:p w14:paraId="74919E26"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041594BC" w14:textId="77777777" w:rsidTr="00492808">
        <w:trPr>
          <w:trHeight w:val="20"/>
        </w:trPr>
        <w:tc>
          <w:tcPr>
            <w:tcW w:w="1429" w:type="pct"/>
            <w:vMerge/>
          </w:tcPr>
          <w:p w14:paraId="1E115B00" w14:textId="77777777" w:rsidR="00123595" w:rsidRPr="006454B5" w:rsidRDefault="00123595" w:rsidP="00123595">
            <w:pPr>
              <w:spacing w:after="0" w:line="240" w:lineRule="auto"/>
              <w:rPr>
                <w:rFonts w:ascii="Arial" w:hAnsi="Arial" w:cs="Arial"/>
                <w:szCs w:val="20"/>
              </w:rPr>
            </w:pPr>
          </w:p>
        </w:tc>
        <w:tc>
          <w:tcPr>
            <w:tcW w:w="1508" w:type="pct"/>
          </w:tcPr>
          <w:p w14:paraId="1ADCD164" w14:textId="5CFB9905" w:rsidR="00123595" w:rsidRPr="006454B5" w:rsidRDefault="00123595" w:rsidP="00123595">
            <w:pPr>
              <w:spacing w:after="0" w:line="240" w:lineRule="auto"/>
              <w:jc w:val="center"/>
              <w:rPr>
                <w:rFonts w:ascii="Arial" w:hAnsi="Arial" w:cs="Arial"/>
                <w:szCs w:val="20"/>
                <w:vertAlign w:val="superscript"/>
              </w:rPr>
            </w:pPr>
            <w:r w:rsidRPr="006454B5">
              <w:rPr>
                <w:rFonts w:ascii="Arial" w:hAnsi="Arial" w:cs="Arial"/>
                <w:szCs w:val="20"/>
              </w:rPr>
              <w:t>Severe</w:t>
            </w:r>
          </w:p>
        </w:tc>
        <w:tc>
          <w:tcPr>
            <w:tcW w:w="573" w:type="pct"/>
            <w:vAlign w:val="center"/>
          </w:tcPr>
          <w:p w14:paraId="24599A42"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9</w:t>
            </w:r>
          </w:p>
        </w:tc>
        <w:tc>
          <w:tcPr>
            <w:tcW w:w="761" w:type="pct"/>
            <w:vAlign w:val="center"/>
          </w:tcPr>
          <w:p w14:paraId="1C7FA0E8"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2.0</w:t>
            </w:r>
          </w:p>
        </w:tc>
        <w:tc>
          <w:tcPr>
            <w:tcW w:w="729" w:type="pct"/>
            <w:vAlign w:val="center"/>
          </w:tcPr>
          <w:p w14:paraId="674CB055"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17E884E6" w14:textId="77777777" w:rsidTr="00492808">
        <w:trPr>
          <w:trHeight w:val="20"/>
        </w:trPr>
        <w:tc>
          <w:tcPr>
            <w:tcW w:w="5000" w:type="pct"/>
            <w:gridSpan w:val="5"/>
            <w:tcBorders>
              <w:top w:val="single" w:sz="4" w:space="0" w:color="auto"/>
            </w:tcBorders>
          </w:tcPr>
          <w:p w14:paraId="4AF79A55" w14:textId="32B744AB" w:rsidR="007B74F4" w:rsidRPr="006454B5" w:rsidRDefault="007B74F4" w:rsidP="00123595">
            <w:pPr>
              <w:spacing w:after="0" w:line="240" w:lineRule="auto"/>
              <w:rPr>
                <w:rFonts w:ascii="Arial" w:hAnsi="Arial" w:cs="Arial"/>
                <w:szCs w:val="20"/>
              </w:rPr>
            </w:pPr>
          </w:p>
        </w:tc>
      </w:tr>
    </w:tbl>
    <w:p w14:paraId="4E3F331C" w14:textId="3A5BFA50" w:rsidR="00123595" w:rsidRPr="006454B5" w:rsidRDefault="007B74F4" w:rsidP="00862379">
      <w:pPr>
        <w:spacing w:after="0" w:line="240" w:lineRule="auto"/>
        <w:rPr>
          <w:rFonts w:ascii="Arial" w:hAnsi="Arial" w:cs="Arial"/>
          <w:sz w:val="20"/>
          <w:szCs w:val="20"/>
        </w:rPr>
      </w:pPr>
      <w:proofErr w:type="gramStart"/>
      <w:r w:rsidRPr="006454B5">
        <w:rPr>
          <w:rFonts w:ascii="Arial" w:hAnsi="Arial" w:cs="Arial"/>
          <w:sz w:val="20"/>
          <w:szCs w:val="20"/>
          <w:vertAlign w:val="superscript"/>
        </w:rPr>
        <w:t>a</w:t>
      </w:r>
      <w:proofErr w:type="gramEnd"/>
      <w:r w:rsidRPr="006454B5">
        <w:rPr>
          <w:rFonts w:ascii="Arial" w:hAnsi="Arial" w:cs="Arial"/>
          <w:sz w:val="20"/>
          <w:szCs w:val="20"/>
          <w:vertAlign w:val="superscript"/>
        </w:rPr>
        <w:t xml:space="preserve"> </w:t>
      </w:r>
      <w:r w:rsidRPr="006454B5">
        <w:rPr>
          <w:rFonts w:ascii="Arial" w:hAnsi="Arial" w:cs="Arial"/>
          <w:sz w:val="20"/>
          <w:szCs w:val="20"/>
        </w:rPr>
        <w:t xml:space="preserve">Victim states that they have consumed alcohol or </w:t>
      </w:r>
      <w:r w:rsidR="00DA37D4" w:rsidRPr="006454B5">
        <w:rPr>
          <w:rFonts w:ascii="Arial" w:hAnsi="Arial" w:cs="Arial"/>
          <w:sz w:val="20"/>
          <w:szCs w:val="20"/>
        </w:rPr>
        <w:t xml:space="preserve">drugs or </w:t>
      </w:r>
      <w:r w:rsidRPr="006454B5">
        <w:rPr>
          <w:rFonts w:ascii="Arial" w:hAnsi="Arial" w:cs="Arial"/>
          <w:sz w:val="20"/>
          <w:szCs w:val="20"/>
        </w:rPr>
        <w:t>officer states that the victim was under the influence.</w:t>
      </w:r>
    </w:p>
    <w:p w14:paraId="216BE39E" w14:textId="02DC851E" w:rsidR="007B74F4" w:rsidRPr="006454B5" w:rsidRDefault="00DA37D4" w:rsidP="00862379">
      <w:pPr>
        <w:spacing w:after="0" w:line="240" w:lineRule="auto"/>
        <w:rPr>
          <w:rFonts w:ascii="Arial" w:hAnsi="Arial" w:cs="Arial"/>
          <w:sz w:val="20"/>
          <w:szCs w:val="20"/>
        </w:rPr>
      </w:pPr>
      <w:proofErr w:type="gramStart"/>
      <w:r w:rsidRPr="006454B5">
        <w:rPr>
          <w:rFonts w:ascii="Arial" w:hAnsi="Arial" w:cs="Arial"/>
          <w:sz w:val="20"/>
          <w:szCs w:val="20"/>
          <w:vertAlign w:val="superscript"/>
        </w:rPr>
        <w:t>b</w:t>
      </w:r>
      <w:proofErr w:type="gramEnd"/>
      <w:r w:rsidR="007B74F4" w:rsidRPr="006454B5">
        <w:rPr>
          <w:rFonts w:ascii="Arial" w:hAnsi="Arial" w:cs="Arial"/>
          <w:sz w:val="20"/>
          <w:szCs w:val="20"/>
          <w:vertAlign w:val="superscript"/>
        </w:rPr>
        <w:t xml:space="preserve"> </w:t>
      </w:r>
      <w:r w:rsidR="007B74F4" w:rsidRPr="006454B5">
        <w:rPr>
          <w:rFonts w:ascii="Arial" w:hAnsi="Arial" w:cs="Arial"/>
          <w:sz w:val="20"/>
          <w:szCs w:val="20"/>
        </w:rPr>
        <w:t>Victim states that they believe they were drugged.</w:t>
      </w:r>
    </w:p>
    <w:p w14:paraId="38769A93" w14:textId="4497BD02" w:rsidR="007B74F4" w:rsidRPr="006454B5" w:rsidRDefault="00DA37D4" w:rsidP="00862379">
      <w:pPr>
        <w:spacing w:after="0" w:line="240" w:lineRule="auto"/>
        <w:rPr>
          <w:rFonts w:ascii="Arial" w:hAnsi="Arial" w:cs="Arial"/>
          <w:sz w:val="20"/>
          <w:szCs w:val="20"/>
        </w:rPr>
      </w:pPr>
      <w:proofErr w:type="gramStart"/>
      <w:r w:rsidRPr="006454B5">
        <w:rPr>
          <w:rFonts w:ascii="Arial" w:hAnsi="Arial" w:cs="Arial"/>
          <w:sz w:val="20"/>
          <w:szCs w:val="20"/>
          <w:vertAlign w:val="superscript"/>
        </w:rPr>
        <w:t>c</w:t>
      </w:r>
      <w:proofErr w:type="gramEnd"/>
      <w:r w:rsidR="007B74F4" w:rsidRPr="006454B5">
        <w:rPr>
          <w:rFonts w:ascii="Arial" w:hAnsi="Arial" w:cs="Arial"/>
          <w:sz w:val="20"/>
          <w:szCs w:val="20"/>
          <w:vertAlign w:val="superscript"/>
        </w:rPr>
        <w:t xml:space="preserve"> </w:t>
      </w:r>
      <w:r w:rsidR="007B74F4" w:rsidRPr="006454B5">
        <w:rPr>
          <w:rFonts w:ascii="Arial" w:hAnsi="Arial" w:cs="Arial"/>
          <w:sz w:val="20"/>
          <w:szCs w:val="20"/>
        </w:rPr>
        <w:t>It is suspected that the perpetrator may have been drinking</w:t>
      </w:r>
      <w:r w:rsidRPr="006454B5">
        <w:rPr>
          <w:rFonts w:ascii="Arial" w:hAnsi="Arial" w:cs="Arial"/>
          <w:sz w:val="20"/>
          <w:szCs w:val="20"/>
        </w:rPr>
        <w:t xml:space="preserve"> or taking drugs.</w:t>
      </w:r>
    </w:p>
    <w:p w14:paraId="58E0FD72" w14:textId="5A904184" w:rsidR="007B74F4" w:rsidRPr="006454B5" w:rsidRDefault="00A0095C" w:rsidP="00862379">
      <w:pPr>
        <w:spacing w:after="0" w:line="240" w:lineRule="auto"/>
        <w:rPr>
          <w:rFonts w:ascii="Arial" w:hAnsi="Arial" w:cs="Arial"/>
          <w:sz w:val="20"/>
          <w:szCs w:val="20"/>
        </w:rPr>
      </w:pPr>
      <w:proofErr w:type="gramStart"/>
      <w:r w:rsidRPr="006454B5">
        <w:rPr>
          <w:rFonts w:ascii="Arial" w:hAnsi="Arial" w:cs="Arial"/>
          <w:sz w:val="20"/>
          <w:szCs w:val="20"/>
          <w:vertAlign w:val="superscript"/>
        </w:rPr>
        <w:t>d</w:t>
      </w:r>
      <w:proofErr w:type="gramEnd"/>
      <w:r w:rsidR="007B74F4" w:rsidRPr="006454B5">
        <w:rPr>
          <w:rFonts w:ascii="Arial" w:hAnsi="Arial" w:cs="Arial"/>
          <w:sz w:val="20"/>
          <w:szCs w:val="20"/>
          <w:vertAlign w:val="superscript"/>
        </w:rPr>
        <w:t xml:space="preserve"> </w:t>
      </w:r>
      <w:r w:rsidR="007B74F4" w:rsidRPr="006454B5">
        <w:rPr>
          <w:rFonts w:ascii="Arial" w:hAnsi="Arial" w:cs="Arial"/>
          <w:sz w:val="20"/>
          <w:szCs w:val="20"/>
        </w:rPr>
        <w:t xml:space="preserve">Victim indicates that they verbally </w:t>
      </w:r>
      <w:r w:rsidR="00DA37D4" w:rsidRPr="006454B5">
        <w:rPr>
          <w:rFonts w:ascii="Arial" w:hAnsi="Arial" w:cs="Arial"/>
          <w:sz w:val="20"/>
          <w:szCs w:val="20"/>
        </w:rPr>
        <w:t xml:space="preserve">(e.g. </w:t>
      </w:r>
      <w:r w:rsidR="007B74F4" w:rsidRPr="006454B5">
        <w:rPr>
          <w:rFonts w:ascii="Arial" w:hAnsi="Arial" w:cs="Arial"/>
          <w:sz w:val="20"/>
          <w:szCs w:val="20"/>
        </w:rPr>
        <w:t>victim says no or provides active non-consent</w:t>
      </w:r>
      <w:r w:rsidRPr="006454B5">
        <w:rPr>
          <w:rFonts w:ascii="Arial" w:hAnsi="Arial" w:cs="Arial"/>
          <w:sz w:val="20"/>
          <w:szCs w:val="20"/>
        </w:rPr>
        <w:t xml:space="preserve">) or physically </w:t>
      </w:r>
      <w:r w:rsidR="007B74F4" w:rsidRPr="006454B5">
        <w:rPr>
          <w:rFonts w:ascii="Arial" w:hAnsi="Arial" w:cs="Arial"/>
          <w:sz w:val="20"/>
          <w:szCs w:val="20"/>
        </w:rPr>
        <w:t>resisted</w:t>
      </w:r>
      <w:r w:rsidR="00862379" w:rsidRPr="006454B5">
        <w:rPr>
          <w:rFonts w:ascii="Arial" w:hAnsi="Arial" w:cs="Arial"/>
          <w:sz w:val="20"/>
          <w:szCs w:val="20"/>
        </w:rPr>
        <w:t>.</w:t>
      </w:r>
    </w:p>
    <w:p w14:paraId="3A28A078" w14:textId="6B2E5BDD" w:rsidR="007B74F4" w:rsidRPr="006454B5" w:rsidRDefault="00A0095C" w:rsidP="00862379">
      <w:pPr>
        <w:spacing w:after="0" w:line="240" w:lineRule="auto"/>
        <w:rPr>
          <w:rFonts w:ascii="Arial" w:hAnsi="Arial" w:cs="Arial"/>
          <w:sz w:val="20"/>
          <w:szCs w:val="20"/>
        </w:rPr>
      </w:pPr>
      <w:proofErr w:type="gramStart"/>
      <w:r w:rsidRPr="006454B5">
        <w:rPr>
          <w:rFonts w:ascii="Arial" w:hAnsi="Arial" w:cs="Arial"/>
          <w:sz w:val="20"/>
          <w:szCs w:val="20"/>
          <w:vertAlign w:val="superscript"/>
        </w:rPr>
        <w:t>e</w:t>
      </w:r>
      <w:proofErr w:type="gramEnd"/>
      <w:r w:rsidR="00862379" w:rsidRPr="006454B5">
        <w:rPr>
          <w:rFonts w:ascii="Arial" w:hAnsi="Arial" w:cs="Arial"/>
          <w:sz w:val="20"/>
          <w:szCs w:val="20"/>
          <w:vertAlign w:val="superscript"/>
        </w:rPr>
        <w:t xml:space="preserve"> </w:t>
      </w:r>
      <w:r w:rsidR="00862379" w:rsidRPr="006454B5">
        <w:rPr>
          <w:rFonts w:ascii="Arial" w:hAnsi="Arial" w:cs="Arial"/>
          <w:sz w:val="20"/>
          <w:szCs w:val="20"/>
        </w:rPr>
        <w:t>Victim identifies that the perpetrator used a weapon during the commission of the offence.</w:t>
      </w:r>
    </w:p>
    <w:p w14:paraId="155138B6" w14:textId="6C87113D" w:rsidR="007B74F4" w:rsidRPr="006454B5" w:rsidRDefault="00A0095C" w:rsidP="00862379">
      <w:pPr>
        <w:spacing w:after="0" w:line="240" w:lineRule="auto"/>
        <w:rPr>
          <w:rFonts w:ascii="Arial" w:hAnsi="Arial" w:cs="Arial"/>
          <w:sz w:val="20"/>
          <w:szCs w:val="20"/>
        </w:rPr>
      </w:pPr>
      <w:proofErr w:type="gramStart"/>
      <w:r w:rsidRPr="006454B5">
        <w:rPr>
          <w:rFonts w:ascii="Arial" w:hAnsi="Arial" w:cs="Arial"/>
          <w:sz w:val="20"/>
          <w:szCs w:val="20"/>
          <w:vertAlign w:val="superscript"/>
        </w:rPr>
        <w:t>f</w:t>
      </w:r>
      <w:proofErr w:type="gramEnd"/>
      <w:r w:rsidR="00862379" w:rsidRPr="006454B5">
        <w:rPr>
          <w:rFonts w:ascii="Arial" w:hAnsi="Arial" w:cs="Arial"/>
          <w:sz w:val="20"/>
          <w:szCs w:val="20"/>
          <w:vertAlign w:val="superscript"/>
        </w:rPr>
        <w:t xml:space="preserve"> </w:t>
      </w:r>
      <w:r w:rsidR="00862379" w:rsidRPr="006454B5">
        <w:rPr>
          <w:rFonts w:ascii="Arial" w:hAnsi="Arial" w:cs="Arial"/>
          <w:sz w:val="20"/>
          <w:szCs w:val="20"/>
        </w:rPr>
        <w:t>Officer reports injuries sustained to the victim</w:t>
      </w:r>
      <w:r w:rsidR="001F4320" w:rsidRPr="006454B5">
        <w:rPr>
          <w:rFonts w:ascii="Arial" w:hAnsi="Arial" w:cs="Arial"/>
          <w:sz w:val="20"/>
          <w:szCs w:val="20"/>
        </w:rPr>
        <w:t>.</w:t>
      </w:r>
      <w:r w:rsidR="00862379" w:rsidRPr="006454B5">
        <w:rPr>
          <w:rFonts w:ascii="Arial" w:hAnsi="Arial" w:cs="Arial"/>
          <w:sz w:val="20"/>
          <w:szCs w:val="20"/>
          <w:vertAlign w:val="superscript"/>
        </w:rPr>
        <w:t xml:space="preserve"> </w:t>
      </w:r>
    </w:p>
    <w:p w14:paraId="5FB85F9E" w14:textId="14AD36FE" w:rsidR="007B74F4" w:rsidRPr="006454B5" w:rsidRDefault="00A0095C" w:rsidP="00862379">
      <w:pPr>
        <w:spacing w:after="0" w:line="240" w:lineRule="auto"/>
        <w:rPr>
          <w:rFonts w:ascii="Arial" w:hAnsi="Arial" w:cs="Arial"/>
          <w:sz w:val="20"/>
          <w:szCs w:val="20"/>
        </w:rPr>
      </w:pPr>
      <w:proofErr w:type="gramStart"/>
      <w:r w:rsidRPr="006454B5">
        <w:rPr>
          <w:rFonts w:ascii="Arial" w:hAnsi="Arial" w:cs="Arial"/>
          <w:sz w:val="20"/>
          <w:szCs w:val="20"/>
          <w:vertAlign w:val="superscript"/>
        </w:rPr>
        <w:t>g</w:t>
      </w:r>
      <w:proofErr w:type="gramEnd"/>
      <w:r w:rsidR="00862379" w:rsidRPr="006454B5">
        <w:rPr>
          <w:rFonts w:ascii="Arial" w:hAnsi="Arial" w:cs="Arial"/>
          <w:sz w:val="20"/>
          <w:szCs w:val="20"/>
          <w:vertAlign w:val="superscript"/>
        </w:rPr>
        <w:t xml:space="preserve"> </w:t>
      </w:r>
      <w:r w:rsidR="00862379" w:rsidRPr="006454B5">
        <w:rPr>
          <w:rFonts w:ascii="Arial" w:hAnsi="Arial" w:cs="Arial"/>
          <w:sz w:val="20"/>
          <w:szCs w:val="20"/>
        </w:rPr>
        <w:t>Injury level guided by CRIS.</w:t>
      </w:r>
    </w:p>
    <w:p w14:paraId="218E019F" w14:textId="47B83771" w:rsidR="007B74F4" w:rsidRPr="006454B5" w:rsidRDefault="007B74F4" w:rsidP="00123595">
      <w:pPr>
        <w:spacing w:after="0" w:line="240" w:lineRule="auto"/>
        <w:rPr>
          <w:rFonts w:ascii="Arial" w:hAnsi="Arial" w:cs="Arial"/>
          <w:sz w:val="20"/>
          <w:szCs w:val="20"/>
          <w:vertAlign w:val="superscript"/>
        </w:rPr>
      </w:pPr>
    </w:p>
    <w:p w14:paraId="6998A4EB" w14:textId="77777777" w:rsidR="00123595" w:rsidRPr="006454B5" w:rsidRDefault="00123595" w:rsidP="00123595">
      <w:pPr>
        <w:spacing w:after="0" w:line="240" w:lineRule="auto"/>
        <w:rPr>
          <w:rFonts w:ascii="Arial" w:hAnsi="Arial" w:cs="Arial"/>
          <w:sz w:val="20"/>
          <w:szCs w:val="20"/>
        </w:rPr>
      </w:pPr>
      <w:r w:rsidRPr="006454B5">
        <w:rPr>
          <w:rFonts w:ascii="Arial" w:hAnsi="Arial" w:cs="Arial"/>
          <w:sz w:val="20"/>
          <w:szCs w:val="20"/>
        </w:rPr>
        <w:br w:type="page"/>
      </w:r>
    </w:p>
    <w:p w14:paraId="7385858C" w14:textId="09A65CDE" w:rsidR="00F52F12" w:rsidRPr="006454B5" w:rsidRDefault="00123595" w:rsidP="00123595">
      <w:pPr>
        <w:spacing w:after="0" w:line="240" w:lineRule="auto"/>
        <w:rPr>
          <w:rFonts w:ascii="Arial" w:hAnsi="Arial" w:cs="Arial"/>
          <w:b/>
          <w:bCs/>
          <w:sz w:val="22"/>
        </w:rPr>
      </w:pPr>
      <w:r w:rsidRPr="006454B5">
        <w:rPr>
          <w:rFonts w:ascii="Arial" w:hAnsi="Arial" w:cs="Arial"/>
          <w:b/>
          <w:bCs/>
          <w:sz w:val="22"/>
        </w:rPr>
        <w:lastRenderedPageBreak/>
        <w:t>Table 4</w:t>
      </w:r>
    </w:p>
    <w:p w14:paraId="0428A50F" w14:textId="77777777" w:rsidR="00F52F12" w:rsidRPr="006454B5" w:rsidRDefault="00F52F12" w:rsidP="00123595">
      <w:pPr>
        <w:spacing w:after="0" w:line="240" w:lineRule="auto"/>
        <w:rPr>
          <w:rFonts w:ascii="Arial" w:hAnsi="Arial" w:cs="Arial"/>
          <w:sz w:val="22"/>
        </w:rPr>
      </w:pPr>
    </w:p>
    <w:p w14:paraId="1FFBACDB" w14:textId="54235C0E" w:rsidR="00123595" w:rsidRPr="006454B5" w:rsidRDefault="00DA37D4" w:rsidP="00123595">
      <w:pPr>
        <w:spacing w:after="0" w:line="240" w:lineRule="auto"/>
        <w:rPr>
          <w:rFonts w:ascii="Arial" w:hAnsi="Arial" w:cs="Arial"/>
          <w:i/>
          <w:iCs/>
          <w:sz w:val="22"/>
        </w:rPr>
      </w:pPr>
      <w:r w:rsidRPr="006454B5">
        <w:rPr>
          <w:rFonts w:ascii="Arial" w:hAnsi="Arial" w:cs="Arial"/>
          <w:i/>
          <w:iCs/>
          <w:sz w:val="22"/>
        </w:rPr>
        <w:t>Frequencies</w:t>
      </w:r>
      <w:r w:rsidR="00123595" w:rsidRPr="006454B5">
        <w:rPr>
          <w:rFonts w:ascii="Arial" w:hAnsi="Arial" w:cs="Arial"/>
          <w:i/>
          <w:iCs/>
          <w:sz w:val="22"/>
        </w:rPr>
        <w:t xml:space="preserve"> for procedural-related variables</w:t>
      </w:r>
      <w:r w:rsidR="00A0095C" w:rsidRPr="006454B5">
        <w:rPr>
          <w:rFonts w:ascii="Arial" w:hAnsi="Arial" w:cs="Arial"/>
          <w:i/>
          <w:iCs/>
          <w:sz w:val="22"/>
        </w:rPr>
        <w:t xml:space="preserve"> (n=446)</w:t>
      </w:r>
    </w:p>
    <w:p w14:paraId="15230D1A" w14:textId="77777777" w:rsidR="00123595" w:rsidRPr="006454B5" w:rsidRDefault="00123595" w:rsidP="00123595">
      <w:pPr>
        <w:spacing w:after="0" w:line="240" w:lineRule="auto"/>
        <w:rPr>
          <w:rFonts w:ascii="Arial" w:hAnsi="Arial" w:cs="Arial"/>
          <w:sz w:val="20"/>
          <w:szCs w:val="20"/>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106"/>
        <w:gridCol w:w="222"/>
        <w:gridCol w:w="222"/>
        <w:gridCol w:w="111"/>
        <w:gridCol w:w="111"/>
        <w:gridCol w:w="605"/>
        <w:gridCol w:w="605"/>
        <w:gridCol w:w="964"/>
      </w:tblGrid>
      <w:tr w:rsidR="00123595" w:rsidRPr="006454B5" w14:paraId="516DAB23" w14:textId="77777777" w:rsidTr="00492808">
        <w:trPr>
          <w:trHeight w:val="20"/>
        </w:trPr>
        <w:tc>
          <w:tcPr>
            <w:tcW w:w="2410" w:type="dxa"/>
            <w:tcBorders>
              <w:top w:val="single" w:sz="4" w:space="0" w:color="auto"/>
              <w:bottom w:val="single" w:sz="4" w:space="0" w:color="auto"/>
            </w:tcBorders>
            <w:vAlign w:val="center"/>
          </w:tcPr>
          <w:p w14:paraId="7CBA531E" w14:textId="77777777" w:rsidR="00123595" w:rsidRPr="006454B5" w:rsidRDefault="00123595" w:rsidP="00123595">
            <w:pPr>
              <w:spacing w:after="0" w:line="240" w:lineRule="auto"/>
              <w:rPr>
                <w:rFonts w:ascii="Arial" w:hAnsi="Arial" w:cs="Arial"/>
                <w:bCs/>
                <w:szCs w:val="20"/>
              </w:rPr>
            </w:pPr>
            <w:r w:rsidRPr="006454B5">
              <w:rPr>
                <w:rFonts w:ascii="Arial" w:hAnsi="Arial" w:cs="Arial"/>
                <w:bCs/>
                <w:szCs w:val="20"/>
              </w:rPr>
              <w:t>Variable</w:t>
            </w:r>
          </w:p>
        </w:tc>
        <w:tc>
          <w:tcPr>
            <w:tcW w:w="4106" w:type="dxa"/>
            <w:tcBorders>
              <w:top w:val="single" w:sz="4" w:space="0" w:color="auto"/>
              <w:bottom w:val="single" w:sz="4" w:space="0" w:color="auto"/>
            </w:tcBorders>
          </w:tcPr>
          <w:p w14:paraId="13139A57" w14:textId="77777777" w:rsidR="00123595" w:rsidRPr="006454B5" w:rsidRDefault="00123595" w:rsidP="00123595">
            <w:pPr>
              <w:spacing w:after="0" w:line="240" w:lineRule="auto"/>
              <w:jc w:val="center"/>
              <w:rPr>
                <w:rFonts w:ascii="Arial" w:hAnsi="Arial" w:cs="Arial"/>
                <w:bCs/>
                <w:szCs w:val="20"/>
              </w:rPr>
            </w:pPr>
          </w:p>
        </w:tc>
        <w:tc>
          <w:tcPr>
            <w:tcW w:w="0" w:type="auto"/>
            <w:gridSpan w:val="3"/>
            <w:tcBorders>
              <w:top w:val="single" w:sz="4" w:space="0" w:color="auto"/>
              <w:bottom w:val="single" w:sz="4" w:space="0" w:color="auto"/>
            </w:tcBorders>
            <w:vAlign w:val="center"/>
          </w:tcPr>
          <w:p w14:paraId="7214B992" w14:textId="77777777" w:rsidR="00123595" w:rsidRPr="006454B5" w:rsidRDefault="00123595" w:rsidP="00123595">
            <w:pPr>
              <w:spacing w:after="0" w:line="240" w:lineRule="auto"/>
              <w:jc w:val="center"/>
              <w:rPr>
                <w:rFonts w:ascii="Arial" w:hAnsi="Arial" w:cs="Arial"/>
                <w:bCs/>
                <w:szCs w:val="20"/>
              </w:rPr>
            </w:pPr>
            <w:r w:rsidRPr="006454B5">
              <w:rPr>
                <w:rFonts w:ascii="Arial" w:hAnsi="Arial" w:cs="Arial"/>
                <w:bCs/>
                <w:szCs w:val="20"/>
              </w:rPr>
              <w:t>N</w:t>
            </w:r>
          </w:p>
        </w:tc>
        <w:tc>
          <w:tcPr>
            <w:tcW w:w="0" w:type="auto"/>
            <w:gridSpan w:val="3"/>
            <w:tcBorders>
              <w:top w:val="single" w:sz="4" w:space="0" w:color="auto"/>
              <w:bottom w:val="single" w:sz="4" w:space="0" w:color="auto"/>
            </w:tcBorders>
            <w:vAlign w:val="center"/>
          </w:tcPr>
          <w:p w14:paraId="201FF833" w14:textId="77777777" w:rsidR="00123595" w:rsidRPr="006454B5" w:rsidRDefault="00123595" w:rsidP="00123595">
            <w:pPr>
              <w:spacing w:after="0" w:line="240" w:lineRule="auto"/>
              <w:jc w:val="center"/>
              <w:rPr>
                <w:rFonts w:ascii="Arial" w:hAnsi="Arial" w:cs="Arial"/>
                <w:bCs/>
                <w:szCs w:val="20"/>
              </w:rPr>
            </w:pPr>
            <w:r w:rsidRPr="006454B5">
              <w:rPr>
                <w:rFonts w:ascii="Arial" w:hAnsi="Arial" w:cs="Arial"/>
                <w:bCs/>
                <w:szCs w:val="20"/>
              </w:rPr>
              <w:t>% of sample</w:t>
            </w:r>
          </w:p>
        </w:tc>
        <w:tc>
          <w:tcPr>
            <w:tcW w:w="964" w:type="dxa"/>
            <w:tcBorders>
              <w:top w:val="single" w:sz="4" w:space="0" w:color="auto"/>
              <w:bottom w:val="single" w:sz="4" w:space="0" w:color="auto"/>
            </w:tcBorders>
          </w:tcPr>
          <w:p w14:paraId="05816E35" w14:textId="77777777" w:rsidR="00123595" w:rsidRPr="006454B5" w:rsidRDefault="00123595" w:rsidP="00123595">
            <w:pPr>
              <w:spacing w:after="0" w:line="240" w:lineRule="auto"/>
              <w:jc w:val="center"/>
              <w:rPr>
                <w:rFonts w:ascii="Arial" w:hAnsi="Arial" w:cs="Arial"/>
                <w:bCs/>
                <w:szCs w:val="20"/>
              </w:rPr>
            </w:pPr>
            <w:r w:rsidRPr="006454B5">
              <w:rPr>
                <w:rFonts w:ascii="Arial" w:hAnsi="Arial" w:cs="Arial"/>
                <w:bCs/>
                <w:szCs w:val="20"/>
              </w:rPr>
              <w:t>Missing data</w:t>
            </w:r>
          </w:p>
        </w:tc>
      </w:tr>
      <w:tr w:rsidR="00123595" w:rsidRPr="006454B5" w14:paraId="06D2D61A" w14:textId="77777777" w:rsidTr="00492808">
        <w:trPr>
          <w:trHeight w:val="20"/>
        </w:trPr>
        <w:tc>
          <w:tcPr>
            <w:tcW w:w="2410" w:type="dxa"/>
            <w:tcBorders>
              <w:top w:val="single" w:sz="4" w:space="0" w:color="auto"/>
            </w:tcBorders>
            <w:vAlign w:val="center"/>
          </w:tcPr>
          <w:p w14:paraId="774B4D48" w14:textId="77777777" w:rsidR="00123595" w:rsidRPr="006454B5" w:rsidRDefault="00123595" w:rsidP="00123595">
            <w:pPr>
              <w:spacing w:after="0" w:line="240" w:lineRule="auto"/>
              <w:rPr>
                <w:rFonts w:ascii="Arial" w:hAnsi="Arial" w:cs="Arial"/>
                <w:i/>
                <w:iCs/>
                <w:szCs w:val="20"/>
                <w:u w:val="single"/>
              </w:rPr>
            </w:pPr>
            <w:r w:rsidRPr="006454B5">
              <w:rPr>
                <w:rFonts w:ascii="Arial" w:hAnsi="Arial" w:cs="Arial"/>
                <w:i/>
                <w:iCs/>
                <w:szCs w:val="20"/>
                <w:u w:val="single"/>
              </w:rPr>
              <w:t>Reporting</w:t>
            </w:r>
          </w:p>
        </w:tc>
        <w:tc>
          <w:tcPr>
            <w:tcW w:w="4106" w:type="dxa"/>
            <w:tcBorders>
              <w:top w:val="single" w:sz="4" w:space="0" w:color="auto"/>
            </w:tcBorders>
          </w:tcPr>
          <w:p w14:paraId="1EE0AEC1" w14:textId="77777777" w:rsidR="00123595" w:rsidRPr="006454B5" w:rsidRDefault="00123595" w:rsidP="00123595">
            <w:pPr>
              <w:spacing w:after="0" w:line="240" w:lineRule="auto"/>
              <w:jc w:val="center"/>
              <w:rPr>
                <w:rFonts w:ascii="Arial" w:hAnsi="Arial" w:cs="Arial"/>
                <w:szCs w:val="20"/>
              </w:rPr>
            </w:pPr>
          </w:p>
        </w:tc>
        <w:tc>
          <w:tcPr>
            <w:tcW w:w="0" w:type="auto"/>
            <w:tcBorders>
              <w:top w:val="single" w:sz="4" w:space="0" w:color="auto"/>
            </w:tcBorders>
            <w:vAlign w:val="center"/>
          </w:tcPr>
          <w:p w14:paraId="2C9CF5A9" w14:textId="77777777" w:rsidR="00123595" w:rsidRPr="006454B5" w:rsidRDefault="00123595" w:rsidP="00123595">
            <w:pPr>
              <w:spacing w:after="0" w:line="240" w:lineRule="auto"/>
              <w:jc w:val="center"/>
              <w:rPr>
                <w:rFonts w:ascii="Arial" w:hAnsi="Arial" w:cs="Arial"/>
                <w:szCs w:val="20"/>
              </w:rPr>
            </w:pPr>
          </w:p>
        </w:tc>
        <w:tc>
          <w:tcPr>
            <w:tcW w:w="0" w:type="auto"/>
            <w:tcBorders>
              <w:top w:val="single" w:sz="4" w:space="0" w:color="auto"/>
            </w:tcBorders>
            <w:vAlign w:val="center"/>
          </w:tcPr>
          <w:p w14:paraId="1C891C2E" w14:textId="77777777" w:rsidR="00123595" w:rsidRPr="006454B5" w:rsidRDefault="00123595" w:rsidP="00123595">
            <w:pPr>
              <w:spacing w:after="0" w:line="240" w:lineRule="auto"/>
              <w:jc w:val="center"/>
              <w:rPr>
                <w:rFonts w:ascii="Arial" w:hAnsi="Arial" w:cs="Arial"/>
                <w:szCs w:val="20"/>
              </w:rPr>
            </w:pPr>
          </w:p>
        </w:tc>
        <w:tc>
          <w:tcPr>
            <w:tcW w:w="0" w:type="auto"/>
            <w:gridSpan w:val="2"/>
            <w:tcBorders>
              <w:top w:val="single" w:sz="4" w:space="0" w:color="auto"/>
            </w:tcBorders>
            <w:vAlign w:val="center"/>
          </w:tcPr>
          <w:p w14:paraId="530AC4A3" w14:textId="77777777" w:rsidR="00123595" w:rsidRPr="006454B5" w:rsidRDefault="00123595" w:rsidP="00123595">
            <w:pPr>
              <w:spacing w:after="0" w:line="240" w:lineRule="auto"/>
              <w:jc w:val="center"/>
              <w:rPr>
                <w:rFonts w:ascii="Arial" w:hAnsi="Arial" w:cs="Arial"/>
                <w:szCs w:val="20"/>
              </w:rPr>
            </w:pPr>
          </w:p>
        </w:tc>
        <w:tc>
          <w:tcPr>
            <w:tcW w:w="0" w:type="auto"/>
            <w:tcBorders>
              <w:top w:val="single" w:sz="4" w:space="0" w:color="auto"/>
            </w:tcBorders>
            <w:vAlign w:val="center"/>
          </w:tcPr>
          <w:p w14:paraId="5F267655" w14:textId="77777777" w:rsidR="00123595" w:rsidRPr="006454B5" w:rsidRDefault="00123595" w:rsidP="00123595">
            <w:pPr>
              <w:spacing w:after="0" w:line="240" w:lineRule="auto"/>
              <w:jc w:val="center"/>
              <w:rPr>
                <w:rFonts w:ascii="Arial" w:hAnsi="Arial" w:cs="Arial"/>
                <w:szCs w:val="20"/>
              </w:rPr>
            </w:pPr>
          </w:p>
        </w:tc>
        <w:tc>
          <w:tcPr>
            <w:tcW w:w="0" w:type="auto"/>
            <w:tcBorders>
              <w:top w:val="single" w:sz="4" w:space="0" w:color="auto"/>
            </w:tcBorders>
            <w:vAlign w:val="center"/>
          </w:tcPr>
          <w:p w14:paraId="619681E7" w14:textId="77777777" w:rsidR="00123595" w:rsidRPr="006454B5" w:rsidRDefault="00123595" w:rsidP="00123595">
            <w:pPr>
              <w:spacing w:after="0" w:line="240" w:lineRule="auto"/>
              <w:jc w:val="center"/>
              <w:rPr>
                <w:rFonts w:ascii="Arial" w:hAnsi="Arial" w:cs="Arial"/>
                <w:szCs w:val="20"/>
              </w:rPr>
            </w:pPr>
          </w:p>
        </w:tc>
        <w:tc>
          <w:tcPr>
            <w:tcW w:w="964" w:type="dxa"/>
            <w:tcBorders>
              <w:top w:val="single" w:sz="4" w:space="0" w:color="auto"/>
            </w:tcBorders>
          </w:tcPr>
          <w:p w14:paraId="660271C1" w14:textId="77777777" w:rsidR="00123595" w:rsidRPr="006454B5" w:rsidRDefault="00123595" w:rsidP="00123595">
            <w:pPr>
              <w:spacing w:after="0" w:line="240" w:lineRule="auto"/>
              <w:jc w:val="center"/>
              <w:rPr>
                <w:rFonts w:ascii="Arial" w:hAnsi="Arial" w:cs="Arial"/>
                <w:szCs w:val="20"/>
              </w:rPr>
            </w:pPr>
          </w:p>
        </w:tc>
      </w:tr>
      <w:tr w:rsidR="00123595" w:rsidRPr="006454B5" w14:paraId="5BFB688F" w14:textId="77777777" w:rsidTr="00492808">
        <w:trPr>
          <w:trHeight w:val="20"/>
        </w:trPr>
        <w:tc>
          <w:tcPr>
            <w:tcW w:w="2410" w:type="dxa"/>
            <w:vAlign w:val="center"/>
          </w:tcPr>
          <w:p w14:paraId="616C66E1" w14:textId="6B8F5E40" w:rsidR="00123595" w:rsidRPr="006454B5" w:rsidRDefault="00123595" w:rsidP="00123595">
            <w:pPr>
              <w:spacing w:after="0" w:line="240" w:lineRule="auto"/>
              <w:rPr>
                <w:rFonts w:ascii="Arial" w:hAnsi="Arial" w:cs="Arial"/>
                <w:szCs w:val="20"/>
              </w:rPr>
            </w:pPr>
            <w:r w:rsidRPr="006454B5">
              <w:rPr>
                <w:rFonts w:ascii="Arial" w:hAnsi="Arial" w:cs="Arial"/>
                <w:szCs w:val="20"/>
              </w:rPr>
              <w:t xml:space="preserve">Time </w:t>
            </w:r>
            <w:r w:rsidR="00765A85" w:rsidRPr="006454B5">
              <w:rPr>
                <w:rFonts w:ascii="Arial" w:hAnsi="Arial" w:cs="Arial"/>
                <w:szCs w:val="20"/>
              </w:rPr>
              <w:t>between offence and</w:t>
            </w:r>
            <w:r w:rsidRPr="006454B5">
              <w:rPr>
                <w:rFonts w:ascii="Arial" w:hAnsi="Arial" w:cs="Arial"/>
                <w:szCs w:val="20"/>
              </w:rPr>
              <w:t xml:space="preserve"> report</w:t>
            </w:r>
            <w:r w:rsidR="00765A85" w:rsidRPr="006454B5">
              <w:rPr>
                <w:rFonts w:ascii="Arial" w:hAnsi="Arial" w:cs="Arial"/>
                <w:szCs w:val="20"/>
              </w:rPr>
              <w:t>ing</w:t>
            </w:r>
          </w:p>
        </w:tc>
        <w:tc>
          <w:tcPr>
            <w:tcW w:w="4106" w:type="dxa"/>
            <w:vAlign w:val="center"/>
          </w:tcPr>
          <w:p w14:paraId="16B3B1DD"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Same day</w:t>
            </w:r>
          </w:p>
        </w:tc>
        <w:tc>
          <w:tcPr>
            <w:tcW w:w="0" w:type="auto"/>
            <w:gridSpan w:val="3"/>
            <w:vAlign w:val="center"/>
          </w:tcPr>
          <w:p w14:paraId="06BB22E3"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121</w:t>
            </w:r>
          </w:p>
        </w:tc>
        <w:tc>
          <w:tcPr>
            <w:tcW w:w="0" w:type="auto"/>
            <w:gridSpan w:val="3"/>
            <w:vAlign w:val="center"/>
          </w:tcPr>
          <w:p w14:paraId="54360966"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28.1</w:t>
            </w:r>
          </w:p>
        </w:tc>
        <w:tc>
          <w:tcPr>
            <w:tcW w:w="964" w:type="dxa"/>
            <w:vAlign w:val="center"/>
          </w:tcPr>
          <w:p w14:paraId="38136AF7"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15</w:t>
            </w:r>
          </w:p>
        </w:tc>
      </w:tr>
      <w:tr w:rsidR="00123595" w:rsidRPr="006454B5" w14:paraId="159A100B" w14:textId="77777777" w:rsidTr="00492808">
        <w:trPr>
          <w:trHeight w:val="20"/>
        </w:trPr>
        <w:tc>
          <w:tcPr>
            <w:tcW w:w="2410" w:type="dxa"/>
            <w:vAlign w:val="center"/>
          </w:tcPr>
          <w:p w14:paraId="56E72631" w14:textId="77777777" w:rsidR="00123595" w:rsidRPr="006454B5" w:rsidRDefault="00123595" w:rsidP="00123595">
            <w:pPr>
              <w:spacing w:after="0" w:line="240" w:lineRule="auto"/>
              <w:rPr>
                <w:rFonts w:ascii="Arial" w:hAnsi="Arial" w:cs="Arial"/>
                <w:szCs w:val="20"/>
              </w:rPr>
            </w:pPr>
          </w:p>
        </w:tc>
        <w:tc>
          <w:tcPr>
            <w:tcW w:w="4106" w:type="dxa"/>
            <w:vAlign w:val="center"/>
          </w:tcPr>
          <w:p w14:paraId="7CB10362"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1-7 days</w:t>
            </w:r>
          </w:p>
        </w:tc>
        <w:tc>
          <w:tcPr>
            <w:tcW w:w="0" w:type="auto"/>
            <w:gridSpan w:val="3"/>
            <w:vAlign w:val="center"/>
          </w:tcPr>
          <w:p w14:paraId="2DDBC1C9"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72</w:t>
            </w:r>
          </w:p>
        </w:tc>
        <w:tc>
          <w:tcPr>
            <w:tcW w:w="0" w:type="auto"/>
            <w:gridSpan w:val="3"/>
            <w:vAlign w:val="center"/>
          </w:tcPr>
          <w:p w14:paraId="62A6072C"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16.7</w:t>
            </w:r>
          </w:p>
        </w:tc>
        <w:tc>
          <w:tcPr>
            <w:tcW w:w="964" w:type="dxa"/>
            <w:vAlign w:val="center"/>
          </w:tcPr>
          <w:p w14:paraId="166E03F2"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15</w:t>
            </w:r>
          </w:p>
        </w:tc>
      </w:tr>
      <w:tr w:rsidR="00123595" w:rsidRPr="006454B5" w14:paraId="314F1348" w14:textId="77777777" w:rsidTr="00492808">
        <w:trPr>
          <w:trHeight w:val="20"/>
        </w:trPr>
        <w:tc>
          <w:tcPr>
            <w:tcW w:w="2410" w:type="dxa"/>
            <w:vAlign w:val="center"/>
          </w:tcPr>
          <w:p w14:paraId="52662127" w14:textId="77777777" w:rsidR="00123595" w:rsidRPr="006454B5" w:rsidRDefault="00123595" w:rsidP="00123595">
            <w:pPr>
              <w:spacing w:after="0" w:line="240" w:lineRule="auto"/>
              <w:rPr>
                <w:rFonts w:ascii="Arial" w:hAnsi="Arial" w:cs="Arial"/>
                <w:szCs w:val="20"/>
              </w:rPr>
            </w:pPr>
          </w:p>
        </w:tc>
        <w:tc>
          <w:tcPr>
            <w:tcW w:w="4106" w:type="dxa"/>
            <w:vAlign w:val="center"/>
          </w:tcPr>
          <w:p w14:paraId="3312C6FC"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 week-1 month</w:t>
            </w:r>
          </w:p>
        </w:tc>
        <w:tc>
          <w:tcPr>
            <w:tcW w:w="0" w:type="auto"/>
            <w:gridSpan w:val="3"/>
            <w:vAlign w:val="center"/>
          </w:tcPr>
          <w:p w14:paraId="72688803"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55</w:t>
            </w:r>
          </w:p>
        </w:tc>
        <w:tc>
          <w:tcPr>
            <w:tcW w:w="0" w:type="auto"/>
            <w:gridSpan w:val="3"/>
            <w:vAlign w:val="center"/>
          </w:tcPr>
          <w:p w14:paraId="2F36CC75"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12.8</w:t>
            </w:r>
          </w:p>
        </w:tc>
        <w:tc>
          <w:tcPr>
            <w:tcW w:w="964" w:type="dxa"/>
            <w:vAlign w:val="center"/>
          </w:tcPr>
          <w:p w14:paraId="644E7799"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15</w:t>
            </w:r>
          </w:p>
        </w:tc>
      </w:tr>
      <w:tr w:rsidR="00123595" w:rsidRPr="006454B5" w14:paraId="2DDAE78C" w14:textId="77777777" w:rsidTr="00492808">
        <w:trPr>
          <w:trHeight w:val="20"/>
        </w:trPr>
        <w:tc>
          <w:tcPr>
            <w:tcW w:w="2410" w:type="dxa"/>
            <w:vAlign w:val="center"/>
          </w:tcPr>
          <w:p w14:paraId="41A37DCF" w14:textId="77777777" w:rsidR="00123595" w:rsidRPr="006454B5" w:rsidRDefault="00123595" w:rsidP="00123595">
            <w:pPr>
              <w:spacing w:after="0" w:line="240" w:lineRule="auto"/>
              <w:rPr>
                <w:rFonts w:ascii="Arial" w:hAnsi="Arial" w:cs="Arial"/>
                <w:szCs w:val="20"/>
              </w:rPr>
            </w:pPr>
          </w:p>
        </w:tc>
        <w:tc>
          <w:tcPr>
            <w:tcW w:w="4106" w:type="dxa"/>
            <w:vAlign w:val="center"/>
          </w:tcPr>
          <w:p w14:paraId="381E4112"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 month-1 year</w:t>
            </w:r>
          </w:p>
        </w:tc>
        <w:tc>
          <w:tcPr>
            <w:tcW w:w="0" w:type="auto"/>
            <w:gridSpan w:val="3"/>
            <w:vAlign w:val="center"/>
          </w:tcPr>
          <w:p w14:paraId="7BB32554"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73</w:t>
            </w:r>
          </w:p>
        </w:tc>
        <w:tc>
          <w:tcPr>
            <w:tcW w:w="0" w:type="auto"/>
            <w:gridSpan w:val="3"/>
            <w:vAlign w:val="center"/>
          </w:tcPr>
          <w:p w14:paraId="22AC06E5"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16.9</w:t>
            </w:r>
          </w:p>
        </w:tc>
        <w:tc>
          <w:tcPr>
            <w:tcW w:w="964" w:type="dxa"/>
            <w:vAlign w:val="center"/>
          </w:tcPr>
          <w:p w14:paraId="3C9150F0"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15</w:t>
            </w:r>
          </w:p>
        </w:tc>
      </w:tr>
      <w:tr w:rsidR="00123595" w:rsidRPr="006454B5" w14:paraId="3BFF6942" w14:textId="77777777" w:rsidTr="00492808">
        <w:trPr>
          <w:trHeight w:val="20"/>
        </w:trPr>
        <w:tc>
          <w:tcPr>
            <w:tcW w:w="2410" w:type="dxa"/>
            <w:vAlign w:val="center"/>
          </w:tcPr>
          <w:p w14:paraId="41F1AFF7" w14:textId="77777777" w:rsidR="00123595" w:rsidRPr="006454B5" w:rsidRDefault="00123595" w:rsidP="00123595">
            <w:pPr>
              <w:spacing w:after="0" w:line="240" w:lineRule="auto"/>
              <w:rPr>
                <w:rFonts w:ascii="Arial" w:hAnsi="Arial" w:cs="Arial"/>
                <w:szCs w:val="20"/>
              </w:rPr>
            </w:pPr>
          </w:p>
        </w:tc>
        <w:tc>
          <w:tcPr>
            <w:tcW w:w="4106" w:type="dxa"/>
            <w:vAlign w:val="center"/>
          </w:tcPr>
          <w:p w14:paraId="6FF862DB"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&gt;1 year</w:t>
            </w:r>
          </w:p>
        </w:tc>
        <w:tc>
          <w:tcPr>
            <w:tcW w:w="0" w:type="auto"/>
            <w:gridSpan w:val="3"/>
            <w:vAlign w:val="center"/>
          </w:tcPr>
          <w:p w14:paraId="26F55A61"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110</w:t>
            </w:r>
          </w:p>
        </w:tc>
        <w:tc>
          <w:tcPr>
            <w:tcW w:w="0" w:type="auto"/>
            <w:gridSpan w:val="3"/>
            <w:vAlign w:val="center"/>
          </w:tcPr>
          <w:p w14:paraId="2D990797"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25.5</w:t>
            </w:r>
          </w:p>
        </w:tc>
        <w:tc>
          <w:tcPr>
            <w:tcW w:w="964" w:type="dxa"/>
            <w:vAlign w:val="center"/>
          </w:tcPr>
          <w:p w14:paraId="62C50937"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15</w:t>
            </w:r>
          </w:p>
        </w:tc>
      </w:tr>
      <w:tr w:rsidR="00123595" w:rsidRPr="006454B5" w14:paraId="63BF3243" w14:textId="77777777" w:rsidTr="00492808">
        <w:trPr>
          <w:trHeight w:val="20"/>
        </w:trPr>
        <w:tc>
          <w:tcPr>
            <w:tcW w:w="2410" w:type="dxa"/>
            <w:vAlign w:val="center"/>
          </w:tcPr>
          <w:p w14:paraId="5075E07E" w14:textId="77777777" w:rsidR="00123595" w:rsidRPr="006454B5" w:rsidRDefault="00123595" w:rsidP="00123595">
            <w:pPr>
              <w:spacing w:after="0" w:line="240" w:lineRule="auto"/>
              <w:rPr>
                <w:rFonts w:ascii="Arial" w:hAnsi="Arial" w:cs="Arial"/>
                <w:szCs w:val="20"/>
              </w:rPr>
            </w:pPr>
            <w:r w:rsidRPr="006454B5">
              <w:rPr>
                <w:rFonts w:ascii="Arial" w:hAnsi="Arial" w:cs="Arial"/>
                <w:szCs w:val="20"/>
              </w:rPr>
              <w:t>How reported</w:t>
            </w:r>
          </w:p>
        </w:tc>
        <w:tc>
          <w:tcPr>
            <w:tcW w:w="4106" w:type="dxa"/>
            <w:vAlign w:val="center"/>
          </w:tcPr>
          <w:p w14:paraId="5532219B" w14:textId="1C33AE24"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Directly by victim</w:t>
            </w:r>
          </w:p>
        </w:tc>
        <w:tc>
          <w:tcPr>
            <w:tcW w:w="0" w:type="auto"/>
            <w:gridSpan w:val="3"/>
            <w:vAlign w:val="center"/>
          </w:tcPr>
          <w:p w14:paraId="7F401D5B"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263</w:t>
            </w:r>
          </w:p>
        </w:tc>
        <w:tc>
          <w:tcPr>
            <w:tcW w:w="0" w:type="auto"/>
            <w:gridSpan w:val="3"/>
            <w:vAlign w:val="center"/>
          </w:tcPr>
          <w:p w14:paraId="59B33B65"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59.0</w:t>
            </w:r>
          </w:p>
        </w:tc>
        <w:tc>
          <w:tcPr>
            <w:tcW w:w="964" w:type="dxa"/>
            <w:vAlign w:val="center"/>
          </w:tcPr>
          <w:p w14:paraId="4BFA7DF6"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765A85" w:rsidRPr="006454B5" w14:paraId="1AA592B1" w14:textId="77777777" w:rsidTr="00492808">
        <w:trPr>
          <w:trHeight w:val="20"/>
        </w:trPr>
        <w:tc>
          <w:tcPr>
            <w:tcW w:w="2410" w:type="dxa"/>
            <w:vAlign w:val="center"/>
          </w:tcPr>
          <w:p w14:paraId="045E697A" w14:textId="77777777" w:rsidR="00765A85" w:rsidRPr="006454B5" w:rsidRDefault="00765A85" w:rsidP="00123595">
            <w:pPr>
              <w:spacing w:after="0" w:line="240" w:lineRule="auto"/>
              <w:rPr>
                <w:rFonts w:ascii="Arial" w:hAnsi="Arial" w:cs="Arial"/>
                <w:szCs w:val="20"/>
              </w:rPr>
            </w:pPr>
          </w:p>
        </w:tc>
        <w:tc>
          <w:tcPr>
            <w:tcW w:w="4106" w:type="dxa"/>
            <w:vAlign w:val="center"/>
          </w:tcPr>
          <w:p w14:paraId="35011CD3" w14:textId="0939CC5B" w:rsidR="00765A85" w:rsidRPr="006454B5" w:rsidRDefault="00765A85" w:rsidP="00123595">
            <w:pPr>
              <w:spacing w:after="0" w:line="240" w:lineRule="auto"/>
              <w:jc w:val="center"/>
              <w:rPr>
                <w:rFonts w:ascii="Arial" w:hAnsi="Arial" w:cs="Arial"/>
                <w:szCs w:val="20"/>
              </w:rPr>
            </w:pPr>
            <w:r w:rsidRPr="006454B5">
              <w:rPr>
                <w:rFonts w:ascii="Arial" w:hAnsi="Arial" w:cs="Arial"/>
                <w:szCs w:val="20"/>
              </w:rPr>
              <w:t>By a third party</w:t>
            </w:r>
          </w:p>
        </w:tc>
        <w:tc>
          <w:tcPr>
            <w:tcW w:w="0" w:type="auto"/>
            <w:gridSpan w:val="3"/>
            <w:vAlign w:val="center"/>
          </w:tcPr>
          <w:p w14:paraId="06BBAAA4" w14:textId="2CAA18B9" w:rsidR="00765A85" w:rsidRPr="006454B5" w:rsidRDefault="00765A85" w:rsidP="00123595">
            <w:pPr>
              <w:spacing w:after="0" w:line="240" w:lineRule="auto"/>
              <w:jc w:val="center"/>
              <w:rPr>
                <w:rFonts w:ascii="Arial" w:hAnsi="Arial" w:cs="Arial"/>
                <w:szCs w:val="20"/>
              </w:rPr>
            </w:pPr>
            <w:r w:rsidRPr="006454B5">
              <w:rPr>
                <w:rFonts w:ascii="Arial" w:hAnsi="Arial" w:cs="Arial"/>
                <w:szCs w:val="20"/>
              </w:rPr>
              <w:t>183</w:t>
            </w:r>
          </w:p>
        </w:tc>
        <w:tc>
          <w:tcPr>
            <w:tcW w:w="0" w:type="auto"/>
            <w:gridSpan w:val="3"/>
            <w:vAlign w:val="center"/>
          </w:tcPr>
          <w:p w14:paraId="688DFCD7" w14:textId="447E74C5" w:rsidR="00765A85" w:rsidRPr="006454B5" w:rsidRDefault="00765A85" w:rsidP="00123595">
            <w:pPr>
              <w:spacing w:after="0" w:line="240" w:lineRule="auto"/>
              <w:jc w:val="center"/>
              <w:rPr>
                <w:rFonts w:ascii="Arial" w:hAnsi="Arial" w:cs="Arial"/>
                <w:szCs w:val="20"/>
              </w:rPr>
            </w:pPr>
            <w:r w:rsidRPr="006454B5">
              <w:rPr>
                <w:rFonts w:ascii="Arial" w:hAnsi="Arial" w:cs="Arial"/>
                <w:szCs w:val="20"/>
              </w:rPr>
              <w:t>41.0</w:t>
            </w:r>
          </w:p>
        </w:tc>
        <w:tc>
          <w:tcPr>
            <w:tcW w:w="964" w:type="dxa"/>
            <w:vAlign w:val="center"/>
          </w:tcPr>
          <w:p w14:paraId="2A29A4D7" w14:textId="4252826E" w:rsidR="00765A85" w:rsidRPr="006454B5" w:rsidRDefault="00765A8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09BA22A6" w14:textId="77777777" w:rsidTr="00492808">
        <w:trPr>
          <w:trHeight w:val="20"/>
        </w:trPr>
        <w:tc>
          <w:tcPr>
            <w:tcW w:w="2410" w:type="dxa"/>
            <w:vAlign w:val="center"/>
          </w:tcPr>
          <w:p w14:paraId="38F823C2" w14:textId="77777777" w:rsidR="00123595" w:rsidRPr="006454B5" w:rsidRDefault="00123595" w:rsidP="00123595">
            <w:pPr>
              <w:spacing w:after="0" w:line="240" w:lineRule="auto"/>
              <w:rPr>
                <w:rFonts w:ascii="Arial" w:hAnsi="Arial" w:cs="Arial"/>
                <w:szCs w:val="20"/>
              </w:rPr>
            </w:pPr>
          </w:p>
        </w:tc>
        <w:tc>
          <w:tcPr>
            <w:tcW w:w="4106" w:type="dxa"/>
            <w:vAlign w:val="center"/>
          </w:tcPr>
          <w:p w14:paraId="2280A724" w14:textId="17BCDC48" w:rsidR="00123595" w:rsidRPr="006454B5" w:rsidRDefault="00123595" w:rsidP="00123595">
            <w:pPr>
              <w:spacing w:after="0" w:line="240" w:lineRule="auto"/>
              <w:jc w:val="center"/>
              <w:rPr>
                <w:rFonts w:ascii="Arial" w:hAnsi="Arial" w:cs="Arial"/>
                <w:szCs w:val="20"/>
                <w:vertAlign w:val="superscript"/>
              </w:rPr>
            </w:pPr>
            <w:r w:rsidRPr="006454B5">
              <w:rPr>
                <w:rFonts w:ascii="Arial" w:hAnsi="Arial" w:cs="Arial"/>
                <w:szCs w:val="20"/>
              </w:rPr>
              <w:t>Via the DASH checklist</w:t>
            </w:r>
            <w:r w:rsidR="00765A85" w:rsidRPr="006454B5">
              <w:rPr>
                <w:rFonts w:ascii="Arial" w:hAnsi="Arial" w:cs="Arial"/>
                <w:szCs w:val="20"/>
              </w:rPr>
              <w:t xml:space="preserve"> (includes both direct and third party reporting)</w:t>
            </w:r>
            <w:r w:rsidRPr="006454B5">
              <w:rPr>
                <w:rFonts w:ascii="Arial" w:hAnsi="Arial" w:cs="Arial"/>
                <w:szCs w:val="20"/>
                <w:vertAlign w:val="superscript"/>
              </w:rPr>
              <w:t>a</w:t>
            </w:r>
          </w:p>
        </w:tc>
        <w:tc>
          <w:tcPr>
            <w:tcW w:w="0" w:type="auto"/>
            <w:gridSpan w:val="3"/>
            <w:vAlign w:val="center"/>
          </w:tcPr>
          <w:p w14:paraId="3C98C581"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85</w:t>
            </w:r>
          </w:p>
        </w:tc>
        <w:tc>
          <w:tcPr>
            <w:tcW w:w="0" w:type="auto"/>
            <w:gridSpan w:val="3"/>
            <w:vAlign w:val="center"/>
          </w:tcPr>
          <w:p w14:paraId="4BDDACE5"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19.1</w:t>
            </w:r>
          </w:p>
        </w:tc>
        <w:tc>
          <w:tcPr>
            <w:tcW w:w="964" w:type="dxa"/>
            <w:vAlign w:val="center"/>
          </w:tcPr>
          <w:p w14:paraId="123EAE87"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3B082F22" w14:textId="77777777" w:rsidTr="00492808">
        <w:trPr>
          <w:trHeight w:val="20"/>
        </w:trPr>
        <w:tc>
          <w:tcPr>
            <w:tcW w:w="2410" w:type="dxa"/>
            <w:vAlign w:val="center"/>
          </w:tcPr>
          <w:p w14:paraId="44CFF739" w14:textId="77777777" w:rsidR="00123595" w:rsidRPr="006454B5" w:rsidRDefault="00123595" w:rsidP="00123595">
            <w:pPr>
              <w:spacing w:after="0" w:line="240" w:lineRule="auto"/>
              <w:rPr>
                <w:rFonts w:ascii="Arial" w:hAnsi="Arial" w:cs="Arial"/>
                <w:i/>
                <w:iCs/>
                <w:szCs w:val="20"/>
                <w:u w:val="single"/>
              </w:rPr>
            </w:pPr>
            <w:r w:rsidRPr="006454B5">
              <w:rPr>
                <w:rFonts w:ascii="Arial" w:hAnsi="Arial" w:cs="Arial"/>
                <w:i/>
                <w:iCs/>
                <w:szCs w:val="20"/>
                <w:u w:val="single"/>
              </w:rPr>
              <w:t>Evidential Factors</w:t>
            </w:r>
          </w:p>
        </w:tc>
        <w:tc>
          <w:tcPr>
            <w:tcW w:w="4106" w:type="dxa"/>
            <w:vAlign w:val="center"/>
          </w:tcPr>
          <w:p w14:paraId="794C1308" w14:textId="77777777" w:rsidR="00123595" w:rsidRPr="006454B5" w:rsidRDefault="00123595" w:rsidP="00123595">
            <w:pPr>
              <w:spacing w:after="0" w:line="240" w:lineRule="auto"/>
              <w:jc w:val="center"/>
              <w:rPr>
                <w:rFonts w:ascii="Arial" w:hAnsi="Arial" w:cs="Arial"/>
                <w:szCs w:val="20"/>
              </w:rPr>
            </w:pPr>
          </w:p>
        </w:tc>
        <w:tc>
          <w:tcPr>
            <w:tcW w:w="0" w:type="auto"/>
            <w:gridSpan w:val="3"/>
            <w:vAlign w:val="center"/>
          </w:tcPr>
          <w:p w14:paraId="76830520" w14:textId="77777777" w:rsidR="00123595" w:rsidRPr="006454B5" w:rsidRDefault="00123595" w:rsidP="00123595">
            <w:pPr>
              <w:spacing w:after="0" w:line="240" w:lineRule="auto"/>
              <w:jc w:val="center"/>
              <w:rPr>
                <w:rFonts w:ascii="Arial" w:hAnsi="Arial" w:cs="Arial"/>
                <w:szCs w:val="20"/>
              </w:rPr>
            </w:pPr>
          </w:p>
        </w:tc>
        <w:tc>
          <w:tcPr>
            <w:tcW w:w="0" w:type="auto"/>
            <w:gridSpan w:val="3"/>
            <w:vAlign w:val="center"/>
          </w:tcPr>
          <w:p w14:paraId="1B689A22" w14:textId="77777777" w:rsidR="00123595" w:rsidRPr="006454B5" w:rsidRDefault="00123595" w:rsidP="00123595">
            <w:pPr>
              <w:spacing w:after="0" w:line="240" w:lineRule="auto"/>
              <w:jc w:val="center"/>
              <w:rPr>
                <w:rFonts w:ascii="Arial" w:hAnsi="Arial" w:cs="Arial"/>
                <w:szCs w:val="20"/>
              </w:rPr>
            </w:pPr>
          </w:p>
        </w:tc>
        <w:tc>
          <w:tcPr>
            <w:tcW w:w="964" w:type="dxa"/>
            <w:vAlign w:val="center"/>
          </w:tcPr>
          <w:p w14:paraId="16EDC76C" w14:textId="77777777" w:rsidR="00123595" w:rsidRPr="006454B5" w:rsidRDefault="00123595" w:rsidP="00123595">
            <w:pPr>
              <w:spacing w:after="0" w:line="240" w:lineRule="auto"/>
              <w:jc w:val="center"/>
              <w:rPr>
                <w:rFonts w:ascii="Arial" w:hAnsi="Arial" w:cs="Arial"/>
                <w:szCs w:val="20"/>
              </w:rPr>
            </w:pPr>
          </w:p>
        </w:tc>
      </w:tr>
      <w:tr w:rsidR="00123595" w:rsidRPr="006454B5" w14:paraId="7EDBA1F3" w14:textId="77777777" w:rsidTr="00492808">
        <w:trPr>
          <w:trHeight w:val="20"/>
        </w:trPr>
        <w:tc>
          <w:tcPr>
            <w:tcW w:w="2410" w:type="dxa"/>
            <w:vMerge w:val="restart"/>
          </w:tcPr>
          <w:p w14:paraId="44050E55" w14:textId="77777777" w:rsidR="00123595" w:rsidRPr="006454B5" w:rsidRDefault="00123595" w:rsidP="00123595">
            <w:pPr>
              <w:spacing w:after="0" w:line="240" w:lineRule="auto"/>
              <w:rPr>
                <w:rFonts w:ascii="Arial" w:hAnsi="Arial" w:cs="Arial"/>
                <w:szCs w:val="20"/>
              </w:rPr>
            </w:pPr>
            <w:r w:rsidRPr="006454B5">
              <w:rPr>
                <w:rFonts w:ascii="Arial" w:hAnsi="Arial" w:cs="Arial"/>
                <w:szCs w:val="20"/>
              </w:rPr>
              <w:t>Victim-related</w:t>
            </w:r>
          </w:p>
        </w:tc>
        <w:tc>
          <w:tcPr>
            <w:tcW w:w="4106" w:type="dxa"/>
            <w:vAlign w:val="center"/>
          </w:tcPr>
          <w:p w14:paraId="1103AAB3" w14:textId="77777777" w:rsidR="00123595" w:rsidRPr="006454B5" w:rsidRDefault="00123595" w:rsidP="00123595">
            <w:pPr>
              <w:spacing w:after="0" w:line="240" w:lineRule="auto"/>
              <w:jc w:val="center"/>
              <w:rPr>
                <w:rFonts w:ascii="Arial" w:hAnsi="Arial" w:cs="Arial"/>
                <w:szCs w:val="20"/>
                <w:vertAlign w:val="superscript"/>
              </w:rPr>
            </w:pPr>
            <w:r w:rsidRPr="006454B5">
              <w:rPr>
                <w:rFonts w:ascii="Arial" w:hAnsi="Arial" w:cs="Arial"/>
                <w:szCs w:val="20"/>
              </w:rPr>
              <w:t xml:space="preserve">Victim attended a </w:t>
            </w:r>
            <w:proofErr w:type="spellStart"/>
            <w:r w:rsidRPr="006454B5">
              <w:rPr>
                <w:rFonts w:ascii="Arial" w:hAnsi="Arial" w:cs="Arial"/>
                <w:szCs w:val="20"/>
              </w:rPr>
              <w:t>Haven</w:t>
            </w:r>
            <w:r w:rsidRPr="006454B5">
              <w:rPr>
                <w:rFonts w:ascii="Arial" w:hAnsi="Arial" w:cs="Arial"/>
                <w:szCs w:val="20"/>
                <w:vertAlign w:val="superscript"/>
              </w:rPr>
              <w:t>b</w:t>
            </w:r>
            <w:proofErr w:type="spellEnd"/>
          </w:p>
        </w:tc>
        <w:tc>
          <w:tcPr>
            <w:tcW w:w="0" w:type="auto"/>
            <w:gridSpan w:val="3"/>
            <w:vAlign w:val="center"/>
          </w:tcPr>
          <w:p w14:paraId="54B84402"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97</w:t>
            </w:r>
          </w:p>
        </w:tc>
        <w:tc>
          <w:tcPr>
            <w:tcW w:w="0" w:type="auto"/>
            <w:gridSpan w:val="3"/>
            <w:vAlign w:val="center"/>
          </w:tcPr>
          <w:p w14:paraId="3C15D64C"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19.3</w:t>
            </w:r>
          </w:p>
        </w:tc>
        <w:tc>
          <w:tcPr>
            <w:tcW w:w="964" w:type="dxa"/>
            <w:vAlign w:val="center"/>
          </w:tcPr>
          <w:p w14:paraId="2CCAE5B8"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4D8E3E82" w14:textId="77777777" w:rsidTr="00492808">
        <w:trPr>
          <w:trHeight w:val="20"/>
        </w:trPr>
        <w:tc>
          <w:tcPr>
            <w:tcW w:w="2410" w:type="dxa"/>
            <w:vMerge/>
            <w:vAlign w:val="center"/>
          </w:tcPr>
          <w:p w14:paraId="4AE0ECE0" w14:textId="77777777" w:rsidR="00123595" w:rsidRPr="006454B5" w:rsidRDefault="00123595" w:rsidP="00123595">
            <w:pPr>
              <w:spacing w:after="0" w:line="240" w:lineRule="auto"/>
              <w:rPr>
                <w:rFonts w:ascii="Arial" w:hAnsi="Arial" w:cs="Arial"/>
                <w:szCs w:val="20"/>
              </w:rPr>
            </w:pPr>
          </w:p>
        </w:tc>
        <w:tc>
          <w:tcPr>
            <w:tcW w:w="4106" w:type="dxa"/>
            <w:vAlign w:val="center"/>
          </w:tcPr>
          <w:p w14:paraId="31EC221F"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Early Evidence Kit used to collect forensic evidence</w:t>
            </w:r>
          </w:p>
        </w:tc>
        <w:tc>
          <w:tcPr>
            <w:tcW w:w="0" w:type="auto"/>
            <w:gridSpan w:val="3"/>
            <w:vAlign w:val="center"/>
          </w:tcPr>
          <w:p w14:paraId="4AE5C372"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96</w:t>
            </w:r>
          </w:p>
        </w:tc>
        <w:tc>
          <w:tcPr>
            <w:tcW w:w="0" w:type="auto"/>
            <w:gridSpan w:val="3"/>
            <w:vAlign w:val="center"/>
          </w:tcPr>
          <w:p w14:paraId="6B87D17D"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21.5</w:t>
            </w:r>
          </w:p>
        </w:tc>
        <w:tc>
          <w:tcPr>
            <w:tcW w:w="964" w:type="dxa"/>
            <w:vAlign w:val="center"/>
          </w:tcPr>
          <w:p w14:paraId="547CA9E3"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2FBCF0FB" w14:textId="77777777" w:rsidTr="00492808">
        <w:trPr>
          <w:trHeight w:val="20"/>
        </w:trPr>
        <w:tc>
          <w:tcPr>
            <w:tcW w:w="2410" w:type="dxa"/>
            <w:vMerge/>
            <w:vAlign w:val="center"/>
          </w:tcPr>
          <w:p w14:paraId="6500E148" w14:textId="77777777" w:rsidR="00123595" w:rsidRPr="006454B5" w:rsidRDefault="00123595" w:rsidP="00123595">
            <w:pPr>
              <w:spacing w:after="0" w:line="240" w:lineRule="auto"/>
              <w:rPr>
                <w:rFonts w:ascii="Arial" w:hAnsi="Arial" w:cs="Arial"/>
                <w:szCs w:val="20"/>
              </w:rPr>
            </w:pPr>
          </w:p>
        </w:tc>
        <w:tc>
          <w:tcPr>
            <w:tcW w:w="4106" w:type="dxa"/>
            <w:vAlign w:val="center"/>
          </w:tcPr>
          <w:p w14:paraId="6DCF821C"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Video Recorded Interview with victim</w:t>
            </w:r>
          </w:p>
        </w:tc>
        <w:tc>
          <w:tcPr>
            <w:tcW w:w="0" w:type="auto"/>
            <w:gridSpan w:val="3"/>
            <w:vAlign w:val="center"/>
          </w:tcPr>
          <w:p w14:paraId="4CBF6F25"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155</w:t>
            </w:r>
          </w:p>
        </w:tc>
        <w:tc>
          <w:tcPr>
            <w:tcW w:w="0" w:type="auto"/>
            <w:gridSpan w:val="3"/>
            <w:vAlign w:val="center"/>
          </w:tcPr>
          <w:p w14:paraId="6717CBC2"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34.8</w:t>
            </w:r>
          </w:p>
        </w:tc>
        <w:tc>
          <w:tcPr>
            <w:tcW w:w="964" w:type="dxa"/>
            <w:vAlign w:val="center"/>
          </w:tcPr>
          <w:p w14:paraId="16F0D235"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4066873C" w14:textId="77777777" w:rsidTr="00492808">
        <w:trPr>
          <w:trHeight w:val="20"/>
        </w:trPr>
        <w:tc>
          <w:tcPr>
            <w:tcW w:w="2410" w:type="dxa"/>
            <w:vMerge/>
            <w:vAlign w:val="center"/>
          </w:tcPr>
          <w:p w14:paraId="7E7589B9" w14:textId="77777777" w:rsidR="00123595" w:rsidRPr="006454B5" w:rsidRDefault="00123595" w:rsidP="00123595">
            <w:pPr>
              <w:spacing w:after="0" w:line="240" w:lineRule="auto"/>
              <w:rPr>
                <w:rFonts w:ascii="Arial" w:hAnsi="Arial" w:cs="Arial"/>
                <w:szCs w:val="20"/>
              </w:rPr>
            </w:pPr>
          </w:p>
        </w:tc>
        <w:tc>
          <w:tcPr>
            <w:tcW w:w="4106" w:type="dxa"/>
            <w:vAlign w:val="center"/>
          </w:tcPr>
          <w:p w14:paraId="7E31756A"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Victim identifies perpetrator</w:t>
            </w:r>
          </w:p>
        </w:tc>
        <w:tc>
          <w:tcPr>
            <w:tcW w:w="0" w:type="auto"/>
            <w:gridSpan w:val="3"/>
            <w:vAlign w:val="center"/>
          </w:tcPr>
          <w:p w14:paraId="4A726369"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334</w:t>
            </w:r>
          </w:p>
        </w:tc>
        <w:tc>
          <w:tcPr>
            <w:tcW w:w="0" w:type="auto"/>
            <w:gridSpan w:val="3"/>
            <w:vAlign w:val="center"/>
          </w:tcPr>
          <w:p w14:paraId="215C8F62"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74.9</w:t>
            </w:r>
          </w:p>
        </w:tc>
        <w:tc>
          <w:tcPr>
            <w:tcW w:w="964" w:type="dxa"/>
            <w:vAlign w:val="center"/>
          </w:tcPr>
          <w:p w14:paraId="76F56D14"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5BD32259" w14:textId="77777777" w:rsidTr="00492808">
        <w:trPr>
          <w:trHeight w:val="20"/>
        </w:trPr>
        <w:tc>
          <w:tcPr>
            <w:tcW w:w="2410" w:type="dxa"/>
            <w:vMerge/>
            <w:vAlign w:val="center"/>
          </w:tcPr>
          <w:p w14:paraId="385EE316" w14:textId="77777777" w:rsidR="00123595" w:rsidRPr="006454B5" w:rsidRDefault="00123595" w:rsidP="00123595">
            <w:pPr>
              <w:spacing w:after="0" w:line="240" w:lineRule="auto"/>
              <w:rPr>
                <w:rFonts w:ascii="Arial" w:hAnsi="Arial" w:cs="Arial"/>
                <w:szCs w:val="20"/>
              </w:rPr>
            </w:pPr>
          </w:p>
        </w:tc>
        <w:tc>
          <w:tcPr>
            <w:tcW w:w="4106" w:type="dxa"/>
            <w:vAlign w:val="center"/>
          </w:tcPr>
          <w:p w14:paraId="2B3A981D"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Victim gives detailed description of perpetrator</w:t>
            </w:r>
          </w:p>
        </w:tc>
        <w:tc>
          <w:tcPr>
            <w:tcW w:w="0" w:type="auto"/>
            <w:gridSpan w:val="3"/>
            <w:vAlign w:val="center"/>
          </w:tcPr>
          <w:p w14:paraId="01EA5134"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227</w:t>
            </w:r>
          </w:p>
        </w:tc>
        <w:tc>
          <w:tcPr>
            <w:tcW w:w="0" w:type="auto"/>
            <w:gridSpan w:val="3"/>
            <w:vAlign w:val="center"/>
          </w:tcPr>
          <w:p w14:paraId="1539E201"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50.9</w:t>
            </w:r>
          </w:p>
        </w:tc>
        <w:tc>
          <w:tcPr>
            <w:tcW w:w="964" w:type="dxa"/>
            <w:vAlign w:val="center"/>
          </w:tcPr>
          <w:p w14:paraId="689FF6FC"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1046351B" w14:textId="77777777" w:rsidTr="00492808">
        <w:trPr>
          <w:trHeight w:val="20"/>
        </w:trPr>
        <w:tc>
          <w:tcPr>
            <w:tcW w:w="2410" w:type="dxa"/>
            <w:vMerge/>
            <w:vAlign w:val="center"/>
          </w:tcPr>
          <w:p w14:paraId="4DD99363" w14:textId="77777777" w:rsidR="00123595" w:rsidRPr="006454B5" w:rsidRDefault="00123595" w:rsidP="00123595">
            <w:pPr>
              <w:spacing w:after="0" w:line="240" w:lineRule="auto"/>
              <w:rPr>
                <w:rFonts w:ascii="Arial" w:hAnsi="Arial" w:cs="Arial"/>
                <w:szCs w:val="20"/>
              </w:rPr>
            </w:pPr>
          </w:p>
        </w:tc>
        <w:tc>
          <w:tcPr>
            <w:tcW w:w="4106" w:type="dxa"/>
            <w:vAlign w:val="center"/>
          </w:tcPr>
          <w:p w14:paraId="2EF81BC0"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Victim unsure if offence took place</w:t>
            </w:r>
          </w:p>
        </w:tc>
        <w:tc>
          <w:tcPr>
            <w:tcW w:w="0" w:type="auto"/>
            <w:gridSpan w:val="3"/>
            <w:vAlign w:val="center"/>
          </w:tcPr>
          <w:p w14:paraId="7F4D65F8"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45</w:t>
            </w:r>
          </w:p>
        </w:tc>
        <w:tc>
          <w:tcPr>
            <w:tcW w:w="0" w:type="auto"/>
            <w:gridSpan w:val="3"/>
            <w:vAlign w:val="center"/>
          </w:tcPr>
          <w:p w14:paraId="574DD766"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10.1</w:t>
            </w:r>
          </w:p>
        </w:tc>
        <w:tc>
          <w:tcPr>
            <w:tcW w:w="964" w:type="dxa"/>
            <w:vAlign w:val="center"/>
          </w:tcPr>
          <w:p w14:paraId="604D4B14"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50A6CEA8" w14:textId="77777777" w:rsidTr="00492808">
        <w:trPr>
          <w:trHeight w:val="20"/>
        </w:trPr>
        <w:tc>
          <w:tcPr>
            <w:tcW w:w="2410" w:type="dxa"/>
            <w:vMerge/>
            <w:vAlign w:val="center"/>
          </w:tcPr>
          <w:p w14:paraId="7070036E" w14:textId="77777777" w:rsidR="00123595" w:rsidRPr="006454B5" w:rsidRDefault="00123595" w:rsidP="00123595">
            <w:pPr>
              <w:spacing w:after="0" w:line="240" w:lineRule="auto"/>
              <w:rPr>
                <w:rFonts w:ascii="Arial" w:hAnsi="Arial" w:cs="Arial"/>
                <w:szCs w:val="20"/>
              </w:rPr>
            </w:pPr>
          </w:p>
        </w:tc>
        <w:tc>
          <w:tcPr>
            <w:tcW w:w="4106" w:type="dxa"/>
            <w:vAlign w:val="center"/>
          </w:tcPr>
          <w:p w14:paraId="14407CC3"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Victim unsure where offence took place</w:t>
            </w:r>
          </w:p>
        </w:tc>
        <w:tc>
          <w:tcPr>
            <w:tcW w:w="0" w:type="auto"/>
            <w:gridSpan w:val="3"/>
            <w:vAlign w:val="center"/>
          </w:tcPr>
          <w:p w14:paraId="08FF0A9A"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54</w:t>
            </w:r>
          </w:p>
        </w:tc>
        <w:tc>
          <w:tcPr>
            <w:tcW w:w="0" w:type="auto"/>
            <w:gridSpan w:val="3"/>
            <w:vAlign w:val="center"/>
          </w:tcPr>
          <w:p w14:paraId="3B466D8B"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12.1</w:t>
            </w:r>
          </w:p>
        </w:tc>
        <w:tc>
          <w:tcPr>
            <w:tcW w:w="964" w:type="dxa"/>
            <w:vAlign w:val="center"/>
          </w:tcPr>
          <w:p w14:paraId="17E53ECC"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14C7904E" w14:textId="77777777" w:rsidTr="00492808">
        <w:trPr>
          <w:trHeight w:val="20"/>
        </w:trPr>
        <w:tc>
          <w:tcPr>
            <w:tcW w:w="2410" w:type="dxa"/>
            <w:vMerge/>
            <w:vAlign w:val="center"/>
          </w:tcPr>
          <w:p w14:paraId="2A52E5DD" w14:textId="77777777" w:rsidR="00123595" w:rsidRPr="006454B5" w:rsidRDefault="00123595" w:rsidP="00123595">
            <w:pPr>
              <w:spacing w:after="0" w:line="240" w:lineRule="auto"/>
              <w:rPr>
                <w:rFonts w:ascii="Arial" w:hAnsi="Arial" w:cs="Arial"/>
                <w:szCs w:val="20"/>
              </w:rPr>
            </w:pPr>
          </w:p>
        </w:tc>
        <w:tc>
          <w:tcPr>
            <w:tcW w:w="4106" w:type="dxa"/>
            <w:vAlign w:val="center"/>
          </w:tcPr>
          <w:p w14:paraId="4949192A" w14:textId="77777777" w:rsidR="00123595" w:rsidRPr="006454B5" w:rsidRDefault="00123595" w:rsidP="00123595">
            <w:pPr>
              <w:spacing w:after="0" w:line="240" w:lineRule="auto"/>
              <w:jc w:val="center"/>
              <w:rPr>
                <w:rFonts w:ascii="Arial" w:hAnsi="Arial" w:cs="Arial"/>
                <w:szCs w:val="20"/>
                <w:vertAlign w:val="superscript"/>
              </w:rPr>
            </w:pPr>
            <w:r w:rsidRPr="006454B5">
              <w:rPr>
                <w:rFonts w:ascii="Arial" w:hAnsi="Arial" w:cs="Arial"/>
                <w:szCs w:val="20"/>
              </w:rPr>
              <w:t>Victim gives inconsistent account</w:t>
            </w:r>
          </w:p>
        </w:tc>
        <w:tc>
          <w:tcPr>
            <w:tcW w:w="0" w:type="auto"/>
            <w:gridSpan w:val="3"/>
            <w:vAlign w:val="center"/>
          </w:tcPr>
          <w:p w14:paraId="14573DD9"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113</w:t>
            </w:r>
          </w:p>
        </w:tc>
        <w:tc>
          <w:tcPr>
            <w:tcW w:w="0" w:type="auto"/>
            <w:gridSpan w:val="3"/>
            <w:vAlign w:val="center"/>
          </w:tcPr>
          <w:p w14:paraId="71EC5C49"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25.3</w:t>
            </w:r>
          </w:p>
        </w:tc>
        <w:tc>
          <w:tcPr>
            <w:tcW w:w="964" w:type="dxa"/>
            <w:vAlign w:val="center"/>
          </w:tcPr>
          <w:p w14:paraId="139D4E0A"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060A3AD0" w14:textId="77777777" w:rsidTr="00492808">
        <w:trPr>
          <w:trHeight w:val="20"/>
        </w:trPr>
        <w:tc>
          <w:tcPr>
            <w:tcW w:w="2410" w:type="dxa"/>
            <w:vMerge/>
            <w:vAlign w:val="center"/>
          </w:tcPr>
          <w:p w14:paraId="46F7BC6E" w14:textId="77777777" w:rsidR="00123595" w:rsidRPr="006454B5" w:rsidRDefault="00123595" w:rsidP="00123595">
            <w:pPr>
              <w:spacing w:after="0" w:line="240" w:lineRule="auto"/>
              <w:rPr>
                <w:rFonts w:ascii="Arial" w:hAnsi="Arial" w:cs="Arial"/>
                <w:szCs w:val="20"/>
              </w:rPr>
            </w:pPr>
          </w:p>
        </w:tc>
        <w:tc>
          <w:tcPr>
            <w:tcW w:w="4106" w:type="dxa"/>
            <w:vAlign w:val="center"/>
          </w:tcPr>
          <w:p w14:paraId="2904955D"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Lacks understanding of consent</w:t>
            </w:r>
          </w:p>
        </w:tc>
        <w:tc>
          <w:tcPr>
            <w:tcW w:w="0" w:type="auto"/>
            <w:gridSpan w:val="3"/>
            <w:vAlign w:val="center"/>
          </w:tcPr>
          <w:p w14:paraId="2FE2DC9D"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35</w:t>
            </w:r>
          </w:p>
        </w:tc>
        <w:tc>
          <w:tcPr>
            <w:tcW w:w="0" w:type="auto"/>
            <w:gridSpan w:val="3"/>
            <w:vAlign w:val="center"/>
          </w:tcPr>
          <w:p w14:paraId="2D3645FB"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7.8</w:t>
            </w:r>
          </w:p>
        </w:tc>
        <w:tc>
          <w:tcPr>
            <w:tcW w:w="964" w:type="dxa"/>
            <w:vAlign w:val="center"/>
          </w:tcPr>
          <w:p w14:paraId="16278AF3"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468B87E6" w14:textId="77777777" w:rsidTr="00492808">
        <w:trPr>
          <w:trHeight w:val="20"/>
        </w:trPr>
        <w:tc>
          <w:tcPr>
            <w:tcW w:w="2410" w:type="dxa"/>
            <w:vMerge w:val="restart"/>
          </w:tcPr>
          <w:p w14:paraId="517EE952" w14:textId="77777777" w:rsidR="00123595" w:rsidRPr="006454B5" w:rsidRDefault="00123595" w:rsidP="00123595">
            <w:pPr>
              <w:spacing w:after="0" w:line="240" w:lineRule="auto"/>
              <w:rPr>
                <w:rFonts w:ascii="Arial" w:hAnsi="Arial" w:cs="Arial"/>
                <w:szCs w:val="20"/>
              </w:rPr>
            </w:pPr>
            <w:r w:rsidRPr="006454B5">
              <w:rPr>
                <w:rFonts w:ascii="Arial" w:hAnsi="Arial" w:cs="Arial"/>
                <w:szCs w:val="20"/>
              </w:rPr>
              <w:t>Suspect-related</w:t>
            </w:r>
          </w:p>
        </w:tc>
        <w:tc>
          <w:tcPr>
            <w:tcW w:w="4106" w:type="dxa"/>
            <w:vAlign w:val="center"/>
          </w:tcPr>
          <w:p w14:paraId="0CC9CBA1"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Suspect claims consent</w:t>
            </w:r>
          </w:p>
        </w:tc>
        <w:tc>
          <w:tcPr>
            <w:tcW w:w="0" w:type="auto"/>
            <w:gridSpan w:val="3"/>
            <w:vAlign w:val="center"/>
          </w:tcPr>
          <w:p w14:paraId="349594FD"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103</w:t>
            </w:r>
          </w:p>
        </w:tc>
        <w:tc>
          <w:tcPr>
            <w:tcW w:w="0" w:type="auto"/>
            <w:gridSpan w:val="3"/>
            <w:vAlign w:val="center"/>
          </w:tcPr>
          <w:p w14:paraId="69817BE9"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23.1</w:t>
            </w:r>
          </w:p>
        </w:tc>
        <w:tc>
          <w:tcPr>
            <w:tcW w:w="964" w:type="dxa"/>
            <w:vAlign w:val="center"/>
          </w:tcPr>
          <w:p w14:paraId="277B76DB"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7EC1A051" w14:textId="77777777" w:rsidTr="00492808">
        <w:trPr>
          <w:trHeight w:val="20"/>
        </w:trPr>
        <w:tc>
          <w:tcPr>
            <w:tcW w:w="2410" w:type="dxa"/>
            <w:vMerge/>
          </w:tcPr>
          <w:p w14:paraId="71E9624F" w14:textId="77777777" w:rsidR="00123595" w:rsidRPr="006454B5" w:rsidRDefault="00123595" w:rsidP="00123595">
            <w:pPr>
              <w:spacing w:after="0" w:line="240" w:lineRule="auto"/>
              <w:rPr>
                <w:rFonts w:ascii="Arial" w:hAnsi="Arial" w:cs="Arial"/>
                <w:szCs w:val="20"/>
              </w:rPr>
            </w:pPr>
          </w:p>
        </w:tc>
        <w:tc>
          <w:tcPr>
            <w:tcW w:w="4106" w:type="dxa"/>
            <w:vAlign w:val="center"/>
          </w:tcPr>
          <w:p w14:paraId="216D7626"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Suspect denies intercourse or sexual contact</w:t>
            </w:r>
          </w:p>
        </w:tc>
        <w:tc>
          <w:tcPr>
            <w:tcW w:w="0" w:type="auto"/>
            <w:gridSpan w:val="3"/>
            <w:vAlign w:val="center"/>
          </w:tcPr>
          <w:p w14:paraId="7F5A569C"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56</w:t>
            </w:r>
          </w:p>
        </w:tc>
        <w:tc>
          <w:tcPr>
            <w:tcW w:w="0" w:type="auto"/>
            <w:gridSpan w:val="3"/>
            <w:vAlign w:val="center"/>
          </w:tcPr>
          <w:p w14:paraId="47B99176"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12.6</w:t>
            </w:r>
          </w:p>
        </w:tc>
        <w:tc>
          <w:tcPr>
            <w:tcW w:w="964" w:type="dxa"/>
            <w:vAlign w:val="center"/>
          </w:tcPr>
          <w:p w14:paraId="350E4032"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0160D8DC" w14:textId="77777777" w:rsidTr="00492808">
        <w:trPr>
          <w:trHeight w:val="20"/>
        </w:trPr>
        <w:tc>
          <w:tcPr>
            <w:tcW w:w="2410" w:type="dxa"/>
            <w:vMerge/>
          </w:tcPr>
          <w:p w14:paraId="653041AE" w14:textId="77777777" w:rsidR="00123595" w:rsidRPr="006454B5" w:rsidRDefault="00123595" w:rsidP="00123595">
            <w:pPr>
              <w:spacing w:after="0" w:line="240" w:lineRule="auto"/>
              <w:rPr>
                <w:rFonts w:ascii="Arial" w:hAnsi="Arial" w:cs="Arial"/>
                <w:szCs w:val="20"/>
              </w:rPr>
            </w:pPr>
          </w:p>
        </w:tc>
        <w:tc>
          <w:tcPr>
            <w:tcW w:w="4106" w:type="dxa"/>
            <w:vAlign w:val="center"/>
          </w:tcPr>
          <w:p w14:paraId="07548C9A"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Suspect involved in another rape case</w:t>
            </w:r>
          </w:p>
        </w:tc>
        <w:tc>
          <w:tcPr>
            <w:tcW w:w="0" w:type="auto"/>
            <w:gridSpan w:val="3"/>
            <w:vAlign w:val="center"/>
          </w:tcPr>
          <w:p w14:paraId="51A2A1FF"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21</w:t>
            </w:r>
          </w:p>
        </w:tc>
        <w:tc>
          <w:tcPr>
            <w:tcW w:w="0" w:type="auto"/>
            <w:gridSpan w:val="3"/>
            <w:vAlign w:val="center"/>
          </w:tcPr>
          <w:p w14:paraId="672D9A5D"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4.7</w:t>
            </w:r>
          </w:p>
        </w:tc>
        <w:tc>
          <w:tcPr>
            <w:tcW w:w="964" w:type="dxa"/>
            <w:vAlign w:val="center"/>
          </w:tcPr>
          <w:p w14:paraId="5B87BCBF"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15D1DEF5" w14:textId="77777777" w:rsidTr="00492808">
        <w:trPr>
          <w:trHeight w:val="20"/>
        </w:trPr>
        <w:tc>
          <w:tcPr>
            <w:tcW w:w="2410" w:type="dxa"/>
            <w:vMerge w:val="restart"/>
          </w:tcPr>
          <w:p w14:paraId="7B6C31DB" w14:textId="668679C1" w:rsidR="00123595" w:rsidRPr="006454B5" w:rsidRDefault="00123595" w:rsidP="00123595">
            <w:pPr>
              <w:spacing w:after="0" w:line="240" w:lineRule="auto"/>
              <w:rPr>
                <w:rFonts w:ascii="Arial" w:hAnsi="Arial" w:cs="Arial"/>
                <w:szCs w:val="20"/>
                <w:vertAlign w:val="superscript"/>
              </w:rPr>
            </w:pPr>
            <w:r w:rsidRPr="006454B5">
              <w:rPr>
                <w:rFonts w:ascii="Arial" w:hAnsi="Arial" w:cs="Arial"/>
                <w:szCs w:val="20"/>
              </w:rPr>
              <w:t xml:space="preserve">Technological </w:t>
            </w:r>
            <w:proofErr w:type="spellStart"/>
            <w:r w:rsidRPr="006454B5">
              <w:rPr>
                <w:rFonts w:ascii="Arial" w:hAnsi="Arial" w:cs="Arial"/>
                <w:szCs w:val="20"/>
              </w:rPr>
              <w:t>evidence</w:t>
            </w:r>
            <w:r w:rsidR="00D5108D" w:rsidRPr="006454B5">
              <w:rPr>
                <w:rFonts w:ascii="Arial" w:hAnsi="Arial" w:cs="Arial"/>
                <w:szCs w:val="20"/>
                <w:vertAlign w:val="superscript"/>
              </w:rPr>
              <w:t>c</w:t>
            </w:r>
            <w:proofErr w:type="spellEnd"/>
          </w:p>
        </w:tc>
        <w:tc>
          <w:tcPr>
            <w:tcW w:w="4106" w:type="dxa"/>
            <w:vAlign w:val="center"/>
          </w:tcPr>
          <w:p w14:paraId="00C198C6" w14:textId="5AD70B0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 xml:space="preserve">Victim technology </w:t>
            </w:r>
            <w:r w:rsidR="004B3C26" w:rsidRPr="006454B5">
              <w:rPr>
                <w:rFonts w:ascii="Arial" w:hAnsi="Arial" w:cs="Arial"/>
                <w:szCs w:val="20"/>
              </w:rPr>
              <w:t>requested and obtained</w:t>
            </w:r>
          </w:p>
        </w:tc>
        <w:tc>
          <w:tcPr>
            <w:tcW w:w="0" w:type="auto"/>
            <w:gridSpan w:val="3"/>
            <w:vAlign w:val="center"/>
          </w:tcPr>
          <w:p w14:paraId="1E0E8679"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48</w:t>
            </w:r>
          </w:p>
        </w:tc>
        <w:tc>
          <w:tcPr>
            <w:tcW w:w="0" w:type="auto"/>
            <w:gridSpan w:val="3"/>
            <w:vAlign w:val="center"/>
          </w:tcPr>
          <w:p w14:paraId="2E499FAF"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10.8</w:t>
            </w:r>
          </w:p>
        </w:tc>
        <w:tc>
          <w:tcPr>
            <w:tcW w:w="964" w:type="dxa"/>
            <w:vAlign w:val="center"/>
          </w:tcPr>
          <w:p w14:paraId="597FC5BE"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32448D42" w14:textId="77777777" w:rsidTr="00492808">
        <w:trPr>
          <w:trHeight w:val="20"/>
        </w:trPr>
        <w:tc>
          <w:tcPr>
            <w:tcW w:w="2410" w:type="dxa"/>
            <w:vMerge/>
          </w:tcPr>
          <w:p w14:paraId="2F631F64" w14:textId="77777777" w:rsidR="00123595" w:rsidRPr="006454B5" w:rsidRDefault="00123595" w:rsidP="00123595">
            <w:pPr>
              <w:spacing w:after="0" w:line="240" w:lineRule="auto"/>
              <w:rPr>
                <w:rFonts w:ascii="Arial" w:hAnsi="Arial" w:cs="Arial"/>
                <w:szCs w:val="20"/>
              </w:rPr>
            </w:pPr>
          </w:p>
        </w:tc>
        <w:tc>
          <w:tcPr>
            <w:tcW w:w="4106" w:type="dxa"/>
            <w:vAlign w:val="center"/>
          </w:tcPr>
          <w:p w14:paraId="08B816A0" w14:textId="4D807E2B"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 xml:space="preserve">Suspect technology </w:t>
            </w:r>
            <w:r w:rsidR="004B3C26" w:rsidRPr="006454B5">
              <w:rPr>
                <w:rFonts w:ascii="Arial" w:hAnsi="Arial" w:cs="Arial"/>
                <w:szCs w:val="20"/>
              </w:rPr>
              <w:t>requested and obtained</w:t>
            </w:r>
          </w:p>
        </w:tc>
        <w:tc>
          <w:tcPr>
            <w:tcW w:w="0" w:type="auto"/>
            <w:gridSpan w:val="3"/>
            <w:vAlign w:val="center"/>
          </w:tcPr>
          <w:p w14:paraId="19489CB1"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62</w:t>
            </w:r>
          </w:p>
        </w:tc>
        <w:tc>
          <w:tcPr>
            <w:tcW w:w="0" w:type="auto"/>
            <w:gridSpan w:val="3"/>
            <w:vAlign w:val="center"/>
          </w:tcPr>
          <w:p w14:paraId="11AFFE5B"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13.9</w:t>
            </w:r>
          </w:p>
        </w:tc>
        <w:tc>
          <w:tcPr>
            <w:tcW w:w="964" w:type="dxa"/>
            <w:vAlign w:val="center"/>
          </w:tcPr>
          <w:p w14:paraId="27BDAA8C"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29BF9C44" w14:textId="77777777" w:rsidTr="00492808">
        <w:trPr>
          <w:trHeight w:val="20"/>
        </w:trPr>
        <w:tc>
          <w:tcPr>
            <w:tcW w:w="2410" w:type="dxa"/>
            <w:vMerge/>
            <w:vAlign w:val="center"/>
          </w:tcPr>
          <w:p w14:paraId="0AEBF2FF" w14:textId="77777777" w:rsidR="00123595" w:rsidRPr="006454B5" w:rsidRDefault="00123595" w:rsidP="00123595">
            <w:pPr>
              <w:spacing w:after="0" w:line="240" w:lineRule="auto"/>
              <w:rPr>
                <w:rFonts w:ascii="Arial" w:hAnsi="Arial" w:cs="Arial"/>
                <w:szCs w:val="20"/>
              </w:rPr>
            </w:pPr>
          </w:p>
        </w:tc>
        <w:tc>
          <w:tcPr>
            <w:tcW w:w="4106" w:type="dxa"/>
            <w:vAlign w:val="center"/>
          </w:tcPr>
          <w:p w14:paraId="18D5E832" w14:textId="3E0DF99D"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Body Worn Video footage</w:t>
            </w:r>
          </w:p>
        </w:tc>
        <w:tc>
          <w:tcPr>
            <w:tcW w:w="0" w:type="auto"/>
            <w:gridSpan w:val="3"/>
            <w:vAlign w:val="center"/>
          </w:tcPr>
          <w:p w14:paraId="61398B8C"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10</w:t>
            </w:r>
          </w:p>
        </w:tc>
        <w:tc>
          <w:tcPr>
            <w:tcW w:w="0" w:type="auto"/>
            <w:gridSpan w:val="3"/>
            <w:vAlign w:val="center"/>
          </w:tcPr>
          <w:p w14:paraId="77AB5B57"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2.2</w:t>
            </w:r>
          </w:p>
        </w:tc>
        <w:tc>
          <w:tcPr>
            <w:tcW w:w="964" w:type="dxa"/>
            <w:vAlign w:val="center"/>
          </w:tcPr>
          <w:p w14:paraId="03DBFE83"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3AA7FF61" w14:textId="77777777" w:rsidTr="00492808">
        <w:trPr>
          <w:trHeight w:val="20"/>
        </w:trPr>
        <w:tc>
          <w:tcPr>
            <w:tcW w:w="2410" w:type="dxa"/>
            <w:vMerge/>
          </w:tcPr>
          <w:p w14:paraId="36DAAAC7" w14:textId="77777777" w:rsidR="00123595" w:rsidRPr="006454B5" w:rsidRDefault="00123595" w:rsidP="00123595">
            <w:pPr>
              <w:spacing w:after="0" w:line="240" w:lineRule="auto"/>
              <w:rPr>
                <w:rFonts w:ascii="Arial" w:hAnsi="Arial" w:cs="Arial"/>
                <w:szCs w:val="20"/>
              </w:rPr>
            </w:pPr>
          </w:p>
        </w:tc>
        <w:tc>
          <w:tcPr>
            <w:tcW w:w="4106" w:type="dxa"/>
            <w:vAlign w:val="center"/>
          </w:tcPr>
          <w:p w14:paraId="7DD67878" w14:textId="761F9CEE"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Technological evidence referred to</w:t>
            </w:r>
            <w:r w:rsidR="00D5108D" w:rsidRPr="006454B5">
              <w:rPr>
                <w:rFonts w:ascii="Arial" w:hAnsi="Arial" w:cs="Arial"/>
                <w:szCs w:val="20"/>
                <w:vertAlign w:val="superscript"/>
              </w:rPr>
              <w:t>d</w:t>
            </w:r>
          </w:p>
        </w:tc>
        <w:tc>
          <w:tcPr>
            <w:tcW w:w="0" w:type="auto"/>
            <w:gridSpan w:val="3"/>
            <w:vAlign w:val="center"/>
          </w:tcPr>
          <w:p w14:paraId="27D88E2E"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118</w:t>
            </w:r>
          </w:p>
        </w:tc>
        <w:tc>
          <w:tcPr>
            <w:tcW w:w="0" w:type="auto"/>
            <w:gridSpan w:val="3"/>
            <w:vAlign w:val="center"/>
          </w:tcPr>
          <w:p w14:paraId="39D3347B"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26.5</w:t>
            </w:r>
          </w:p>
        </w:tc>
        <w:tc>
          <w:tcPr>
            <w:tcW w:w="964" w:type="dxa"/>
            <w:vAlign w:val="center"/>
          </w:tcPr>
          <w:p w14:paraId="76912E3E"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2064FA8A" w14:textId="77777777" w:rsidTr="00492808">
        <w:trPr>
          <w:trHeight w:val="20"/>
        </w:trPr>
        <w:tc>
          <w:tcPr>
            <w:tcW w:w="2410" w:type="dxa"/>
            <w:vMerge/>
          </w:tcPr>
          <w:p w14:paraId="59FCF3A5" w14:textId="77777777" w:rsidR="00123595" w:rsidRPr="006454B5" w:rsidRDefault="00123595" w:rsidP="00123595">
            <w:pPr>
              <w:spacing w:after="0" w:line="240" w:lineRule="auto"/>
              <w:rPr>
                <w:rFonts w:ascii="Arial" w:hAnsi="Arial" w:cs="Arial"/>
                <w:szCs w:val="20"/>
              </w:rPr>
            </w:pPr>
          </w:p>
        </w:tc>
        <w:tc>
          <w:tcPr>
            <w:tcW w:w="4106" w:type="dxa"/>
            <w:vAlign w:val="center"/>
          </w:tcPr>
          <w:p w14:paraId="581BDEC0" w14:textId="35D45504" w:rsidR="00123595" w:rsidRPr="006454B5" w:rsidRDefault="00123595" w:rsidP="00123595">
            <w:pPr>
              <w:spacing w:after="0" w:line="240" w:lineRule="auto"/>
              <w:jc w:val="center"/>
              <w:rPr>
                <w:rFonts w:ascii="Arial" w:hAnsi="Arial" w:cs="Arial"/>
                <w:szCs w:val="20"/>
                <w:vertAlign w:val="superscript"/>
              </w:rPr>
            </w:pPr>
            <w:r w:rsidRPr="006454B5">
              <w:rPr>
                <w:rFonts w:ascii="Arial" w:hAnsi="Arial" w:cs="Arial"/>
                <w:szCs w:val="20"/>
              </w:rPr>
              <w:t xml:space="preserve">Social networking </w:t>
            </w:r>
            <w:proofErr w:type="spellStart"/>
            <w:r w:rsidRPr="006454B5">
              <w:rPr>
                <w:rFonts w:ascii="Arial" w:hAnsi="Arial" w:cs="Arial"/>
                <w:szCs w:val="20"/>
              </w:rPr>
              <w:t>sites</w:t>
            </w:r>
            <w:r w:rsidR="00D5108D" w:rsidRPr="006454B5">
              <w:rPr>
                <w:rFonts w:ascii="Arial" w:hAnsi="Arial" w:cs="Arial"/>
                <w:szCs w:val="20"/>
                <w:vertAlign w:val="superscript"/>
              </w:rPr>
              <w:t>e</w:t>
            </w:r>
            <w:proofErr w:type="spellEnd"/>
          </w:p>
        </w:tc>
        <w:tc>
          <w:tcPr>
            <w:tcW w:w="0" w:type="auto"/>
            <w:gridSpan w:val="3"/>
            <w:vAlign w:val="center"/>
          </w:tcPr>
          <w:p w14:paraId="403D5579"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52</w:t>
            </w:r>
          </w:p>
        </w:tc>
        <w:tc>
          <w:tcPr>
            <w:tcW w:w="0" w:type="auto"/>
            <w:gridSpan w:val="3"/>
            <w:vAlign w:val="center"/>
          </w:tcPr>
          <w:p w14:paraId="0C04E81D"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11.7</w:t>
            </w:r>
          </w:p>
        </w:tc>
        <w:tc>
          <w:tcPr>
            <w:tcW w:w="964" w:type="dxa"/>
            <w:vAlign w:val="center"/>
          </w:tcPr>
          <w:p w14:paraId="33495C41"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5B63B615" w14:textId="77777777" w:rsidTr="00492808">
        <w:trPr>
          <w:trHeight w:val="20"/>
        </w:trPr>
        <w:tc>
          <w:tcPr>
            <w:tcW w:w="2410" w:type="dxa"/>
            <w:vMerge/>
          </w:tcPr>
          <w:p w14:paraId="5CEC3A33" w14:textId="77777777" w:rsidR="00123595" w:rsidRPr="006454B5" w:rsidRDefault="00123595" w:rsidP="00123595">
            <w:pPr>
              <w:spacing w:after="0" w:line="240" w:lineRule="auto"/>
              <w:rPr>
                <w:rFonts w:ascii="Arial" w:hAnsi="Arial" w:cs="Arial"/>
                <w:szCs w:val="20"/>
              </w:rPr>
            </w:pPr>
          </w:p>
        </w:tc>
        <w:tc>
          <w:tcPr>
            <w:tcW w:w="4106" w:type="dxa"/>
            <w:vAlign w:val="center"/>
          </w:tcPr>
          <w:p w14:paraId="6D81ADF6"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Offence recorded or photographed</w:t>
            </w:r>
          </w:p>
        </w:tc>
        <w:tc>
          <w:tcPr>
            <w:tcW w:w="0" w:type="auto"/>
            <w:gridSpan w:val="3"/>
            <w:vAlign w:val="center"/>
          </w:tcPr>
          <w:p w14:paraId="22FBA4BD"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18</w:t>
            </w:r>
          </w:p>
        </w:tc>
        <w:tc>
          <w:tcPr>
            <w:tcW w:w="0" w:type="auto"/>
            <w:gridSpan w:val="3"/>
            <w:vAlign w:val="center"/>
          </w:tcPr>
          <w:p w14:paraId="2AEBAF91"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4.0</w:t>
            </w:r>
          </w:p>
        </w:tc>
        <w:tc>
          <w:tcPr>
            <w:tcW w:w="964" w:type="dxa"/>
            <w:vAlign w:val="center"/>
          </w:tcPr>
          <w:p w14:paraId="2EBB1D67"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4137F69E" w14:textId="77777777" w:rsidTr="00492808">
        <w:trPr>
          <w:trHeight w:val="20"/>
        </w:trPr>
        <w:tc>
          <w:tcPr>
            <w:tcW w:w="2410" w:type="dxa"/>
            <w:vMerge w:val="restart"/>
          </w:tcPr>
          <w:p w14:paraId="1B4D3047" w14:textId="77777777" w:rsidR="00123595" w:rsidRPr="006454B5" w:rsidRDefault="00123595" w:rsidP="00123595">
            <w:pPr>
              <w:spacing w:after="0" w:line="240" w:lineRule="auto"/>
              <w:rPr>
                <w:rFonts w:ascii="Arial" w:hAnsi="Arial" w:cs="Arial"/>
                <w:szCs w:val="20"/>
              </w:rPr>
            </w:pPr>
            <w:r w:rsidRPr="006454B5">
              <w:rPr>
                <w:rFonts w:ascii="Arial" w:hAnsi="Arial" w:cs="Arial"/>
                <w:szCs w:val="20"/>
              </w:rPr>
              <w:t>Other</w:t>
            </w:r>
          </w:p>
        </w:tc>
        <w:tc>
          <w:tcPr>
            <w:tcW w:w="4106" w:type="dxa"/>
            <w:vAlign w:val="center"/>
          </w:tcPr>
          <w:p w14:paraId="7B41D5CD"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No forensic opportunities</w:t>
            </w:r>
          </w:p>
        </w:tc>
        <w:tc>
          <w:tcPr>
            <w:tcW w:w="0" w:type="auto"/>
            <w:gridSpan w:val="3"/>
            <w:vAlign w:val="center"/>
          </w:tcPr>
          <w:p w14:paraId="27B41AA7"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272</w:t>
            </w:r>
          </w:p>
        </w:tc>
        <w:tc>
          <w:tcPr>
            <w:tcW w:w="0" w:type="auto"/>
            <w:gridSpan w:val="3"/>
            <w:vAlign w:val="center"/>
          </w:tcPr>
          <w:p w14:paraId="436F31D7"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61.0</w:t>
            </w:r>
          </w:p>
        </w:tc>
        <w:tc>
          <w:tcPr>
            <w:tcW w:w="964" w:type="dxa"/>
            <w:vAlign w:val="center"/>
          </w:tcPr>
          <w:p w14:paraId="1BD7CF49"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1032CC1D" w14:textId="77777777" w:rsidTr="00492808">
        <w:trPr>
          <w:trHeight w:val="20"/>
        </w:trPr>
        <w:tc>
          <w:tcPr>
            <w:tcW w:w="2410" w:type="dxa"/>
            <w:vMerge/>
          </w:tcPr>
          <w:p w14:paraId="1AFCCFBC" w14:textId="77777777" w:rsidR="00123595" w:rsidRPr="006454B5" w:rsidRDefault="00123595" w:rsidP="00123595">
            <w:pPr>
              <w:spacing w:after="0" w:line="240" w:lineRule="auto"/>
              <w:rPr>
                <w:rFonts w:ascii="Arial" w:hAnsi="Arial" w:cs="Arial"/>
                <w:szCs w:val="20"/>
              </w:rPr>
            </w:pPr>
          </w:p>
        </w:tc>
        <w:tc>
          <w:tcPr>
            <w:tcW w:w="4106" w:type="dxa"/>
            <w:vAlign w:val="center"/>
          </w:tcPr>
          <w:p w14:paraId="6FBA2BF2"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Other evidence casts doubt</w:t>
            </w:r>
          </w:p>
        </w:tc>
        <w:tc>
          <w:tcPr>
            <w:tcW w:w="0" w:type="auto"/>
            <w:gridSpan w:val="3"/>
            <w:vAlign w:val="center"/>
          </w:tcPr>
          <w:p w14:paraId="5434DC26"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65</w:t>
            </w:r>
          </w:p>
        </w:tc>
        <w:tc>
          <w:tcPr>
            <w:tcW w:w="0" w:type="auto"/>
            <w:gridSpan w:val="3"/>
            <w:vAlign w:val="center"/>
          </w:tcPr>
          <w:p w14:paraId="0AEE73C0"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14.6</w:t>
            </w:r>
          </w:p>
        </w:tc>
        <w:tc>
          <w:tcPr>
            <w:tcW w:w="964" w:type="dxa"/>
            <w:vAlign w:val="center"/>
          </w:tcPr>
          <w:p w14:paraId="78DB4D56"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6BDBD09C" w14:textId="77777777" w:rsidTr="00492808">
        <w:trPr>
          <w:trHeight w:val="20"/>
        </w:trPr>
        <w:tc>
          <w:tcPr>
            <w:tcW w:w="2410" w:type="dxa"/>
            <w:vMerge/>
          </w:tcPr>
          <w:p w14:paraId="07CD2F5C" w14:textId="77777777" w:rsidR="00123595" w:rsidRPr="006454B5" w:rsidRDefault="00123595" w:rsidP="00123595">
            <w:pPr>
              <w:spacing w:after="0" w:line="240" w:lineRule="auto"/>
              <w:rPr>
                <w:rFonts w:ascii="Arial" w:hAnsi="Arial" w:cs="Arial"/>
                <w:szCs w:val="20"/>
              </w:rPr>
            </w:pPr>
          </w:p>
        </w:tc>
        <w:tc>
          <w:tcPr>
            <w:tcW w:w="4106" w:type="dxa"/>
            <w:vAlign w:val="center"/>
          </w:tcPr>
          <w:p w14:paraId="659E8016" w14:textId="2DCE4C5A" w:rsidR="00123595" w:rsidRPr="006454B5" w:rsidRDefault="00123595" w:rsidP="00123595">
            <w:pPr>
              <w:spacing w:after="0" w:line="240" w:lineRule="auto"/>
              <w:jc w:val="center"/>
              <w:rPr>
                <w:rFonts w:ascii="Arial" w:hAnsi="Arial" w:cs="Arial"/>
                <w:szCs w:val="20"/>
                <w:vertAlign w:val="superscript"/>
              </w:rPr>
            </w:pPr>
            <w:r w:rsidRPr="006454B5">
              <w:rPr>
                <w:rFonts w:ascii="Arial" w:hAnsi="Arial" w:cs="Arial"/>
                <w:szCs w:val="20"/>
              </w:rPr>
              <w:t xml:space="preserve">Request for third party material </w:t>
            </w:r>
            <w:proofErr w:type="spellStart"/>
            <w:r w:rsidRPr="006454B5">
              <w:rPr>
                <w:rFonts w:ascii="Arial" w:hAnsi="Arial" w:cs="Arial"/>
                <w:szCs w:val="20"/>
              </w:rPr>
              <w:t>made</w:t>
            </w:r>
            <w:r w:rsidR="00D5108D" w:rsidRPr="006454B5">
              <w:rPr>
                <w:rFonts w:ascii="Arial" w:hAnsi="Arial" w:cs="Arial"/>
                <w:szCs w:val="20"/>
                <w:vertAlign w:val="superscript"/>
              </w:rPr>
              <w:t>f</w:t>
            </w:r>
            <w:proofErr w:type="spellEnd"/>
          </w:p>
        </w:tc>
        <w:tc>
          <w:tcPr>
            <w:tcW w:w="0" w:type="auto"/>
            <w:gridSpan w:val="3"/>
            <w:vAlign w:val="center"/>
          </w:tcPr>
          <w:p w14:paraId="0CA4B785"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158</w:t>
            </w:r>
          </w:p>
        </w:tc>
        <w:tc>
          <w:tcPr>
            <w:tcW w:w="0" w:type="auto"/>
            <w:gridSpan w:val="3"/>
            <w:vAlign w:val="center"/>
          </w:tcPr>
          <w:p w14:paraId="26210F88"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35.4</w:t>
            </w:r>
          </w:p>
        </w:tc>
        <w:tc>
          <w:tcPr>
            <w:tcW w:w="964" w:type="dxa"/>
            <w:vAlign w:val="center"/>
          </w:tcPr>
          <w:p w14:paraId="5D5DA04F"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226E6D73" w14:textId="77777777" w:rsidTr="00492808">
        <w:trPr>
          <w:trHeight w:val="20"/>
        </w:trPr>
        <w:tc>
          <w:tcPr>
            <w:tcW w:w="2410" w:type="dxa"/>
            <w:vMerge/>
            <w:vAlign w:val="center"/>
          </w:tcPr>
          <w:p w14:paraId="6ADEEFAC" w14:textId="77777777" w:rsidR="00123595" w:rsidRPr="006454B5" w:rsidRDefault="00123595" w:rsidP="00123595">
            <w:pPr>
              <w:spacing w:after="0" w:line="240" w:lineRule="auto"/>
              <w:rPr>
                <w:rFonts w:ascii="Arial" w:hAnsi="Arial" w:cs="Arial"/>
                <w:szCs w:val="20"/>
              </w:rPr>
            </w:pPr>
          </w:p>
        </w:tc>
        <w:tc>
          <w:tcPr>
            <w:tcW w:w="4106" w:type="dxa"/>
            <w:vAlign w:val="center"/>
          </w:tcPr>
          <w:p w14:paraId="059D9532"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Witnesses</w:t>
            </w:r>
          </w:p>
        </w:tc>
        <w:tc>
          <w:tcPr>
            <w:tcW w:w="0" w:type="auto"/>
            <w:gridSpan w:val="3"/>
            <w:vAlign w:val="center"/>
          </w:tcPr>
          <w:p w14:paraId="09714E73"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108</w:t>
            </w:r>
          </w:p>
        </w:tc>
        <w:tc>
          <w:tcPr>
            <w:tcW w:w="0" w:type="auto"/>
            <w:gridSpan w:val="3"/>
            <w:vAlign w:val="center"/>
          </w:tcPr>
          <w:p w14:paraId="5ADB367E"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24.2</w:t>
            </w:r>
          </w:p>
        </w:tc>
        <w:tc>
          <w:tcPr>
            <w:tcW w:w="964" w:type="dxa"/>
            <w:vAlign w:val="center"/>
          </w:tcPr>
          <w:p w14:paraId="26C659C4"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2F919D67" w14:textId="77777777" w:rsidTr="00492808">
        <w:trPr>
          <w:trHeight w:val="20"/>
        </w:trPr>
        <w:tc>
          <w:tcPr>
            <w:tcW w:w="2410" w:type="dxa"/>
            <w:vAlign w:val="center"/>
          </w:tcPr>
          <w:p w14:paraId="0169A5EE" w14:textId="77777777" w:rsidR="00123595" w:rsidRPr="006454B5" w:rsidRDefault="00123595" w:rsidP="00123595">
            <w:pPr>
              <w:spacing w:after="0" w:line="240" w:lineRule="auto"/>
              <w:rPr>
                <w:rFonts w:ascii="Arial" w:hAnsi="Arial" w:cs="Arial"/>
                <w:szCs w:val="20"/>
              </w:rPr>
            </w:pPr>
            <w:r w:rsidRPr="006454B5">
              <w:rPr>
                <w:rFonts w:ascii="Arial" w:hAnsi="Arial" w:cs="Arial"/>
                <w:i/>
                <w:iCs/>
                <w:szCs w:val="20"/>
                <w:u w:val="single"/>
              </w:rPr>
              <w:t>Police Investigation</w:t>
            </w:r>
          </w:p>
        </w:tc>
        <w:tc>
          <w:tcPr>
            <w:tcW w:w="4106" w:type="dxa"/>
            <w:vAlign w:val="center"/>
          </w:tcPr>
          <w:p w14:paraId="4D0F4412" w14:textId="77777777" w:rsidR="00123595" w:rsidRPr="006454B5" w:rsidRDefault="00123595" w:rsidP="00123595">
            <w:pPr>
              <w:spacing w:after="0" w:line="240" w:lineRule="auto"/>
              <w:jc w:val="center"/>
              <w:rPr>
                <w:rFonts w:ascii="Arial" w:hAnsi="Arial" w:cs="Arial"/>
                <w:szCs w:val="20"/>
              </w:rPr>
            </w:pPr>
          </w:p>
        </w:tc>
        <w:tc>
          <w:tcPr>
            <w:tcW w:w="0" w:type="auto"/>
            <w:gridSpan w:val="3"/>
            <w:vAlign w:val="center"/>
          </w:tcPr>
          <w:p w14:paraId="5DB3519C" w14:textId="77777777" w:rsidR="00123595" w:rsidRPr="006454B5" w:rsidRDefault="00123595" w:rsidP="00123595">
            <w:pPr>
              <w:spacing w:after="0" w:line="240" w:lineRule="auto"/>
              <w:jc w:val="center"/>
              <w:rPr>
                <w:rFonts w:ascii="Arial" w:hAnsi="Arial" w:cs="Arial"/>
                <w:szCs w:val="20"/>
              </w:rPr>
            </w:pPr>
          </w:p>
        </w:tc>
        <w:tc>
          <w:tcPr>
            <w:tcW w:w="0" w:type="auto"/>
            <w:gridSpan w:val="3"/>
            <w:vAlign w:val="center"/>
          </w:tcPr>
          <w:p w14:paraId="434EC8A1" w14:textId="77777777" w:rsidR="00123595" w:rsidRPr="006454B5" w:rsidRDefault="00123595" w:rsidP="00123595">
            <w:pPr>
              <w:spacing w:after="0" w:line="240" w:lineRule="auto"/>
              <w:jc w:val="center"/>
              <w:rPr>
                <w:rFonts w:ascii="Arial" w:hAnsi="Arial" w:cs="Arial"/>
                <w:szCs w:val="20"/>
              </w:rPr>
            </w:pPr>
          </w:p>
        </w:tc>
        <w:tc>
          <w:tcPr>
            <w:tcW w:w="964" w:type="dxa"/>
            <w:vAlign w:val="center"/>
          </w:tcPr>
          <w:p w14:paraId="4073A51A" w14:textId="77777777" w:rsidR="00123595" w:rsidRPr="006454B5" w:rsidRDefault="00123595" w:rsidP="00123595">
            <w:pPr>
              <w:spacing w:after="0" w:line="240" w:lineRule="auto"/>
              <w:jc w:val="center"/>
              <w:rPr>
                <w:rFonts w:ascii="Arial" w:hAnsi="Arial" w:cs="Arial"/>
                <w:szCs w:val="20"/>
              </w:rPr>
            </w:pPr>
          </w:p>
        </w:tc>
      </w:tr>
      <w:tr w:rsidR="00123595" w:rsidRPr="006454B5" w14:paraId="7E97D375" w14:textId="77777777" w:rsidTr="00492808">
        <w:trPr>
          <w:trHeight w:val="20"/>
        </w:trPr>
        <w:tc>
          <w:tcPr>
            <w:tcW w:w="2410" w:type="dxa"/>
            <w:vMerge w:val="restart"/>
          </w:tcPr>
          <w:p w14:paraId="005052C9" w14:textId="77777777" w:rsidR="00123595" w:rsidRPr="006454B5" w:rsidRDefault="00123595" w:rsidP="00123595">
            <w:pPr>
              <w:spacing w:after="0" w:line="240" w:lineRule="auto"/>
              <w:rPr>
                <w:rFonts w:ascii="Arial" w:hAnsi="Arial" w:cs="Arial"/>
                <w:szCs w:val="20"/>
              </w:rPr>
            </w:pPr>
            <w:r w:rsidRPr="006454B5">
              <w:rPr>
                <w:rFonts w:ascii="Arial" w:hAnsi="Arial" w:cs="Arial"/>
                <w:szCs w:val="20"/>
              </w:rPr>
              <w:t>Officers involved</w:t>
            </w:r>
          </w:p>
        </w:tc>
        <w:tc>
          <w:tcPr>
            <w:tcW w:w="4106" w:type="dxa"/>
            <w:vAlign w:val="center"/>
          </w:tcPr>
          <w:p w14:paraId="24849EBF" w14:textId="77777777" w:rsidR="00123595" w:rsidRPr="006454B5" w:rsidRDefault="00123595" w:rsidP="00123595">
            <w:pPr>
              <w:spacing w:after="0" w:line="240" w:lineRule="auto"/>
              <w:jc w:val="center"/>
              <w:rPr>
                <w:rFonts w:ascii="Arial" w:hAnsi="Arial" w:cs="Arial"/>
                <w:szCs w:val="20"/>
                <w:vertAlign w:val="superscript"/>
              </w:rPr>
            </w:pPr>
            <w:r w:rsidRPr="006454B5">
              <w:rPr>
                <w:rFonts w:ascii="Arial" w:hAnsi="Arial" w:cs="Arial"/>
                <w:szCs w:val="20"/>
              </w:rPr>
              <w:t>Sexual Offences Investigation Trained (SOIT) Officer involved</w:t>
            </w:r>
          </w:p>
        </w:tc>
        <w:tc>
          <w:tcPr>
            <w:tcW w:w="0" w:type="auto"/>
            <w:gridSpan w:val="3"/>
            <w:vAlign w:val="center"/>
          </w:tcPr>
          <w:p w14:paraId="0ECAC1EF"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326</w:t>
            </w:r>
          </w:p>
        </w:tc>
        <w:tc>
          <w:tcPr>
            <w:tcW w:w="0" w:type="auto"/>
            <w:gridSpan w:val="3"/>
            <w:vAlign w:val="center"/>
          </w:tcPr>
          <w:p w14:paraId="137EA6B3"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75.5</w:t>
            </w:r>
          </w:p>
        </w:tc>
        <w:tc>
          <w:tcPr>
            <w:tcW w:w="964" w:type="dxa"/>
            <w:vAlign w:val="center"/>
          </w:tcPr>
          <w:p w14:paraId="7CCDCF54"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15</w:t>
            </w:r>
          </w:p>
        </w:tc>
      </w:tr>
      <w:tr w:rsidR="00123595" w:rsidRPr="006454B5" w14:paraId="18B3E992" w14:textId="77777777" w:rsidTr="00492808">
        <w:trPr>
          <w:trHeight w:val="20"/>
        </w:trPr>
        <w:tc>
          <w:tcPr>
            <w:tcW w:w="2410" w:type="dxa"/>
            <w:vMerge/>
            <w:vAlign w:val="center"/>
          </w:tcPr>
          <w:p w14:paraId="219818C8" w14:textId="77777777" w:rsidR="00123595" w:rsidRPr="006454B5" w:rsidRDefault="00123595" w:rsidP="00123595">
            <w:pPr>
              <w:spacing w:after="0" w:line="240" w:lineRule="auto"/>
              <w:rPr>
                <w:rFonts w:ascii="Arial" w:hAnsi="Arial" w:cs="Arial"/>
                <w:szCs w:val="20"/>
              </w:rPr>
            </w:pPr>
          </w:p>
        </w:tc>
        <w:tc>
          <w:tcPr>
            <w:tcW w:w="4106" w:type="dxa"/>
            <w:vAlign w:val="center"/>
          </w:tcPr>
          <w:p w14:paraId="62FB6C13" w14:textId="77777777" w:rsidR="00123595" w:rsidRPr="006454B5" w:rsidRDefault="00123595" w:rsidP="00123595">
            <w:pPr>
              <w:spacing w:after="0" w:line="240" w:lineRule="auto"/>
              <w:jc w:val="center"/>
              <w:rPr>
                <w:rFonts w:ascii="Arial" w:hAnsi="Arial" w:cs="Arial"/>
                <w:szCs w:val="20"/>
                <w:vertAlign w:val="superscript"/>
              </w:rPr>
            </w:pPr>
            <w:r w:rsidRPr="006454B5">
              <w:rPr>
                <w:rFonts w:ascii="Arial" w:hAnsi="Arial" w:cs="Arial"/>
                <w:szCs w:val="20"/>
              </w:rPr>
              <w:t>Multiple Officers in Charge (OIC) involved</w:t>
            </w:r>
          </w:p>
        </w:tc>
        <w:tc>
          <w:tcPr>
            <w:tcW w:w="0" w:type="auto"/>
            <w:gridSpan w:val="3"/>
            <w:vAlign w:val="center"/>
          </w:tcPr>
          <w:p w14:paraId="626DF050"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418</w:t>
            </w:r>
          </w:p>
        </w:tc>
        <w:tc>
          <w:tcPr>
            <w:tcW w:w="0" w:type="auto"/>
            <w:gridSpan w:val="3"/>
            <w:vAlign w:val="center"/>
          </w:tcPr>
          <w:p w14:paraId="2EA91DFB"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93.7</w:t>
            </w:r>
          </w:p>
        </w:tc>
        <w:tc>
          <w:tcPr>
            <w:tcW w:w="964" w:type="dxa"/>
            <w:vAlign w:val="center"/>
          </w:tcPr>
          <w:p w14:paraId="28EFF5C2"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133E7D70" w14:textId="77777777" w:rsidTr="00492808">
        <w:trPr>
          <w:trHeight w:val="20"/>
        </w:trPr>
        <w:tc>
          <w:tcPr>
            <w:tcW w:w="2410" w:type="dxa"/>
            <w:vMerge w:val="restart"/>
          </w:tcPr>
          <w:p w14:paraId="49145490" w14:textId="77777777" w:rsidR="00123595" w:rsidRPr="006454B5" w:rsidRDefault="00123595" w:rsidP="00123595">
            <w:pPr>
              <w:spacing w:after="0" w:line="240" w:lineRule="auto"/>
              <w:rPr>
                <w:rFonts w:ascii="Arial" w:hAnsi="Arial" w:cs="Arial"/>
                <w:szCs w:val="20"/>
              </w:rPr>
            </w:pPr>
            <w:r w:rsidRPr="006454B5">
              <w:rPr>
                <w:rFonts w:ascii="Arial" w:hAnsi="Arial" w:cs="Arial"/>
                <w:szCs w:val="20"/>
              </w:rPr>
              <w:t>Police perceptions</w:t>
            </w:r>
          </w:p>
        </w:tc>
        <w:tc>
          <w:tcPr>
            <w:tcW w:w="4106" w:type="dxa"/>
            <w:vAlign w:val="center"/>
          </w:tcPr>
          <w:p w14:paraId="2BFCFFF1" w14:textId="5E53E0A0" w:rsidR="00123595" w:rsidRPr="006454B5" w:rsidRDefault="00123595" w:rsidP="00123595">
            <w:pPr>
              <w:spacing w:after="0" w:line="240" w:lineRule="auto"/>
              <w:jc w:val="center"/>
              <w:rPr>
                <w:rFonts w:ascii="Arial" w:hAnsi="Arial" w:cs="Arial"/>
                <w:szCs w:val="20"/>
                <w:vertAlign w:val="superscript"/>
              </w:rPr>
            </w:pPr>
            <w:r w:rsidRPr="006454B5">
              <w:rPr>
                <w:rFonts w:ascii="Arial" w:hAnsi="Arial" w:cs="Arial"/>
                <w:szCs w:val="20"/>
              </w:rPr>
              <w:t xml:space="preserve">Of chance of </w:t>
            </w:r>
            <w:proofErr w:type="spellStart"/>
            <w:r w:rsidRPr="006454B5">
              <w:rPr>
                <w:rFonts w:ascii="Arial" w:hAnsi="Arial" w:cs="Arial"/>
                <w:szCs w:val="20"/>
              </w:rPr>
              <w:t>conviction</w:t>
            </w:r>
            <w:r w:rsidR="00D5108D" w:rsidRPr="006454B5">
              <w:rPr>
                <w:rFonts w:ascii="Arial" w:hAnsi="Arial" w:cs="Arial"/>
                <w:szCs w:val="20"/>
                <w:vertAlign w:val="superscript"/>
              </w:rPr>
              <w:t>g</w:t>
            </w:r>
            <w:proofErr w:type="spellEnd"/>
          </w:p>
        </w:tc>
        <w:tc>
          <w:tcPr>
            <w:tcW w:w="0" w:type="auto"/>
            <w:gridSpan w:val="3"/>
            <w:vAlign w:val="center"/>
          </w:tcPr>
          <w:p w14:paraId="23F37C0C"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54</w:t>
            </w:r>
          </w:p>
        </w:tc>
        <w:tc>
          <w:tcPr>
            <w:tcW w:w="0" w:type="auto"/>
            <w:gridSpan w:val="3"/>
            <w:vAlign w:val="center"/>
          </w:tcPr>
          <w:p w14:paraId="4EEA9460"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12.1</w:t>
            </w:r>
          </w:p>
        </w:tc>
        <w:tc>
          <w:tcPr>
            <w:tcW w:w="964" w:type="dxa"/>
            <w:vAlign w:val="center"/>
          </w:tcPr>
          <w:p w14:paraId="184B13AC"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564D9B1D" w14:textId="77777777" w:rsidTr="00492808">
        <w:trPr>
          <w:trHeight w:val="20"/>
        </w:trPr>
        <w:tc>
          <w:tcPr>
            <w:tcW w:w="2410" w:type="dxa"/>
            <w:vMerge/>
            <w:vAlign w:val="center"/>
          </w:tcPr>
          <w:p w14:paraId="5F5EDDE5" w14:textId="77777777" w:rsidR="00123595" w:rsidRPr="006454B5" w:rsidRDefault="00123595" w:rsidP="00123595">
            <w:pPr>
              <w:spacing w:after="0" w:line="240" w:lineRule="auto"/>
              <w:rPr>
                <w:rFonts w:ascii="Arial" w:hAnsi="Arial" w:cs="Arial"/>
                <w:szCs w:val="20"/>
              </w:rPr>
            </w:pPr>
          </w:p>
        </w:tc>
        <w:tc>
          <w:tcPr>
            <w:tcW w:w="4106" w:type="dxa"/>
            <w:vAlign w:val="center"/>
          </w:tcPr>
          <w:p w14:paraId="55737A79"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Early advice sought from CPS</w:t>
            </w:r>
          </w:p>
        </w:tc>
        <w:tc>
          <w:tcPr>
            <w:tcW w:w="0" w:type="auto"/>
            <w:gridSpan w:val="3"/>
            <w:vAlign w:val="center"/>
          </w:tcPr>
          <w:p w14:paraId="4A2E5D75"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19</w:t>
            </w:r>
          </w:p>
        </w:tc>
        <w:tc>
          <w:tcPr>
            <w:tcW w:w="0" w:type="auto"/>
            <w:gridSpan w:val="3"/>
            <w:vAlign w:val="center"/>
          </w:tcPr>
          <w:p w14:paraId="6FC421C0"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4.3</w:t>
            </w:r>
          </w:p>
        </w:tc>
        <w:tc>
          <w:tcPr>
            <w:tcW w:w="964" w:type="dxa"/>
            <w:vAlign w:val="center"/>
          </w:tcPr>
          <w:p w14:paraId="524FB132"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41973128" w14:textId="77777777" w:rsidTr="00492808">
        <w:trPr>
          <w:trHeight w:val="20"/>
        </w:trPr>
        <w:tc>
          <w:tcPr>
            <w:tcW w:w="2410" w:type="dxa"/>
            <w:vMerge/>
            <w:vAlign w:val="center"/>
          </w:tcPr>
          <w:p w14:paraId="7A447A1A" w14:textId="77777777" w:rsidR="00123595" w:rsidRPr="006454B5" w:rsidRDefault="00123595" w:rsidP="00123595">
            <w:pPr>
              <w:spacing w:after="0" w:line="240" w:lineRule="auto"/>
              <w:rPr>
                <w:rFonts w:ascii="Arial" w:hAnsi="Arial" w:cs="Arial"/>
                <w:szCs w:val="20"/>
              </w:rPr>
            </w:pPr>
          </w:p>
        </w:tc>
        <w:tc>
          <w:tcPr>
            <w:tcW w:w="4106" w:type="dxa"/>
            <w:vAlign w:val="center"/>
          </w:tcPr>
          <w:p w14:paraId="300D3E18" w14:textId="52DD4259" w:rsidR="00123595" w:rsidRPr="006454B5" w:rsidRDefault="00123595" w:rsidP="00123595">
            <w:pPr>
              <w:spacing w:after="0" w:line="240" w:lineRule="auto"/>
              <w:jc w:val="center"/>
              <w:rPr>
                <w:rFonts w:ascii="Arial" w:hAnsi="Arial" w:cs="Arial"/>
                <w:szCs w:val="20"/>
                <w:vertAlign w:val="superscript"/>
              </w:rPr>
            </w:pPr>
            <w:r w:rsidRPr="006454B5">
              <w:rPr>
                <w:rFonts w:ascii="Arial" w:hAnsi="Arial" w:cs="Arial"/>
                <w:szCs w:val="20"/>
              </w:rPr>
              <w:t>Of victim credibility/</w:t>
            </w:r>
            <w:proofErr w:type="spellStart"/>
            <w:r w:rsidRPr="006454B5">
              <w:rPr>
                <w:rFonts w:ascii="Arial" w:hAnsi="Arial" w:cs="Arial"/>
                <w:szCs w:val="20"/>
              </w:rPr>
              <w:t>reliability</w:t>
            </w:r>
            <w:r w:rsidR="00D5108D" w:rsidRPr="006454B5">
              <w:rPr>
                <w:rFonts w:ascii="Arial" w:hAnsi="Arial" w:cs="Arial"/>
                <w:szCs w:val="20"/>
                <w:vertAlign w:val="superscript"/>
              </w:rPr>
              <w:t>h</w:t>
            </w:r>
            <w:proofErr w:type="spellEnd"/>
          </w:p>
        </w:tc>
        <w:tc>
          <w:tcPr>
            <w:tcW w:w="0" w:type="auto"/>
            <w:gridSpan w:val="3"/>
            <w:vAlign w:val="center"/>
          </w:tcPr>
          <w:p w14:paraId="0713E1EF"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81</w:t>
            </w:r>
          </w:p>
        </w:tc>
        <w:tc>
          <w:tcPr>
            <w:tcW w:w="0" w:type="auto"/>
            <w:gridSpan w:val="3"/>
            <w:vAlign w:val="center"/>
          </w:tcPr>
          <w:p w14:paraId="20CF3EAE"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18.2</w:t>
            </w:r>
          </w:p>
        </w:tc>
        <w:tc>
          <w:tcPr>
            <w:tcW w:w="964" w:type="dxa"/>
            <w:vAlign w:val="center"/>
          </w:tcPr>
          <w:p w14:paraId="49A45D2C"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0FD6ACB1" w14:textId="77777777" w:rsidTr="00492808">
        <w:trPr>
          <w:trHeight w:val="20"/>
        </w:trPr>
        <w:tc>
          <w:tcPr>
            <w:tcW w:w="2410" w:type="dxa"/>
            <w:vMerge/>
            <w:vAlign w:val="center"/>
          </w:tcPr>
          <w:p w14:paraId="6045B301" w14:textId="77777777" w:rsidR="00123595" w:rsidRPr="006454B5" w:rsidRDefault="00123595" w:rsidP="00123595">
            <w:pPr>
              <w:spacing w:after="0" w:line="240" w:lineRule="auto"/>
              <w:rPr>
                <w:rFonts w:ascii="Arial" w:hAnsi="Arial" w:cs="Arial"/>
                <w:szCs w:val="20"/>
              </w:rPr>
            </w:pPr>
          </w:p>
        </w:tc>
        <w:tc>
          <w:tcPr>
            <w:tcW w:w="4106" w:type="dxa"/>
            <w:vAlign w:val="center"/>
          </w:tcPr>
          <w:p w14:paraId="6CF127A5" w14:textId="0D474393" w:rsidR="00123595" w:rsidRPr="006454B5" w:rsidRDefault="00123595" w:rsidP="00123595">
            <w:pPr>
              <w:spacing w:after="0" w:line="240" w:lineRule="auto"/>
              <w:jc w:val="center"/>
              <w:rPr>
                <w:rFonts w:ascii="Arial" w:hAnsi="Arial" w:cs="Arial"/>
                <w:szCs w:val="20"/>
                <w:vertAlign w:val="superscript"/>
              </w:rPr>
            </w:pPr>
            <w:r w:rsidRPr="006454B5">
              <w:rPr>
                <w:rFonts w:ascii="Arial" w:hAnsi="Arial" w:cs="Arial"/>
                <w:szCs w:val="20"/>
              </w:rPr>
              <w:t xml:space="preserve">OIC expresses doubt about </w:t>
            </w:r>
            <w:proofErr w:type="spellStart"/>
            <w:r w:rsidRPr="006454B5">
              <w:rPr>
                <w:rFonts w:ascii="Arial" w:hAnsi="Arial" w:cs="Arial"/>
                <w:szCs w:val="20"/>
              </w:rPr>
              <w:t>case</w:t>
            </w:r>
            <w:r w:rsidR="00D5108D" w:rsidRPr="006454B5">
              <w:rPr>
                <w:rFonts w:ascii="Arial" w:hAnsi="Arial" w:cs="Arial"/>
                <w:szCs w:val="20"/>
                <w:vertAlign w:val="superscript"/>
              </w:rPr>
              <w:t>i</w:t>
            </w:r>
            <w:proofErr w:type="spellEnd"/>
          </w:p>
        </w:tc>
        <w:tc>
          <w:tcPr>
            <w:tcW w:w="0" w:type="auto"/>
            <w:gridSpan w:val="3"/>
            <w:vAlign w:val="center"/>
          </w:tcPr>
          <w:p w14:paraId="7A8ACF90"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62</w:t>
            </w:r>
          </w:p>
        </w:tc>
        <w:tc>
          <w:tcPr>
            <w:tcW w:w="0" w:type="auto"/>
            <w:gridSpan w:val="3"/>
            <w:vAlign w:val="center"/>
          </w:tcPr>
          <w:p w14:paraId="3A49B36F"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13.9</w:t>
            </w:r>
          </w:p>
        </w:tc>
        <w:tc>
          <w:tcPr>
            <w:tcW w:w="964" w:type="dxa"/>
            <w:vAlign w:val="center"/>
          </w:tcPr>
          <w:p w14:paraId="3875875C"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797BB98B" w14:textId="77777777" w:rsidTr="00492808">
        <w:trPr>
          <w:trHeight w:val="20"/>
        </w:trPr>
        <w:tc>
          <w:tcPr>
            <w:tcW w:w="2410" w:type="dxa"/>
            <w:vMerge w:val="restart"/>
          </w:tcPr>
          <w:p w14:paraId="39ABB4BA" w14:textId="77777777" w:rsidR="00123595" w:rsidRPr="006454B5" w:rsidRDefault="00123595" w:rsidP="00123595">
            <w:pPr>
              <w:spacing w:after="0" w:line="240" w:lineRule="auto"/>
              <w:rPr>
                <w:rFonts w:ascii="Arial" w:hAnsi="Arial" w:cs="Arial"/>
                <w:szCs w:val="20"/>
              </w:rPr>
            </w:pPr>
            <w:r w:rsidRPr="006454B5">
              <w:rPr>
                <w:rFonts w:ascii="Arial" w:hAnsi="Arial" w:cs="Arial"/>
                <w:szCs w:val="20"/>
              </w:rPr>
              <w:t>Police progress on case</w:t>
            </w:r>
          </w:p>
        </w:tc>
        <w:tc>
          <w:tcPr>
            <w:tcW w:w="4106" w:type="dxa"/>
            <w:vAlign w:val="center"/>
          </w:tcPr>
          <w:p w14:paraId="0B4126C7"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Victim difficult to contact</w:t>
            </w:r>
          </w:p>
        </w:tc>
        <w:tc>
          <w:tcPr>
            <w:tcW w:w="0" w:type="auto"/>
            <w:gridSpan w:val="3"/>
            <w:vAlign w:val="center"/>
          </w:tcPr>
          <w:p w14:paraId="5D7966A6"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151</w:t>
            </w:r>
          </w:p>
        </w:tc>
        <w:tc>
          <w:tcPr>
            <w:tcW w:w="0" w:type="auto"/>
            <w:gridSpan w:val="3"/>
            <w:vAlign w:val="center"/>
          </w:tcPr>
          <w:p w14:paraId="1563DDA7"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33.9</w:t>
            </w:r>
          </w:p>
        </w:tc>
        <w:tc>
          <w:tcPr>
            <w:tcW w:w="964" w:type="dxa"/>
            <w:vAlign w:val="center"/>
          </w:tcPr>
          <w:p w14:paraId="333AFFFF"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794E5309" w14:textId="77777777" w:rsidTr="00492808">
        <w:trPr>
          <w:trHeight w:val="20"/>
        </w:trPr>
        <w:tc>
          <w:tcPr>
            <w:tcW w:w="2410" w:type="dxa"/>
            <w:vMerge/>
            <w:vAlign w:val="center"/>
          </w:tcPr>
          <w:p w14:paraId="1A89F685" w14:textId="77777777" w:rsidR="00123595" w:rsidRPr="006454B5" w:rsidRDefault="00123595" w:rsidP="00123595">
            <w:pPr>
              <w:spacing w:after="0" w:line="240" w:lineRule="auto"/>
              <w:rPr>
                <w:rFonts w:ascii="Arial" w:hAnsi="Arial" w:cs="Arial"/>
                <w:szCs w:val="20"/>
              </w:rPr>
            </w:pPr>
          </w:p>
        </w:tc>
        <w:tc>
          <w:tcPr>
            <w:tcW w:w="4106" w:type="dxa"/>
            <w:vAlign w:val="center"/>
          </w:tcPr>
          <w:p w14:paraId="39C30AE2"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Delays due to workload</w:t>
            </w:r>
          </w:p>
        </w:tc>
        <w:tc>
          <w:tcPr>
            <w:tcW w:w="0" w:type="auto"/>
            <w:gridSpan w:val="3"/>
            <w:vAlign w:val="center"/>
          </w:tcPr>
          <w:p w14:paraId="0A854D48"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97</w:t>
            </w:r>
          </w:p>
        </w:tc>
        <w:tc>
          <w:tcPr>
            <w:tcW w:w="0" w:type="auto"/>
            <w:gridSpan w:val="3"/>
            <w:vAlign w:val="center"/>
          </w:tcPr>
          <w:p w14:paraId="36F27A14"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21.7</w:t>
            </w:r>
          </w:p>
        </w:tc>
        <w:tc>
          <w:tcPr>
            <w:tcW w:w="964" w:type="dxa"/>
            <w:vAlign w:val="center"/>
          </w:tcPr>
          <w:p w14:paraId="0F423094"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5AE509BE" w14:textId="77777777" w:rsidTr="00492808">
        <w:trPr>
          <w:trHeight w:val="20"/>
        </w:trPr>
        <w:tc>
          <w:tcPr>
            <w:tcW w:w="2410" w:type="dxa"/>
            <w:vMerge w:val="restart"/>
          </w:tcPr>
          <w:p w14:paraId="4CD48617" w14:textId="77777777" w:rsidR="00123595" w:rsidRPr="006454B5" w:rsidRDefault="00123595" w:rsidP="00123595">
            <w:pPr>
              <w:spacing w:after="0" w:line="240" w:lineRule="auto"/>
              <w:rPr>
                <w:rFonts w:ascii="Arial" w:hAnsi="Arial" w:cs="Arial"/>
                <w:szCs w:val="20"/>
              </w:rPr>
            </w:pPr>
            <w:r w:rsidRPr="006454B5">
              <w:rPr>
                <w:rFonts w:ascii="Arial" w:hAnsi="Arial" w:cs="Arial"/>
                <w:szCs w:val="20"/>
              </w:rPr>
              <w:t>Investigation milestones</w:t>
            </w:r>
          </w:p>
        </w:tc>
        <w:tc>
          <w:tcPr>
            <w:tcW w:w="4106" w:type="dxa"/>
            <w:vAlign w:val="center"/>
          </w:tcPr>
          <w:p w14:paraId="10290A15"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Suspect identified</w:t>
            </w:r>
          </w:p>
        </w:tc>
        <w:tc>
          <w:tcPr>
            <w:tcW w:w="0" w:type="auto"/>
            <w:gridSpan w:val="3"/>
            <w:vAlign w:val="center"/>
          </w:tcPr>
          <w:p w14:paraId="1174866C"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278</w:t>
            </w:r>
          </w:p>
        </w:tc>
        <w:tc>
          <w:tcPr>
            <w:tcW w:w="0" w:type="auto"/>
            <w:gridSpan w:val="3"/>
            <w:vAlign w:val="center"/>
          </w:tcPr>
          <w:p w14:paraId="3E5598F4"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62.3</w:t>
            </w:r>
          </w:p>
        </w:tc>
        <w:tc>
          <w:tcPr>
            <w:tcW w:w="964" w:type="dxa"/>
            <w:vAlign w:val="center"/>
          </w:tcPr>
          <w:p w14:paraId="74D9998F"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6D8B578D" w14:textId="77777777" w:rsidTr="00492808">
        <w:trPr>
          <w:trHeight w:val="20"/>
        </w:trPr>
        <w:tc>
          <w:tcPr>
            <w:tcW w:w="2410" w:type="dxa"/>
            <w:vMerge/>
            <w:vAlign w:val="center"/>
          </w:tcPr>
          <w:p w14:paraId="1FB3B589" w14:textId="77777777" w:rsidR="00123595" w:rsidRPr="006454B5" w:rsidRDefault="00123595" w:rsidP="00123595">
            <w:pPr>
              <w:spacing w:after="0" w:line="240" w:lineRule="auto"/>
              <w:rPr>
                <w:rFonts w:ascii="Arial" w:hAnsi="Arial" w:cs="Arial"/>
                <w:szCs w:val="20"/>
              </w:rPr>
            </w:pPr>
          </w:p>
        </w:tc>
        <w:tc>
          <w:tcPr>
            <w:tcW w:w="4106" w:type="dxa"/>
            <w:vAlign w:val="center"/>
          </w:tcPr>
          <w:p w14:paraId="4C4817BE"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Suspect arrested</w:t>
            </w:r>
          </w:p>
        </w:tc>
        <w:tc>
          <w:tcPr>
            <w:tcW w:w="0" w:type="auto"/>
            <w:gridSpan w:val="3"/>
            <w:vAlign w:val="center"/>
          </w:tcPr>
          <w:p w14:paraId="04C3BF1A"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143</w:t>
            </w:r>
          </w:p>
        </w:tc>
        <w:tc>
          <w:tcPr>
            <w:tcW w:w="0" w:type="auto"/>
            <w:gridSpan w:val="3"/>
            <w:vAlign w:val="center"/>
          </w:tcPr>
          <w:p w14:paraId="6486EB36"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32.1</w:t>
            </w:r>
          </w:p>
        </w:tc>
        <w:tc>
          <w:tcPr>
            <w:tcW w:w="964" w:type="dxa"/>
            <w:vAlign w:val="center"/>
          </w:tcPr>
          <w:p w14:paraId="26FA5B3F"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023EFE4E" w14:textId="77777777" w:rsidTr="00492808">
        <w:trPr>
          <w:trHeight w:val="20"/>
        </w:trPr>
        <w:tc>
          <w:tcPr>
            <w:tcW w:w="2410" w:type="dxa"/>
            <w:vMerge/>
          </w:tcPr>
          <w:p w14:paraId="15AAA9FF" w14:textId="77777777" w:rsidR="00123595" w:rsidRPr="006454B5" w:rsidRDefault="00123595" w:rsidP="00123595">
            <w:pPr>
              <w:spacing w:after="0" w:line="240" w:lineRule="auto"/>
              <w:rPr>
                <w:rFonts w:ascii="Arial" w:hAnsi="Arial" w:cs="Arial"/>
                <w:szCs w:val="20"/>
              </w:rPr>
            </w:pPr>
          </w:p>
        </w:tc>
        <w:tc>
          <w:tcPr>
            <w:tcW w:w="4106" w:type="dxa"/>
            <w:vAlign w:val="center"/>
          </w:tcPr>
          <w:p w14:paraId="4F485328"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Suspect interviewed under caution</w:t>
            </w:r>
          </w:p>
        </w:tc>
        <w:tc>
          <w:tcPr>
            <w:tcW w:w="0" w:type="auto"/>
            <w:gridSpan w:val="3"/>
            <w:vAlign w:val="center"/>
          </w:tcPr>
          <w:p w14:paraId="24AB163A"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99</w:t>
            </w:r>
          </w:p>
        </w:tc>
        <w:tc>
          <w:tcPr>
            <w:tcW w:w="0" w:type="auto"/>
            <w:gridSpan w:val="3"/>
            <w:vAlign w:val="center"/>
          </w:tcPr>
          <w:p w14:paraId="528069BD"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22.2</w:t>
            </w:r>
          </w:p>
        </w:tc>
        <w:tc>
          <w:tcPr>
            <w:tcW w:w="964" w:type="dxa"/>
            <w:vAlign w:val="center"/>
          </w:tcPr>
          <w:p w14:paraId="23655A1E"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71F53962" w14:textId="77777777" w:rsidTr="00492808">
        <w:trPr>
          <w:trHeight w:val="20"/>
        </w:trPr>
        <w:tc>
          <w:tcPr>
            <w:tcW w:w="2410" w:type="dxa"/>
          </w:tcPr>
          <w:p w14:paraId="45AE9BCD" w14:textId="77777777" w:rsidR="00123595" w:rsidRPr="006454B5" w:rsidRDefault="00123595" w:rsidP="00123595">
            <w:pPr>
              <w:spacing w:after="0" w:line="240" w:lineRule="auto"/>
              <w:rPr>
                <w:rFonts w:ascii="Arial" w:hAnsi="Arial" w:cs="Arial"/>
                <w:i/>
                <w:iCs/>
                <w:szCs w:val="20"/>
                <w:u w:val="single"/>
              </w:rPr>
            </w:pPr>
            <w:r w:rsidRPr="006454B5">
              <w:rPr>
                <w:rFonts w:ascii="Arial" w:hAnsi="Arial" w:cs="Arial"/>
                <w:i/>
                <w:iCs/>
                <w:szCs w:val="20"/>
                <w:u w:val="single"/>
              </w:rPr>
              <w:t>Victim Support</w:t>
            </w:r>
          </w:p>
        </w:tc>
        <w:tc>
          <w:tcPr>
            <w:tcW w:w="4106" w:type="dxa"/>
            <w:vAlign w:val="center"/>
          </w:tcPr>
          <w:p w14:paraId="569BDA6B" w14:textId="77777777" w:rsidR="00123595" w:rsidRPr="006454B5" w:rsidRDefault="00123595" w:rsidP="00123595">
            <w:pPr>
              <w:spacing w:after="0" w:line="240" w:lineRule="auto"/>
              <w:jc w:val="center"/>
              <w:rPr>
                <w:rFonts w:ascii="Arial" w:hAnsi="Arial" w:cs="Arial"/>
                <w:szCs w:val="20"/>
              </w:rPr>
            </w:pPr>
          </w:p>
        </w:tc>
        <w:tc>
          <w:tcPr>
            <w:tcW w:w="0" w:type="auto"/>
            <w:gridSpan w:val="3"/>
            <w:vAlign w:val="center"/>
          </w:tcPr>
          <w:p w14:paraId="34172EA3" w14:textId="77777777" w:rsidR="00123595" w:rsidRPr="006454B5" w:rsidRDefault="00123595" w:rsidP="00123595">
            <w:pPr>
              <w:spacing w:after="0" w:line="240" w:lineRule="auto"/>
              <w:jc w:val="center"/>
              <w:rPr>
                <w:rFonts w:ascii="Arial" w:hAnsi="Arial" w:cs="Arial"/>
                <w:szCs w:val="20"/>
              </w:rPr>
            </w:pPr>
          </w:p>
        </w:tc>
        <w:tc>
          <w:tcPr>
            <w:tcW w:w="0" w:type="auto"/>
            <w:gridSpan w:val="3"/>
            <w:vAlign w:val="center"/>
          </w:tcPr>
          <w:p w14:paraId="7864EF0A" w14:textId="77777777" w:rsidR="00123595" w:rsidRPr="006454B5" w:rsidRDefault="00123595" w:rsidP="00123595">
            <w:pPr>
              <w:spacing w:after="0" w:line="240" w:lineRule="auto"/>
              <w:jc w:val="center"/>
              <w:rPr>
                <w:rFonts w:ascii="Arial" w:hAnsi="Arial" w:cs="Arial"/>
                <w:szCs w:val="20"/>
              </w:rPr>
            </w:pPr>
          </w:p>
        </w:tc>
        <w:tc>
          <w:tcPr>
            <w:tcW w:w="964" w:type="dxa"/>
            <w:vAlign w:val="center"/>
          </w:tcPr>
          <w:p w14:paraId="53334BF1" w14:textId="77777777" w:rsidR="00123595" w:rsidRPr="006454B5" w:rsidRDefault="00123595" w:rsidP="00123595">
            <w:pPr>
              <w:spacing w:after="0" w:line="240" w:lineRule="auto"/>
              <w:jc w:val="center"/>
              <w:rPr>
                <w:rFonts w:ascii="Arial" w:hAnsi="Arial" w:cs="Arial"/>
                <w:szCs w:val="20"/>
              </w:rPr>
            </w:pPr>
          </w:p>
        </w:tc>
      </w:tr>
      <w:tr w:rsidR="00123595" w:rsidRPr="006454B5" w14:paraId="436A4CED" w14:textId="77777777" w:rsidTr="00492808">
        <w:trPr>
          <w:trHeight w:val="20"/>
        </w:trPr>
        <w:tc>
          <w:tcPr>
            <w:tcW w:w="2410" w:type="dxa"/>
            <w:vAlign w:val="center"/>
          </w:tcPr>
          <w:p w14:paraId="67A766D3" w14:textId="77777777" w:rsidR="00123595" w:rsidRPr="006454B5" w:rsidRDefault="00123595" w:rsidP="00123595">
            <w:pPr>
              <w:spacing w:after="0" w:line="240" w:lineRule="auto"/>
              <w:rPr>
                <w:rFonts w:ascii="Arial" w:hAnsi="Arial" w:cs="Arial"/>
                <w:szCs w:val="20"/>
              </w:rPr>
            </w:pPr>
            <w:r w:rsidRPr="006454B5">
              <w:rPr>
                <w:rFonts w:ascii="Arial" w:hAnsi="Arial" w:cs="Arial"/>
                <w:szCs w:val="20"/>
              </w:rPr>
              <w:t>Support received</w:t>
            </w:r>
          </w:p>
        </w:tc>
        <w:tc>
          <w:tcPr>
            <w:tcW w:w="4106" w:type="dxa"/>
            <w:vAlign w:val="center"/>
          </w:tcPr>
          <w:p w14:paraId="1C20A12B"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Independent Sexual Violence Advocate</w:t>
            </w:r>
          </w:p>
        </w:tc>
        <w:tc>
          <w:tcPr>
            <w:tcW w:w="0" w:type="auto"/>
            <w:gridSpan w:val="3"/>
            <w:vAlign w:val="center"/>
          </w:tcPr>
          <w:p w14:paraId="2AD3B368"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60</w:t>
            </w:r>
          </w:p>
        </w:tc>
        <w:tc>
          <w:tcPr>
            <w:tcW w:w="0" w:type="auto"/>
            <w:gridSpan w:val="3"/>
            <w:vAlign w:val="center"/>
          </w:tcPr>
          <w:p w14:paraId="16966CE2"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13.5</w:t>
            </w:r>
          </w:p>
        </w:tc>
        <w:tc>
          <w:tcPr>
            <w:tcW w:w="964" w:type="dxa"/>
            <w:vAlign w:val="center"/>
          </w:tcPr>
          <w:p w14:paraId="23DBD43F"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35DBE03E" w14:textId="77777777" w:rsidTr="00492808">
        <w:trPr>
          <w:trHeight w:val="20"/>
        </w:trPr>
        <w:tc>
          <w:tcPr>
            <w:tcW w:w="2410" w:type="dxa"/>
            <w:tcBorders>
              <w:bottom w:val="single" w:sz="4" w:space="0" w:color="auto"/>
            </w:tcBorders>
            <w:vAlign w:val="center"/>
          </w:tcPr>
          <w:p w14:paraId="60160A58" w14:textId="77777777" w:rsidR="00123595" w:rsidRPr="006454B5" w:rsidRDefault="00123595" w:rsidP="00123595">
            <w:pPr>
              <w:spacing w:after="0" w:line="240" w:lineRule="auto"/>
              <w:rPr>
                <w:rFonts w:ascii="Arial" w:hAnsi="Arial" w:cs="Arial"/>
                <w:szCs w:val="20"/>
              </w:rPr>
            </w:pPr>
          </w:p>
        </w:tc>
        <w:tc>
          <w:tcPr>
            <w:tcW w:w="4106" w:type="dxa"/>
            <w:tcBorders>
              <w:bottom w:val="single" w:sz="4" w:space="0" w:color="auto"/>
            </w:tcBorders>
            <w:vAlign w:val="center"/>
          </w:tcPr>
          <w:p w14:paraId="4897C189" w14:textId="77777777" w:rsidR="00123595" w:rsidRPr="006454B5" w:rsidRDefault="00123595" w:rsidP="00123595">
            <w:pPr>
              <w:spacing w:after="0" w:line="240" w:lineRule="auto"/>
              <w:jc w:val="center"/>
              <w:rPr>
                <w:rFonts w:ascii="Arial" w:hAnsi="Arial" w:cs="Arial"/>
                <w:szCs w:val="20"/>
                <w:vertAlign w:val="superscript"/>
              </w:rPr>
            </w:pPr>
            <w:r w:rsidRPr="006454B5">
              <w:rPr>
                <w:rFonts w:ascii="Arial" w:hAnsi="Arial" w:cs="Arial"/>
                <w:szCs w:val="20"/>
              </w:rPr>
              <w:t>Rape Crisis Centre</w:t>
            </w:r>
          </w:p>
        </w:tc>
        <w:tc>
          <w:tcPr>
            <w:tcW w:w="0" w:type="auto"/>
            <w:gridSpan w:val="3"/>
            <w:tcBorders>
              <w:bottom w:val="single" w:sz="4" w:space="0" w:color="auto"/>
            </w:tcBorders>
            <w:vAlign w:val="center"/>
          </w:tcPr>
          <w:p w14:paraId="00E8905F"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39</w:t>
            </w:r>
          </w:p>
        </w:tc>
        <w:tc>
          <w:tcPr>
            <w:tcW w:w="0" w:type="auto"/>
            <w:gridSpan w:val="3"/>
            <w:tcBorders>
              <w:bottom w:val="single" w:sz="4" w:space="0" w:color="auto"/>
            </w:tcBorders>
            <w:vAlign w:val="center"/>
          </w:tcPr>
          <w:p w14:paraId="74F739B1"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8.7</w:t>
            </w:r>
          </w:p>
        </w:tc>
        <w:tc>
          <w:tcPr>
            <w:tcW w:w="964" w:type="dxa"/>
            <w:tcBorders>
              <w:bottom w:val="single" w:sz="4" w:space="0" w:color="auto"/>
            </w:tcBorders>
            <w:vAlign w:val="center"/>
          </w:tcPr>
          <w:p w14:paraId="4B6D2972"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r w:rsidR="00123595" w:rsidRPr="006454B5" w14:paraId="705959CD" w14:textId="77777777" w:rsidTr="00492808">
        <w:trPr>
          <w:trHeight w:val="20"/>
        </w:trPr>
        <w:tc>
          <w:tcPr>
            <w:tcW w:w="9356" w:type="dxa"/>
            <w:gridSpan w:val="9"/>
            <w:tcBorders>
              <w:top w:val="single" w:sz="4" w:space="0" w:color="auto"/>
            </w:tcBorders>
            <w:vAlign w:val="center"/>
          </w:tcPr>
          <w:p w14:paraId="2EF0848C" w14:textId="77777777" w:rsidR="00862379" w:rsidRPr="006454B5" w:rsidRDefault="00862379" w:rsidP="00862379">
            <w:pPr>
              <w:spacing w:after="0" w:line="240" w:lineRule="auto"/>
              <w:rPr>
                <w:rFonts w:ascii="Arial" w:hAnsi="Arial" w:cs="Arial"/>
                <w:szCs w:val="20"/>
                <w:vertAlign w:val="superscript"/>
              </w:rPr>
            </w:pPr>
          </w:p>
          <w:p w14:paraId="4F367E98" w14:textId="6529BAFF" w:rsidR="00123595" w:rsidRPr="006454B5" w:rsidRDefault="00123595" w:rsidP="00862379">
            <w:pPr>
              <w:spacing w:after="0" w:line="240" w:lineRule="auto"/>
              <w:ind w:left="-110"/>
              <w:rPr>
                <w:rFonts w:ascii="Arial" w:hAnsi="Arial" w:cs="Arial"/>
                <w:szCs w:val="20"/>
              </w:rPr>
            </w:pPr>
            <w:proofErr w:type="spellStart"/>
            <w:proofErr w:type="gramStart"/>
            <w:r w:rsidRPr="006454B5">
              <w:rPr>
                <w:rFonts w:ascii="Arial" w:hAnsi="Arial" w:cs="Arial"/>
                <w:szCs w:val="20"/>
                <w:vertAlign w:val="superscript"/>
              </w:rPr>
              <w:t>a</w:t>
            </w:r>
            <w:proofErr w:type="spellEnd"/>
            <w:proofErr w:type="gramEnd"/>
            <w:r w:rsidRPr="006454B5">
              <w:rPr>
                <w:rFonts w:ascii="Arial" w:hAnsi="Arial" w:cs="Arial"/>
                <w:szCs w:val="20"/>
                <w:vertAlign w:val="superscript"/>
              </w:rPr>
              <w:t xml:space="preserve"> </w:t>
            </w:r>
            <w:r w:rsidRPr="006454B5">
              <w:rPr>
                <w:rFonts w:ascii="Arial" w:hAnsi="Arial" w:cs="Arial"/>
                <w:szCs w:val="20"/>
              </w:rPr>
              <w:t>The Domestic Abuse, Stalking and Honour Based Violence (DASH) model requires police to use a common checklist for identifying, assessing and managing risk in domestic abuse cases</w:t>
            </w:r>
            <w:r w:rsidR="007E1DE0" w:rsidRPr="006454B5">
              <w:rPr>
                <w:rFonts w:ascii="Arial" w:hAnsi="Arial" w:cs="Arial"/>
                <w:szCs w:val="20"/>
              </w:rPr>
              <w:t>.</w:t>
            </w:r>
            <w:r w:rsidRPr="006454B5">
              <w:rPr>
                <w:rFonts w:ascii="Arial" w:hAnsi="Arial" w:cs="Arial"/>
                <w:szCs w:val="20"/>
              </w:rPr>
              <w:br/>
            </w:r>
            <w:proofErr w:type="gramStart"/>
            <w:r w:rsidRPr="006454B5">
              <w:rPr>
                <w:rFonts w:ascii="Arial" w:hAnsi="Arial" w:cs="Arial"/>
                <w:szCs w:val="20"/>
                <w:vertAlign w:val="superscript"/>
              </w:rPr>
              <w:t>b</w:t>
            </w:r>
            <w:proofErr w:type="gramEnd"/>
            <w:r w:rsidRPr="006454B5">
              <w:rPr>
                <w:rFonts w:ascii="Arial" w:hAnsi="Arial" w:cs="Arial"/>
                <w:szCs w:val="20"/>
                <w:vertAlign w:val="superscript"/>
              </w:rPr>
              <w:t xml:space="preserve"> </w:t>
            </w:r>
            <w:r w:rsidRPr="006454B5">
              <w:rPr>
                <w:rFonts w:ascii="Arial" w:hAnsi="Arial" w:cs="Arial"/>
                <w:szCs w:val="20"/>
              </w:rPr>
              <w:t>Sexual Assault Referral Centres are referred to as Haven Centres in the London area</w:t>
            </w:r>
            <w:r w:rsidR="007E1DE0" w:rsidRPr="006454B5">
              <w:rPr>
                <w:rFonts w:ascii="Arial" w:hAnsi="Arial" w:cs="Arial"/>
                <w:szCs w:val="20"/>
              </w:rPr>
              <w:t>.</w:t>
            </w:r>
            <w:r w:rsidRPr="006454B5">
              <w:rPr>
                <w:rFonts w:ascii="Arial" w:hAnsi="Arial" w:cs="Arial"/>
                <w:szCs w:val="20"/>
              </w:rPr>
              <w:t xml:space="preserve"> </w:t>
            </w:r>
          </w:p>
          <w:p w14:paraId="0CF7C1F3" w14:textId="556C1DF9" w:rsidR="00D5108D" w:rsidRPr="006454B5" w:rsidRDefault="00D5108D" w:rsidP="00862379">
            <w:pPr>
              <w:spacing w:after="0" w:line="240" w:lineRule="auto"/>
              <w:ind w:left="-110"/>
              <w:rPr>
                <w:rFonts w:ascii="Arial" w:hAnsi="Arial" w:cs="Arial"/>
                <w:szCs w:val="20"/>
              </w:rPr>
            </w:pPr>
            <w:proofErr w:type="gramStart"/>
            <w:r w:rsidRPr="006454B5">
              <w:rPr>
                <w:rFonts w:ascii="Arial" w:hAnsi="Arial" w:cs="Arial"/>
                <w:szCs w:val="20"/>
                <w:vertAlign w:val="superscript"/>
              </w:rPr>
              <w:t>c</w:t>
            </w:r>
            <w:proofErr w:type="gramEnd"/>
            <w:r w:rsidRPr="006454B5">
              <w:rPr>
                <w:rFonts w:ascii="Arial" w:hAnsi="Arial" w:cs="Arial"/>
                <w:szCs w:val="20"/>
              </w:rPr>
              <w:t xml:space="preserve"> Requested technology most commonly refers to a mobile phone, but can include, but is not limited to, other forms such as laptops, tablets, desktop computers, and other electronic communication devices.</w:t>
            </w:r>
          </w:p>
          <w:p w14:paraId="78A35F69" w14:textId="01F81FD2" w:rsidR="00123595" w:rsidRPr="006454B5" w:rsidRDefault="00D5108D" w:rsidP="00862379">
            <w:pPr>
              <w:spacing w:after="0" w:line="240" w:lineRule="auto"/>
              <w:ind w:left="-110"/>
              <w:rPr>
                <w:rFonts w:ascii="Arial" w:hAnsi="Arial" w:cs="Arial"/>
                <w:szCs w:val="20"/>
              </w:rPr>
            </w:pPr>
            <w:proofErr w:type="gramStart"/>
            <w:r w:rsidRPr="006454B5">
              <w:rPr>
                <w:rFonts w:ascii="Arial" w:hAnsi="Arial" w:cs="Arial"/>
                <w:szCs w:val="20"/>
                <w:vertAlign w:val="superscript"/>
              </w:rPr>
              <w:t>d</w:t>
            </w:r>
            <w:proofErr w:type="gramEnd"/>
            <w:r w:rsidR="00123595" w:rsidRPr="006454B5">
              <w:rPr>
                <w:rFonts w:ascii="Arial" w:hAnsi="Arial" w:cs="Arial"/>
                <w:szCs w:val="20"/>
                <w:vertAlign w:val="superscript"/>
              </w:rPr>
              <w:t xml:space="preserve"> </w:t>
            </w:r>
            <w:r w:rsidR="00123595" w:rsidRPr="006454B5">
              <w:rPr>
                <w:rFonts w:ascii="Arial" w:hAnsi="Arial" w:cs="Arial"/>
                <w:szCs w:val="20"/>
              </w:rPr>
              <w:t>Refers to cases in which technology from the victim or suspect was available for investigation</w:t>
            </w:r>
            <w:r w:rsidR="007E1DE0" w:rsidRPr="006454B5">
              <w:rPr>
                <w:rFonts w:ascii="Arial" w:hAnsi="Arial" w:cs="Arial"/>
                <w:szCs w:val="20"/>
              </w:rPr>
              <w:t>.</w:t>
            </w:r>
          </w:p>
          <w:p w14:paraId="52F84936" w14:textId="61D5A333" w:rsidR="007E1DE0" w:rsidRPr="006454B5" w:rsidRDefault="00D5108D" w:rsidP="00862379">
            <w:pPr>
              <w:spacing w:after="0" w:line="240" w:lineRule="auto"/>
              <w:ind w:left="-110"/>
              <w:rPr>
                <w:rFonts w:ascii="Arial" w:hAnsi="Arial" w:cs="Arial"/>
                <w:szCs w:val="20"/>
              </w:rPr>
            </w:pPr>
            <w:proofErr w:type="gramStart"/>
            <w:r w:rsidRPr="006454B5">
              <w:rPr>
                <w:rFonts w:ascii="Arial" w:hAnsi="Arial" w:cs="Arial"/>
                <w:szCs w:val="20"/>
                <w:vertAlign w:val="superscript"/>
              </w:rPr>
              <w:t>e</w:t>
            </w:r>
            <w:proofErr w:type="gramEnd"/>
            <w:r w:rsidR="00123595" w:rsidRPr="006454B5">
              <w:rPr>
                <w:rFonts w:ascii="Arial" w:hAnsi="Arial" w:cs="Arial"/>
                <w:szCs w:val="20"/>
                <w:vertAlign w:val="superscript"/>
              </w:rPr>
              <w:t xml:space="preserve"> </w:t>
            </w:r>
            <w:r w:rsidR="00123595" w:rsidRPr="006454B5">
              <w:rPr>
                <w:rFonts w:ascii="Arial" w:hAnsi="Arial" w:cs="Arial"/>
                <w:szCs w:val="20"/>
              </w:rPr>
              <w:t>Indicates that social networking sites were implicated in the incident and examined as part of the investigation</w:t>
            </w:r>
            <w:r w:rsidR="007E1DE0" w:rsidRPr="006454B5">
              <w:rPr>
                <w:rFonts w:ascii="Arial" w:hAnsi="Arial" w:cs="Arial"/>
                <w:szCs w:val="20"/>
              </w:rPr>
              <w:t>.</w:t>
            </w:r>
            <w:r w:rsidR="00123595" w:rsidRPr="006454B5">
              <w:rPr>
                <w:rFonts w:ascii="Arial" w:hAnsi="Arial" w:cs="Arial"/>
                <w:szCs w:val="20"/>
              </w:rPr>
              <w:br/>
            </w:r>
            <w:proofErr w:type="gramStart"/>
            <w:r w:rsidRPr="006454B5">
              <w:rPr>
                <w:rFonts w:ascii="Arial" w:hAnsi="Arial" w:cs="Arial"/>
                <w:szCs w:val="20"/>
                <w:vertAlign w:val="superscript"/>
              </w:rPr>
              <w:t>f</w:t>
            </w:r>
            <w:proofErr w:type="gramEnd"/>
            <w:r w:rsidR="00123595" w:rsidRPr="006454B5">
              <w:rPr>
                <w:rFonts w:ascii="Arial" w:hAnsi="Arial" w:cs="Arial"/>
                <w:szCs w:val="20"/>
                <w:vertAlign w:val="superscript"/>
              </w:rPr>
              <w:t xml:space="preserve"> </w:t>
            </w:r>
            <w:r w:rsidR="00123595" w:rsidRPr="006454B5">
              <w:rPr>
                <w:rFonts w:ascii="Arial" w:hAnsi="Arial" w:cs="Arial"/>
                <w:szCs w:val="20"/>
              </w:rPr>
              <w:t>Refers to cases where information from third party bodies (e.g. General Practitioner notes, information from social services) has been requested by police</w:t>
            </w:r>
            <w:r w:rsidR="007E1DE0" w:rsidRPr="006454B5">
              <w:rPr>
                <w:rFonts w:ascii="Arial" w:hAnsi="Arial" w:cs="Arial"/>
                <w:szCs w:val="20"/>
              </w:rPr>
              <w:t>.</w:t>
            </w:r>
          </w:p>
          <w:p w14:paraId="747AC052" w14:textId="23FB6152" w:rsidR="00123595" w:rsidRPr="006454B5" w:rsidRDefault="00D5108D" w:rsidP="00862379">
            <w:pPr>
              <w:spacing w:after="0" w:line="240" w:lineRule="auto"/>
              <w:ind w:left="-110"/>
              <w:rPr>
                <w:rFonts w:ascii="Arial" w:hAnsi="Arial" w:cs="Arial"/>
                <w:szCs w:val="20"/>
              </w:rPr>
            </w:pPr>
            <w:proofErr w:type="gramStart"/>
            <w:r w:rsidRPr="006454B5">
              <w:rPr>
                <w:rFonts w:ascii="Arial" w:hAnsi="Arial" w:cs="Arial"/>
                <w:szCs w:val="20"/>
                <w:vertAlign w:val="superscript"/>
              </w:rPr>
              <w:t>g</w:t>
            </w:r>
            <w:proofErr w:type="gramEnd"/>
            <w:r w:rsidR="007E1DE0" w:rsidRPr="006454B5">
              <w:rPr>
                <w:rFonts w:ascii="Arial" w:hAnsi="Arial" w:cs="Arial"/>
                <w:szCs w:val="20"/>
              </w:rPr>
              <w:t xml:space="preserve"> In CRIS notes, </w:t>
            </w:r>
            <w:r w:rsidR="001F4320" w:rsidRPr="006454B5">
              <w:rPr>
                <w:rFonts w:ascii="Arial" w:hAnsi="Arial" w:cs="Arial"/>
                <w:szCs w:val="20"/>
              </w:rPr>
              <w:t xml:space="preserve">cases where </w:t>
            </w:r>
            <w:r w:rsidR="007E1DE0" w:rsidRPr="006454B5">
              <w:rPr>
                <w:rFonts w:ascii="Arial" w:hAnsi="Arial" w:cs="Arial"/>
                <w:szCs w:val="20"/>
              </w:rPr>
              <w:t>officer expresses doubts relating to chances of conviction.</w:t>
            </w:r>
            <w:r w:rsidR="00123595" w:rsidRPr="006454B5">
              <w:rPr>
                <w:rFonts w:ascii="Arial" w:hAnsi="Arial" w:cs="Arial"/>
                <w:szCs w:val="20"/>
              </w:rPr>
              <w:br/>
            </w:r>
            <w:proofErr w:type="gramStart"/>
            <w:r w:rsidRPr="006454B5">
              <w:rPr>
                <w:rFonts w:ascii="Arial" w:hAnsi="Arial" w:cs="Arial"/>
                <w:szCs w:val="20"/>
                <w:vertAlign w:val="superscript"/>
              </w:rPr>
              <w:t>h</w:t>
            </w:r>
            <w:proofErr w:type="gramEnd"/>
            <w:r w:rsidR="00123595" w:rsidRPr="006454B5">
              <w:rPr>
                <w:rFonts w:ascii="Arial" w:hAnsi="Arial" w:cs="Arial"/>
                <w:szCs w:val="20"/>
                <w:vertAlign w:val="superscript"/>
              </w:rPr>
              <w:t xml:space="preserve"> </w:t>
            </w:r>
            <w:r w:rsidR="007E1DE0" w:rsidRPr="006454B5">
              <w:rPr>
                <w:rFonts w:ascii="Arial" w:hAnsi="Arial" w:cs="Arial"/>
                <w:szCs w:val="20"/>
              </w:rPr>
              <w:t>In CRIS notes, ca</w:t>
            </w:r>
            <w:r w:rsidR="00123595" w:rsidRPr="006454B5">
              <w:rPr>
                <w:rFonts w:ascii="Arial" w:hAnsi="Arial" w:cs="Arial"/>
                <w:szCs w:val="20"/>
              </w:rPr>
              <w:t xml:space="preserve">ses where </w:t>
            </w:r>
            <w:r w:rsidR="007E1DE0" w:rsidRPr="006454B5">
              <w:rPr>
                <w:rFonts w:ascii="Arial" w:hAnsi="Arial" w:cs="Arial"/>
                <w:szCs w:val="20"/>
              </w:rPr>
              <w:t>officer expres</w:t>
            </w:r>
            <w:r w:rsidR="001F4320" w:rsidRPr="006454B5">
              <w:rPr>
                <w:rFonts w:ascii="Arial" w:hAnsi="Arial" w:cs="Arial"/>
                <w:szCs w:val="20"/>
              </w:rPr>
              <w:t xml:space="preserve">ses negative </w:t>
            </w:r>
            <w:r w:rsidR="007E1DE0" w:rsidRPr="006454B5">
              <w:rPr>
                <w:rFonts w:ascii="Arial" w:hAnsi="Arial" w:cs="Arial"/>
                <w:szCs w:val="20"/>
              </w:rPr>
              <w:t>perceptions of the victim’s credibility or reliability</w:t>
            </w:r>
            <w:r w:rsidR="001F4320" w:rsidRPr="006454B5">
              <w:rPr>
                <w:rFonts w:ascii="Arial" w:hAnsi="Arial" w:cs="Arial"/>
                <w:szCs w:val="20"/>
              </w:rPr>
              <w:t>.</w:t>
            </w:r>
          </w:p>
          <w:p w14:paraId="2E904950" w14:textId="7DD15755" w:rsidR="007E1DE0" w:rsidRPr="006454B5" w:rsidRDefault="00D5108D" w:rsidP="00862379">
            <w:pPr>
              <w:spacing w:after="0" w:line="240" w:lineRule="auto"/>
              <w:ind w:left="-110"/>
              <w:rPr>
                <w:rFonts w:ascii="Arial" w:hAnsi="Arial" w:cs="Arial"/>
                <w:szCs w:val="20"/>
              </w:rPr>
            </w:pPr>
            <w:proofErr w:type="spellStart"/>
            <w:proofErr w:type="gramStart"/>
            <w:r w:rsidRPr="006454B5">
              <w:rPr>
                <w:rFonts w:ascii="Arial" w:hAnsi="Arial" w:cs="Arial"/>
                <w:szCs w:val="20"/>
                <w:vertAlign w:val="superscript"/>
              </w:rPr>
              <w:t>i</w:t>
            </w:r>
            <w:proofErr w:type="spellEnd"/>
            <w:proofErr w:type="gramEnd"/>
            <w:r w:rsidR="007E1DE0" w:rsidRPr="006454B5">
              <w:rPr>
                <w:rFonts w:ascii="Arial" w:hAnsi="Arial" w:cs="Arial"/>
                <w:szCs w:val="20"/>
              </w:rPr>
              <w:t xml:space="preserve"> In CRIS notes, Officer in Command expresses doubt over the validity of the allegation.</w:t>
            </w:r>
          </w:p>
        </w:tc>
      </w:tr>
      <w:tr w:rsidR="00123595" w:rsidRPr="006454B5" w14:paraId="097CAB76" w14:textId="77777777" w:rsidTr="00492808">
        <w:trPr>
          <w:trHeight w:val="20"/>
        </w:trPr>
        <w:tc>
          <w:tcPr>
            <w:tcW w:w="9356" w:type="dxa"/>
            <w:gridSpan w:val="9"/>
            <w:vAlign w:val="center"/>
          </w:tcPr>
          <w:p w14:paraId="2ED70236" w14:textId="77777777" w:rsidR="00123595" w:rsidRPr="006454B5" w:rsidRDefault="00123595" w:rsidP="00123595">
            <w:pPr>
              <w:spacing w:after="0" w:line="240" w:lineRule="auto"/>
              <w:rPr>
                <w:rFonts w:ascii="Arial" w:hAnsi="Arial" w:cs="Arial"/>
                <w:szCs w:val="20"/>
              </w:rPr>
            </w:pPr>
          </w:p>
        </w:tc>
      </w:tr>
    </w:tbl>
    <w:p w14:paraId="55D4602B" w14:textId="0C032D64" w:rsidR="00F52F12" w:rsidRPr="006454B5" w:rsidRDefault="00123595" w:rsidP="00123595">
      <w:pPr>
        <w:spacing w:after="0" w:line="240" w:lineRule="auto"/>
        <w:rPr>
          <w:rFonts w:ascii="Arial" w:hAnsi="Arial" w:cs="Arial"/>
          <w:b/>
          <w:bCs/>
          <w:sz w:val="22"/>
        </w:rPr>
      </w:pPr>
      <w:r w:rsidRPr="006454B5">
        <w:rPr>
          <w:rFonts w:ascii="Arial" w:hAnsi="Arial" w:cs="Arial"/>
          <w:sz w:val="20"/>
          <w:szCs w:val="20"/>
        </w:rPr>
        <w:br w:type="page"/>
      </w:r>
      <w:r w:rsidRPr="006454B5">
        <w:rPr>
          <w:rFonts w:ascii="Arial" w:hAnsi="Arial" w:cs="Arial"/>
          <w:b/>
          <w:bCs/>
          <w:sz w:val="22"/>
        </w:rPr>
        <w:lastRenderedPageBreak/>
        <w:t xml:space="preserve">Table 5 </w:t>
      </w:r>
    </w:p>
    <w:p w14:paraId="1ED928E9" w14:textId="77777777" w:rsidR="00F52F12" w:rsidRPr="006454B5" w:rsidRDefault="00F52F12" w:rsidP="00123595">
      <w:pPr>
        <w:spacing w:after="0" w:line="240" w:lineRule="auto"/>
        <w:rPr>
          <w:rFonts w:ascii="Arial" w:hAnsi="Arial" w:cs="Arial"/>
          <w:sz w:val="22"/>
        </w:rPr>
      </w:pPr>
    </w:p>
    <w:p w14:paraId="0ECA792E" w14:textId="63106232" w:rsidR="00123595" w:rsidRPr="006454B5" w:rsidRDefault="00DA37D4" w:rsidP="00123595">
      <w:pPr>
        <w:spacing w:after="0" w:line="240" w:lineRule="auto"/>
        <w:rPr>
          <w:rFonts w:ascii="Arial" w:hAnsi="Arial" w:cs="Arial"/>
          <w:i/>
          <w:iCs/>
          <w:sz w:val="22"/>
        </w:rPr>
      </w:pPr>
      <w:r w:rsidRPr="006454B5">
        <w:rPr>
          <w:rFonts w:ascii="Arial" w:hAnsi="Arial" w:cs="Arial"/>
          <w:i/>
          <w:iCs/>
          <w:sz w:val="22"/>
        </w:rPr>
        <w:t>Frequencies for</w:t>
      </w:r>
      <w:r w:rsidR="00123595" w:rsidRPr="006454B5">
        <w:rPr>
          <w:rFonts w:ascii="Arial" w:hAnsi="Arial" w:cs="Arial"/>
          <w:i/>
          <w:iCs/>
          <w:sz w:val="22"/>
        </w:rPr>
        <w:t xml:space="preserve"> case outcomes</w:t>
      </w:r>
      <w:r w:rsidRPr="006454B5">
        <w:rPr>
          <w:rFonts w:ascii="Arial" w:hAnsi="Arial" w:cs="Arial"/>
          <w:i/>
          <w:iCs/>
          <w:sz w:val="22"/>
        </w:rPr>
        <w:t xml:space="preserve"> </w:t>
      </w:r>
    </w:p>
    <w:p w14:paraId="08978CBE" w14:textId="77777777" w:rsidR="00123595" w:rsidRPr="006454B5" w:rsidRDefault="00123595" w:rsidP="00123595">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567"/>
        <w:gridCol w:w="1417"/>
        <w:gridCol w:w="1701"/>
        <w:gridCol w:w="1276"/>
        <w:gridCol w:w="1507"/>
      </w:tblGrid>
      <w:tr w:rsidR="00123595" w:rsidRPr="006454B5" w14:paraId="46D8EEB2" w14:textId="77777777" w:rsidTr="00CA64F7">
        <w:trPr>
          <w:trHeight w:val="20"/>
        </w:trPr>
        <w:tc>
          <w:tcPr>
            <w:tcW w:w="2552" w:type="dxa"/>
            <w:tcBorders>
              <w:top w:val="single" w:sz="4" w:space="0" w:color="auto"/>
              <w:bottom w:val="single" w:sz="4" w:space="0" w:color="auto"/>
            </w:tcBorders>
            <w:vAlign w:val="center"/>
          </w:tcPr>
          <w:p w14:paraId="38FEFCE3" w14:textId="77777777" w:rsidR="00123595" w:rsidRPr="006454B5" w:rsidRDefault="00123595" w:rsidP="00123595">
            <w:pPr>
              <w:spacing w:after="0" w:line="240" w:lineRule="auto"/>
              <w:rPr>
                <w:rFonts w:ascii="Arial" w:hAnsi="Arial" w:cs="Arial"/>
                <w:bCs/>
                <w:szCs w:val="20"/>
              </w:rPr>
            </w:pPr>
            <w:r w:rsidRPr="006454B5">
              <w:rPr>
                <w:rFonts w:ascii="Arial" w:hAnsi="Arial" w:cs="Arial"/>
                <w:bCs/>
                <w:szCs w:val="20"/>
              </w:rPr>
              <w:t>Outcome</w:t>
            </w:r>
          </w:p>
        </w:tc>
        <w:tc>
          <w:tcPr>
            <w:tcW w:w="567" w:type="dxa"/>
            <w:tcBorders>
              <w:top w:val="single" w:sz="4" w:space="0" w:color="auto"/>
              <w:bottom w:val="single" w:sz="4" w:space="0" w:color="auto"/>
            </w:tcBorders>
            <w:vAlign w:val="center"/>
          </w:tcPr>
          <w:p w14:paraId="29385C38" w14:textId="77777777" w:rsidR="00123595" w:rsidRPr="006454B5" w:rsidRDefault="00123595" w:rsidP="00123595">
            <w:pPr>
              <w:spacing w:after="0" w:line="240" w:lineRule="auto"/>
              <w:jc w:val="center"/>
              <w:rPr>
                <w:rFonts w:ascii="Arial" w:hAnsi="Arial" w:cs="Arial"/>
                <w:bCs/>
                <w:szCs w:val="20"/>
              </w:rPr>
            </w:pPr>
            <w:r w:rsidRPr="006454B5">
              <w:rPr>
                <w:rFonts w:ascii="Arial" w:hAnsi="Arial" w:cs="Arial"/>
                <w:bCs/>
                <w:szCs w:val="20"/>
              </w:rPr>
              <w:t>N</w:t>
            </w:r>
          </w:p>
        </w:tc>
        <w:tc>
          <w:tcPr>
            <w:tcW w:w="1417" w:type="dxa"/>
            <w:tcBorders>
              <w:top w:val="single" w:sz="4" w:space="0" w:color="auto"/>
              <w:bottom w:val="single" w:sz="4" w:space="0" w:color="auto"/>
            </w:tcBorders>
            <w:vAlign w:val="center"/>
          </w:tcPr>
          <w:p w14:paraId="72369C51" w14:textId="77777777" w:rsidR="00123595" w:rsidRPr="006454B5" w:rsidRDefault="00123595" w:rsidP="00123595">
            <w:pPr>
              <w:spacing w:after="0" w:line="240" w:lineRule="auto"/>
              <w:jc w:val="center"/>
              <w:rPr>
                <w:rFonts w:ascii="Arial" w:hAnsi="Arial" w:cs="Arial"/>
                <w:bCs/>
                <w:szCs w:val="20"/>
              </w:rPr>
            </w:pPr>
            <w:r w:rsidRPr="006454B5">
              <w:rPr>
                <w:rFonts w:ascii="Arial" w:hAnsi="Arial" w:cs="Arial"/>
                <w:bCs/>
                <w:szCs w:val="20"/>
              </w:rPr>
              <w:t>% of sample</w:t>
            </w:r>
          </w:p>
        </w:tc>
        <w:tc>
          <w:tcPr>
            <w:tcW w:w="1701" w:type="dxa"/>
            <w:tcBorders>
              <w:top w:val="single" w:sz="4" w:space="0" w:color="auto"/>
              <w:bottom w:val="single" w:sz="4" w:space="0" w:color="auto"/>
            </w:tcBorders>
            <w:vAlign w:val="center"/>
          </w:tcPr>
          <w:p w14:paraId="3417D6AC" w14:textId="77777777" w:rsidR="00123595" w:rsidRPr="006454B5" w:rsidRDefault="00123595" w:rsidP="00123595">
            <w:pPr>
              <w:spacing w:after="0" w:line="240" w:lineRule="auto"/>
              <w:jc w:val="center"/>
              <w:rPr>
                <w:rFonts w:ascii="Arial" w:hAnsi="Arial" w:cs="Arial"/>
                <w:bCs/>
                <w:szCs w:val="20"/>
              </w:rPr>
            </w:pPr>
            <w:r w:rsidRPr="006454B5">
              <w:rPr>
                <w:rFonts w:ascii="Arial" w:hAnsi="Arial" w:cs="Arial"/>
                <w:bCs/>
                <w:szCs w:val="20"/>
              </w:rPr>
              <w:t>Outcome non-withdrawn %</w:t>
            </w:r>
          </w:p>
        </w:tc>
        <w:tc>
          <w:tcPr>
            <w:tcW w:w="1276" w:type="dxa"/>
            <w:tcBorders>
              <w:top w:val="single" w:sz="4" w:space="0" w:color="auto"/>
              <w:bottom w:val="single" w:sz="4" w:space="0" w:color="auto"/>
            </w:tcBorders>
            <w:vAlign w:val="center"/>
          </w:tcPr>
          <w:p w14:paraId="11935915" w14:textId="77777777" w:rsidR="00123595" w:rsidRPr="006454B5" w:rsidRDefault="00123595" w:rsidP="00123595">
            <w:pPr>
              <w:spacing w:after="0" w:line="240" w:lineRule="auto"/>
              <w:jc w:val="center"/>
              <w:rPr>
                <w:rFonts w:ascii="Arial" w:hAnsi="Arial" w:cs="Arial"/>
                <w:bCs/>
                <w:szCs w:val="20"/>
              </w:rPr>
            </w:pPr>
            <w:r w:rsidRPr="006454B5">
              <w:rPr>
                <w:rFonts w:ascii="Arial" w:hAnsi="Arial" w:cs="Arial"/>
                <w:bCs/>
                <w:szCs w:val="20"/>
              </w:rPr>
              <w:t>N (Inferential)</w:t>
            </w:r>
          </w:p>
        </w:tc>
        <w:tc>
          <w:tcPr>
            <w:tcW w:w="1507" w:type="dxa"/>
            <w:tcBorders>
              <w:top w:val="single" w:sz="4" w:space="0" w:color="auto"/>
              <w:bottom w:val="single" w:sz="4" w:space="0" w:color="auto"/>
            </w:tcBorders>
            <w:vAlign w:val="center"/>
          </w:tcPr>
          <w:p w14:paraId="5CCD30E0" w14:textId="77777777" w:rsidR="00123595" w:rsidRPr="006454B5" w:rsidRDefault="00123595" w:rsidP="00123595">
            <w:pPr>
              <w:spacing w:after="0" w:line="240" w:lineRule="auto"/>
              <w:jc w:val="center"/>
              <w:rPr>
                <w:rFonts w:ascii="Arial" w:hAnsi="Arial" w:cs="Arial"/>
                <w:bCs/>
                <w:szCs w:val="20"/>
              </w:rPr>
            </w:pPr>
            <w:r w:rsidRPr="006454B5">
              <w:rPr>
                <w:rFonts w:ascii="Arial" w:hAnsi="Arial" w:cs="Arial"/>
                <w:bCs/>
                <w:szCs w:val="20"/>
              </w:rPr>
              <w:t>% of sample</w:t>
            </w:r>
          </w:p>
        </w:tc>
      </w:tr>
      <w:tr w:rsidR="00123595" w:rsidRPr="006454B5" w14:paraId="3BCBC1ED" w14:textId="77777777" w:rsidTr="00CA64F7">
        <w:trPr>
          <w:trHeight w:val="20"/>
        </w:trPr>
        <w:tc>
          <w:tcPr>
            <w:tcW w:w="2552" w:type="dxa"/>
            <w:vAlign w:val="center"/>
          </w:tcPr>
          <w:p w14:paraId="0B49FD08" w14:textId="77777777" w:rsidR="00123595" w:rsidRPr="006454B5" w:rsidRDefault="00123595" w:rsidP="00123595">
            <w:pPr>
              <w:spacing w:after="0" w:line="240" w:lineRule="auto"/>
              <w:rPr>
                <w:rFonts w:ascii="Arial" w:hAnsi="Arial" w:cs="Arial"/>
                <w:szCs w:val="20"/>
              </w:rPr>
            </w:pPr>
            <w:r w:rsidRPr="006454B5">
              <w:rPr>
                <w:rFonts w:ascii="Arial" w:hAnsi="Arial" w:cs="Arial"/>
                <w:szCs w:val="20"/>
              </w:rPr>
              <w:t>Victim withdrawal</w:t>
            </w:r>
          </w:p>
        </w:tc>
        <w:tc>
          <w:tcPr>
            <w:tcW w:w="567" w:type="dxa"/>
            <w:vAlign w:val="center"/>
          </w:tcPr>
          <w:p w14:paraId="307CD1A2"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229</w:t>
            </w:r>
          </w:p>
        </w:tc>
        <w:tc>
          <w:tcPr>
            <w:tcW w:w="1417" w:type="dxa"/>
            <w:vAlign w:val="center"/>
          </w:tcPr>
          <w:p w14:paraId="3F82F065"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51.3</w:t>
            </w:r>
          </w:p>
        </w:tc>
        <w:tc>
          <w:tcPr>
            <w:tcW w:w="1701" w:type="dxa"/>
            <w:vAlign w:val="center"/>
          </w:tcPr>
          <w:p w14:paraId="1D4D238B"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N/A</w:t>
            </w:r>
          </w:p>
        </w:tc>
        <w:tc>
          <w:tcPr>
            <w:tcW w:w="1276" w:type="dxa"/>
            <w:vAlign w:val="center"/>
          </w:tcPr>
          <w:p w14:paraId="33593E99" w14:textId="608897D2" w:rsidR="00123595" w:rsidRPr="006454B5" w:rsidRDefault="00123595" w:rsidP="00123595">
            <w:pPr>
              <w:spacing w:after="0" w:line="240" w:lineRule="auto"/>
              <w:jc w:val="center"/>
              <w:rPr>
                <w:rFonts w:ascii="Arial" w:hAnsi="Arial" w:cs="Arial"/>
                <w:szCs w:val="20"/>
                <w:vertAlign w:val="superscript"/>
              </w:rPr>
            </w:pPr>
            <w:r w:rsidRPr="006454B5">
              <w:rPr>
                <w:rFonts w:ascii="Arial" w:hAnsi="Arial" w:cs="Arial"/>
                <w:szCs w:val="20"/>
              </w:rPr>
              <w:t>127</w:t>
            </w:r>
          </w:p>
        </w:tc>
        <w:tc>
          <w:tcPr>
            <w:tcW w:w="1507" w:type="dxa"/>
            <w:vAlign w:val="center"/>
          </w:tcPr>
          <w:p w14:paraId="01C348C8"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52.7</w:t>
            </w:r>
          </w:p>
        </w:tc>
      </w:tr>
      <w:tr w:rsidR="00123595" w:rsidRPr="006454B5" w14:paraId="3DE02A3C" w14:textId="77777777" w:rsidTr="00CA64F7">
        <w:trPr>
          <w:trHeight w:val="20"/>
        </w:trPr>
        <w:tc>
          <w:tcPr>
            <w:tcW w:w="2552" w:type="dxa"/>
            <w:vAlign w:val="center"/>
          </w:tcPr>
          <w:p w14:paraId="12DB6D74" w14:textId="74975157" w:rsidR="00123595" w:rsidRPr="006454B5" w:rsidRDefault="00123595" w:rsidP="00123595">
            <w:pPr>
              <w:spacing w:after="0" w:line="240" w:lineRule="auto"/>
              <w:rPr>
                <w:rFonts w:ascii="Arial" w:hAnsi="Arial" w:cs="Arial"/>
                <w:szCs w:val="20"/>
                <w:vertAlign w:val="superscript"/>
              </w:rPr>
            </w:pPr>
            <w:r w:rsidRPr="006454B5">
              <w:rPr>
                <w:rFonts w:ascii="Arial" w:hAnsi="Arial" w:cs="Arial"/>
                <w:szCs w:val="20"/>
              </w:rPr>
              <w:t xml:space="preserve">Not classified as a </w:t>
            </w:r>
            <w:proofErr w:type="spellStart"/>
            <w:r w:rsidRPr="006454B5">
              <w:rPr>
                <w:rFonts w:ascii="Arial" w:hAnsi="Arial" w:cs="Arial"/>
                <w:szCs w:val="20"/>
              </w:rPr>
              <w:t>crime</w:t>
            </w:r>
            <w:r w:rsidR="009A1939" w:rsidRPr="006454B5">
              <w:rPr>
                <w:rFonts w:ascii="Arial" w:hAnsi="Arial" w:cs="Arial"/>
                <w:szCs w:val="20"/>
                <w:vertAlign w:val="superscript"/>
              </w:rPr>
              <w:t>a</w:t>
            </w:r>
            <w:proofErr w:type="spellEnd"/>
          </w:p>
        </w:tc>
        <w:tc>
          <w:tcPr>
            <w:tcW w:w="567" w:type="dxa"/>
            <w:vAlign w:val="center"/>
          </w:tcPr>
          <w:p w14:paraId="0702C925"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67</w:t>
            </w:r>
          </w:p>
        </w:tc>
        <w:tc>
          <w:tcPr>
            <w:tcW w:w="1417" w:type="dxa"/>
            <w:vAlign w:val="center"/>
          </w:tcPr>
          <w:p w14:paraId="10EB474B"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15.0</w:t>
            </w:r>
          </w:p>
        </w:tc>
        <w:tc>
          <w:tcPr>
            <w:tcW w:w="1701" w:type="dxa"/>
            <w:vAlign w:val="center"/>
          </w:tcPr>
          <w:p w14:paraId="2D1ABA3A"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30.8</w:t>
            </w:r>
          </w:p>
        </w:tc>
        <w:tc>
          <w:tcPr>
            <w:tcW w:w="1276" w:type="dxa"/>
            <w:vAlign w:val="center"/>
          </w:tcPr>
          <w:p w14:paraId="7566FC76" w14:textId="37F8D823"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N/A</w:t>
            </w:r>
          </w:p>
        </w:tc>
        <w:tc>
          <w:tcPr>
            <w:tcW w:w="1507" w:type="dxa"/>
            <w:vAlign w:val="center"/>
          </w:tcPr>
          <w:p w14:paraId="0AF04051"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N/A</w:t>
            </w:r>
          </w:p>
        </w:tc>
      </w:tr>
      <w:tr w:rsidR="00123595" w:rsidRPr="006454B5" w14:paraId="2CAF9D84" w14:textId="77777777" w:rsidTr="00CA64F7">
        <w:trPr>
          <w:trHeight w:val="20"/>
        </w:trPr>
        <w:tc>
          <w:tcPr>
            <w:tcW w:w="2552" w:type="dxa"/>
            <w:vAlign w:val="center"/>
          </w:tcPr>
          <w:p w14:paraId="5BC10C39" w14:textId="77777777" w:rsidR="00123595" w:rsidRPr="006454B5" w:rsidRDefault="00123595" w:rsidP="00123595">
            <w:pPr>
              <w:spacing w:after="0" w:line="240" w:lineRule="auto"/>
              <w:rPr>
                <w:rFonts w:ascii="Arial" w:hAnsi="Arial" w:cs="Arial"/>
                <w:szCs w:val="20"/>
              </w:rPr>
            </w:pPr>
            <w:r w:rsidRPr="006454B5">
              <w:rPr>
                <w:rFonts w:ascii="Arial" w:hAnsi="Arial" w:cs="Arial"/>
                <w:szCs w:val="20"/>
              </w:rPr>
              <w:t>Police ‘no further action’</w:t>
            </w:r>
          </w:p>
        </w:tc>
        <w:tc>
          <w:tcPr>
            <w:tcW w:w="567" w:type="dxa"/>
            <w:vAlign w:val="center"/>
          </w:tcPr>
          <w:p w14:paraId="17FECB0A"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105</w:t>
            </w:r>
          </w:p>
        </w:tc>
        <w:tc>
          <w:tcPr>
            <w:tcW w:w="1417" w:type="dxa"/>
            <w:vAlign w:val="center"/>
          </w:tcPr>
          <w:p w14:paraId="24BFFA6D"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23.5</w:t>
            </w:r>
          </w:p>
        </w:tc>
        <w:tc>
          <w:tcPr>
            <w:tcW w:w="1701" w:type="dxa"/>
            <w:vAlign w:val="center"/>
          </w:tcPr>
          <w:p w14:paraId="73F6FF7C"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48.3</w:t>
            </w:r>
          </w:p>
        </w:tc>
        <w:tc>
          <w:tcPr>
            <w:tcW w:w="1276" w:type="dxa"/>
            <w:vAlign w:val="center"/>
          </w:tcPr>
          <w:p w14:paraId="65B43AB8" w14:textId="58EDDB09"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69</w:t>
            </w:r>
          </w:p>
        </w:tc>
        <w:tc>
          <w:tcPr>
            <w:tcW w:w="1507" w:type="dxa"/>
            <w:vAlign w:val="center"/>
          </w:tcPr>
          <w:p w14:paraId="4E3D9CA7"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28.6</w:t>
            </w:r>
          </w:p>
        </w:tc>
      </w:tr>
      <w:tr w:rsidR="00123595" w:rsidRPr="006454B5" w14:paraId="5299279D" w14:textId="77777777" w:rsidTr="00CA64F7">
        <w:trPr>
          <w:trHeight w:val="20"/>
        </w:trPr>
        <w:tc>
          <w:tcPr>
            <w:tcW w:w="2552" w:type="dxa"/>
            <w:vAlign w:val="center"/>
          </w:tcPr>
          <w:p w14:paraId="683AAB8A" w14:textId="77777777" w:rsidR="00123595" w:rsidRPr="006454B5" w:rsidRDefault="00123595" w:rsidP="00123595">
            <w:pPr>
              <w:spacing w:after="0" w:line="240" w:lineRule="auto"/>
              <w:rPr>
                <w:rFonts w:ascii="Arial" w:hAnsi="Arial" w:cs="Arial"/>
                <w:szCs w:val="20"/>
              </w:rPr>
            </w:pPr>
            <w:r w:rsidRPr="006454B5">
              <w:rPr>
                <w:rFonts w:ascii="Arial" w:hAnsi="Arial" w:cs="Arial"/>
                <w:szCs w:val="20"/>
              </w:rPr>
              <w:t>Submitted to CPS</w:t>
            </w:r>
          </w:p>
        </w:tc>
        <w:tc>
          <w:tcPr>
            <w:tcW w:w="567" w:type="dxa"/>
            <w:vAlign w:val="center"/>
          </w:tcPr>
          <w:p w14:paraId="2DD3BE20"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45</w:t>
            </w:r>
          </w:p>
        </w:tc>
        <w:tc>
          <w:tcPr>
            <w:tcW w:w="1417" w:type="dxa"/>
            <w:vAlign w:val="center"/>
          </w:tcPr>
          <w:p w14:paraId="2F31A82B"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10.1</w:t>
            </w:r>
          </w:p>
        </w:tc>
        <w:tc>
          <w:tcPr>
            <w:tcW w:w="1701" w:type="dxa"/>
            <w:vAlign w:val="center"/>
          </w:tcPr>
          <w:p w14:paraId="1F0D4B98"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20.7</w:t>
            </w:r>
          </w:p>
        </w:tc>
        <w:tc>
          <w:tcPr>
            <w:tcW w:w="1276" w:type="dxa"/>
            <w:vAlign w:val="center"/>
          </w:tcPr>
          <w:p w14:paraId="5C19D51E" w14:textId="1456970F"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45</w:t>
            </w:r>
          </w:p>
        </w:tc>
        <w:tc>
          <w:tcPr>
            <w:tcW w:w="1507" w:type="dxa"/>
            <w:vAlign w:val="center"/>
          </w:tcPr>
          <w:p w14:paraId="6611C400"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18.7</w:t>
            </w:r>
          </w:p>
        </w:tc>
      </w:tr>
      <w:tr w:rsidR="00123595" w:rsidRPr="006454B5" w14:paraId="019A707C" w14:textId="77777777" w:rsidTr="00CA64F7">
        <w:trPr>
          <w:trHeight w:val="20"/>
        </w:trPr>
        <w:tc>
          <w:tcPr>
            <w:tcW w:w="2552" w:type="dxa"/>
            <w:tcBorders>
              <w:bottom w:val="single" w:sz="4" w:space="0" w:color="auto"/>
            </w:tcBorders>
            <w:vAlign w:val="center"/>
          </w:tcPr>
          <w:p w14:paraId="5891964A" w14:textId="77777777" w:rsidR="00123595" w:rsidRPr="006454B5" w:rsidRDefault="00123595" w:rsidP="00123595">
            <w:pPr>
              <w:spacing w:after="0" w:line="240" w:lineRule="auto"/>
              <w:rPr>
                <w:rFonts w:ascii="Arial" w:hAnsi="Arial" w:cs="Arial"/>
                <w:szCs w:val="20"/>
              </w:rPr>
            </w:pPr>
            <w:r w:rsidRPr="006454B5">
              <w:rPr>
                <w:rFonts w:ascii="Arial" w:hAnsi="Arial" w:cs="Arial"/>
                <w:szCs w:val="20"/>
              </w:rPr>
              <w:t>Total N</w:t>
            </w:r>
          </w:p>
        </w:tc>
        <w:tc>
          <w:tcPr>
            <w:tcW w:w="567" w:type="dxa"/>
            <w:tcBorders>
              <w:bottom w:val="single" w:sz="4" w:space="0" w:color="auto"/>
            </w:tcBorders>
            <w:vAlign w:val="center"/>
          </w:tcPr>
          <w:p w14:paraId="643F7012"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446</w:t>
            </w:r>
          </w:p>
        </w:tc>
        <w:tc>
          <w:tcPr>
            <w:tcW w:w="1417" w:type="dxa"/>
            <w:tcBorders>
              <w:bottom w:val="single" w:sz="4" w:space="0" w:color="auto"/>
            </w:tcBorders>
            <w:vAlign w:val="center"/>
          </w:tcPr>
          <w:p w14:paraId="70BB3E8C"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c>
          <w:tcPr>
            <w:tcW w:w="1701" w:type="dxa"/>
            <w:tcBorders>
              <w:bottom w:val="single" w:sz="4" w:space="0" w:color="auto"/>
            </w:tcBorders>
            <w:vAlign w:val="center"/>
          </w:tcPr>
          <w:p w14:paraId="5A5B8329"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c>
          <w:tcPr>
            <w:tcW w:w="1276" w:type="dxa"/>
            <w:tcBorders>
              <w:bottom w:val="single" w:sz="4" w:space="0" w:color="auto"/>
            </w:tcBorders>
            <w:vAlign w:val="center"/>
          </w:tcPr>
          <w:p w14:paraId="03C390F1"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241</w:t>
            </w:r>
          </w:p>
        </w:tc>
        <w:tc>
          <w:tcPr>
            <w:tcW w:w="1507" w:type="dxa"/>
            <w:tcBorders>
              <w:bottom w:val="single" w:sz="4" w:space="0" w:color="auto"/>
            </w:tcBorders>
            <w:vAlign w:val="center"/>
          </w:tcPr>
          <w:p w14:paraId="009C2740" w14:textId="77777777" w:rsidR="00123595" w:rsidRPr="006454B5" w:rsidRDefault="00123595" w:rsidP="00123595">
            <w:pPr>
              <w:spacing w:after="0" w:line="240" w:lineRule="auto"/>
              <w:jc w:val="center"/>
              <w:rPr>
                <w:rFonts w:ascii="Arial" w:hAnsi="Arial" w:cs="Arial"/>
                <w:szCs w:val="20"/>
              </w:rPr>
            </w:pPr>
            <w:r w:rsidRPr="006454B5">
              <w:rPr>
                <w:rFonts w:ascii="Arial" w:hAnsi="Arial" w:cs="Arial"/>
                <w:szCs w:val="20"/>
              </w:rPr>
              <w:t>-</w:t>
            </w:r>
          </w:p>
        </w:tc>
      </w:tr>
    </w:tbl>
    <w:p w14:paraId="047834B3" w14:textId="44CAF3F7" w:rsidR="00F52F12" w:rsidRPr="006454B5" w:rsidRDefault="009A1939" w:rsidP="007D0C8F">
      <w:pPr>
        <w:spacing w:after="0" w:line="240" w:lineRule="auto"/>
        <w:rPr>
          <w:rFonts w:ascii="Arial" w:hAnsi="Arial" w:cs="Arial"/>
          <w:sz w:val="20"/>
          <w:szCs w:val="20"/>
        </w:rPr>
      </w:pPr>
      <w:proofErr w:type="spellStart"/>
      <w:r w:rsidRPr="006454B5">
        <w:rPr>
          <w:rFonts w:ascii="Arial" w:hAnsi="Arial" w:cs="Arial"/>
          <w:sz w:val="20"/>
          <w:szCs w:val="20"/>
          <w:vertAlign w:val="superscript"/>
        </w:rPr>
        <w:t>a</w:t>
      </w:r>
      <w:proofErr w:type="spellEnd"/>
      <w:r w:rsidRPr="006454B5">
        <w:rPr>
          <w:rFonts w:ascii="Arial" w:hAnsi="Arial" w:cs="Arial"/>
          <w:sz w:val="20"/>
          <w:szCs w:val="20"/>
          <w:vertAlign w:val="superscript"/>
        </w:rPr>
        <w:t xml:space="preserve"> </w:t>
      </w:r>
      <w:r w:rsidRPr="006454B5">
        <w:rPr>
          <w:rFonts w:ascii="Arial" w:hAnsi="Arial" w:cs="Arial"/>
          <w:sz w:val="20"/>
          <w:szCs w:val="20"/>
        </w:rPr>
        <w:t xml:space="preserve">Of these, 42 received a classification of ‘Rape Not Confirmed’, 22 a classification of ‘Rape-Contradictory Evidence’ and 3 a classification of ‘No Crime’ </w:t>
      </w:r>
      <w:r w:rsidR="00F52F12" w:rsidRPr="006454B5">
        <w:rPr>
          <w:rFonts w:ascii="Arial" w:hAnsi="Arial" w:cs="Arial"/>
          <w:sz w:val="20"/>
          <w:szCs w:val="20"/>
        </w:rPr>
        <w:br w:type="page"/>
      </w:r>
    </w:p>
    <w:p w14:paraId="65918C99" w14:textId="5FD74C8E" w:rsidR="00F52F12" w:rsidRPr="006454B5" w:rsidRDefault="007D0C8F" w:rsidP="00123595">
      <w:pPr>
        <w:spacing w:after="0" w:line="240" w:lineRule="auto"/>
        <w:rPr>
          <w:rFonts w:ascii="Arial" w:hAnsi="Arial" w:cs="Arial"/>
          <w:b/>
          <w:bCs/>
          <w:sz w:val="22"/>
        </w:rPr>
      </w:pPr>
      <w:r w:rsidRPr="006454B5">
        <w:rPr>
          <w:rFonts w:ascii="Arial" w:hAnsi="Arial" w:cs="Arial"/>
          <w:b/>
          <w:bCs/>
          <w:sz w:val="22"/>
        </w:rPr>
        <w:lastRenderedPageBreak/>
        <w:t>Table 6</w:t>
      </w:r>
    </w:p>
    <w:p w14:paraId="72CCC3EA" w14:textId="77777777" w:rsidR="00F52F12" w:rsidRPr="006454B5" w:rsidRDefault="00F52F12" w:rsidP="00123595">
      <w:pPr>
        <w:spacing w:after="0" w:line="240" w:lineRule="auto"/>
        <w:rPr>
          <w:rFonts w:ascii="Arial" w:hAnsi="Arial" w:cs="Arial"/>
          <w:sz w:val="22"/>
        </w:rPr>
      </w:pPr>
    </w:p>
    <w:p w14:paraId="6C40D8DC" w14:textId="1BCBC18B" w:rsidR="00123595" w:rsidRPr="006454B5" w:rsidRDefault="00123595" w:rsidP="00123595">
      <w:pPr>
        <w:spacing w:after="0" w:line="240" w:lineRule="auto"/>
        <w:rPr>
          <w:rFonts w:ascii="Arial" w:hAnsi="Arial" w:cs="Arial"/>
          <w:i/>
          <w:iCs/>
          <w:sz w:val="22"/>
        </w:rPr>
      </w:pPr>
      <w:r w:rsidRPr="006454B5">
        <w:rPr>
          <w:rFonts w:ascii="Arial" w:hAnsi="Arial" w:cs="Arial"/>
          <w:i/>
          <w:iCs/>
          <w:sz w:val="22"/>
        </w:rPr>
        <w:t>Multi-variate multinomial logistic regression – final multi-variate model (n=241)</w:t>
      </w:r>
    </w:p>
    <w:p w14:paraId="0ECC6989" w14:textId="77777777" w:rsidR="00123595" w:rsidRPr="006454B5" w:rsidRDefault="00123595" w:rsidP="00123595">
      <w:pPr>
        <w:spacing w:after="0" w:line="240" w:lineRule="auto"/>
        <w:rPr>
          <w:rFonts w:ascii="Arial" w:hAnsi="Arial" w:cs="Arial"/>
          <w:sz w:val="20"/>
          <w:szCs w:val="20"/>
        </w:rPr>
      </w:pPr>
    </w:p>
    <w:tbl>
      <w:tblPr>
        <w:tblW w:w="9398" w:type="dxa"/>
        <w:tblInd w:w="100" w:type="dxa"/>
        <w:tblLayout w:type="fixed"/>
        <w:tblCellMar>
          <w:left w:w="0" w:type="dxa"/>
          <w:right w:w="0" w:type="dxa"/>
        </w:tblCellMar>
        <w:tblLook w:val="0000" w:firstRow="0" w:lastRow="0" w:firstColumn="0" w:lastColumn="0" w:noHBand="0" w:noVBand="0"/>
      </w:tblPr>
      <w:tblGrid>
        <w:gridCol w:w="2735"/>
        <w:gridCol w:w="993"/>
        <w:gridCol w:w="850"/>
        <w:gridCol w:w="425"/>
        <w:gridCol w:w="1134"/>
        <w:gridCol w:w="993"/>
        <w:gridCol w:w="708"/>
        <w:gridCol w:w="426"/>
        <w:gridCol w:w="1134"/>
      </w:tblGrid>
      <w:tr w:rsidR="00123595" w:rsidRPr="006454B5" w14:paraId="465B008E" w14:textId="77777777" w:rsidTr="00492808">
        <w:trPr>
          <w:trHeight w:val="20"/>
        </w:trPr>
        <w:tc>
          <w:tcPr>
            <w:tcW w:w="2735" w:type="dxa"/>
            <w:tcBorders>
              <w:top w:val="single" w:sz="4" w:space="0" w:color="000000"/>
              <w:left w:val="nil"/>
              <w:right w:val="nil"/>
            </w:tcBorders>
          </w:tcPr>
          <w:p w14:paraId="52F958C0" w14:textId="77777777" w:rsidR="00123595" w:rsidRPr="006454B5" w:rsidRDefault="00123595" w:rsidP="00123595">
            <w:pPr>
              <w:widowControl w:val="0"/>
              <w:kinsoku w:val="0"/>
              <w:overflowPunct w:val="0"/>
              <w:autoSpaceDE w:val="0"/>
              <w:autoSpaceDN w:val="0"/>
              <w:adjustRightInd w:val="0"/>
              <w:spacing w:after="0" w:line="291" w:lineRule="exact"/>
              <w:ind w:left="108"/>
              <w:rPr>
                <w:rFonts w:ascii="Arial" w:eastAsiaTheme="minorEastAsia" w:hAnsi="Arial" w:cs="Arial"/>
                <w:i/>
                <w:iCs/>
                <w:spacing w:val="-3"/>
                <w:sz w:val="20"/>
                <w:szCs w:val="20"/>
                <w:u w:val="single"/>
                <w:lang w:eastAsia="en-GB"/>
              </w:rPr>
            </w:pPr>
          </w:p>
        </w:tc>
        <w:tc>
          <w:tcPr>
            <w:tcW w:w="3402" w:type="dxa"/>
            <w:gridSpan w:val="4"/>
            <w:tcBorders>
              <w:top w:val="single" w:sz="4" w:space="0" w:color="000000"/>
              <w:left w:val="nil"/>
              <w:bottom w:val="nil"/>
              <w:right w:val="nil"/>
            </w:tcBorders>
            <w:vAlign w:val="center"/>
          </w:tcPr>
          <w:p w14:paraId="42CEAF7E" w14:textId="77777777" w:rsidR="00123595" w:rsidRPr="006454B5" w:rsidRDefault="00123595" w:rsidP="00123595">
            <w:pPr>
              <w:spacing w:after="0" w:line="240" w:lineRule="auto"/>
              <w:jc w:val="center"/>
              <w:rPr>
                <w:rFonts w:ascii="Arial" w:hAnsi="Arial" w:cs="Arial"/>
                <w:sz w:val="20"/>
                <w:szCs w:val="20"/>
              </w:rPr>
            </w:pPr>
            <w:r w:rsidRPr="006454B5">
              <w:rPr>
                <w:rFonts w:ascii="Arial" w:hAnsi="Arial" w:cs="Arial"/>
                <w:sz w:val="20"/>
                <w:szCs w:val="20"/>
              </w:rPr>
              <w:t>Victim Withdrawal</w:t>
            </w:r>
          </w:p>
        </w:tc>
        <w:tc>
          <w:tcPr>
            <w:tcW w:w="3261" w:type="dxa"/>
            <w:gridSpan w:val="4"/>
            <w:tcBorders>
              <w:top w:val="single" w:sz="4" w:space="0" w:color="000000"/>
              <w:left w:val="nil"/>
              <w:bottom w:val="nil"/>
            </w:tcBorders>
            <w:vAlign w:val="center"/>
          </w:tcPr>
          <w:p w14:paraId="0E2F4447" w14:textId="77777777" w:rsidR="00123595" w:rsidRPr="006454B5" w:rsidRDefault="00123595" w:rsidP="00123595">
            <w:pPr>
              <w:spacing w:after="0" w:line="240" w:lineRule="auto"/>
              <w:jc w:val="center"/>
              <w:rPr>
                <w:rFonts w:ascii="Arial" w:hAnsi="Arial" w:cs="Arial"/>
                <w:sz w:val="20"/>
                <w:szCs w:val="20"/>
              </w:rPr>
            </w:pPr>
            <w:r w:rsidRPr="006454B5">
              <w:rPr>
                <w:rFonts w:ascii="Arial" w:hAnsi="Arial" w:cs="Arial"/>
                <w:sz w:val="20"/>
                <w:szCs w:val="20"/>
              </w:rPr>
              <w:t>Police No Further Action</w:t>
            </w:r>
          </w:p>
        </w:tc>
      </w:tr>
      <w:tr w:rsidR="00123595" w:rsidRPr="006454B5" w14:paraId="7751D857" w14:textId="77777777" w:rsidTr="00492808">
        <w:trPr>
          <w:trHeight w:val="20"/>
        </w:trPr>
        <w:tc>
          <w:tcPr>
            <w:tcW w:w="2735" w:type="dxa"/>
            <w:tcBorders>
              <w:left w:val="nil"/>
              <w:bottom w:val="single" w:sz="4" w:space="0" w:color="000000"/>
              <w:right w:val="nil"/>
            </w:tcBorders>
            <w:vAlign w:val="center"/>
          </w:tcPr>
          <w:p w14:paraId="2C311A3C" w14:textId="77777777" w:rsidR="00123595" w:rsidRPr="006454B5" w:rsidRDefault="00123595" w:rsidP="00123595">
            <w:pPr>
              <w:widowControl w:val="0"/>
              <w:kinsoku w:val="0"/>
              <w:overflowPunct w:val="0"/>
              <w:autoSpaceDE w:val="0"/>
              <w:autoSpaceDN w:val="0"/>
              <w:adjustRightInd w:val="0"/>
              <w:spacing w:after="0" w:line="291" w:lineRule="exact"/>
              <w:ind w:left="108"/>
              <w:jc w:val="center"/>
              <w:rPr>
                <w:rFonts w:ascii="Arial" w:eastAsiaTheme="minorEastAsia" w:hAnsi="Arial" w:cs="Arial"/>
                <w:i/>
                <w:iCs/>
                <w:spacing w:val="-3"/>
                <w:sz w:val="20"/>
                <w:szCs w:val="20"/>
                <w:u w:val="single"/>
                <w:lang w:eastAsia="en-GB"/>
              </w:rPr>
            </w:pPr>
          </w:p>
        </w:tc>
        <w:tc>
          <w:tcPr>
            <w:tcW w:w="993" w:type="dxa"/>
            <w:tcBorders>
              <w:top w:val="single" w:sz="4" w:space="0" w:color="000000"/>
              <w:left w:val="nil"/>
              <w:bottom w:val="nil"/>
              <w:right w:val="nil"/>
            </w:tcBorders>
            <w:vAlign w:val="center"/>
          </w:tcPr>
          <w:p w14:paraId="72C830AF" w14:textId="77777777" w:rsidR="00123595" w:rsidRPr="006454B5" w:rsidRDefault="00123595" w:rsidP="00123595">
            <w:pPr>
              <w:spacing w:after="0" w:line="240" w:lineRule="auto"/>
              <w:jc w:val="center"/>
              <w:rPr>
                <w:rFonts w:ascii="Arial" w:hAnsi="Arial" w:cs="Arial"/>
                <w:sz w:val="20"/>
                <w:szCs w:val="20"/>
              </w:rPr>
            </w:pPr>
            <w:r w:rsidRPr="006454B5">
              <w:rPr>
                <w:rFonts w:ascii="Arial" w:hAnsi="Arial" w:cs="Arial"/>
                <w:sz w:val="20"/>
                <w:szCs w:val="20"/>
              </w:rPr>
              <w:t>B (SE)</w:t>
            </w:r>
          </w:p>
        </w:tc>
        <w:tc>
          <w:tcPr>
            <w:tcW w:w="850" w:type="dxa"/>
            <w:tcBorders>
              <w:top w:val="single" w:sz="4" w:space="0" w:color="000000"/>
              <w:left w:val="nil"/>
              <w:bottom w:val="nil"/>
              <w:right w:val="nil"/>
            </w:tcBorders>
            <w:vAlign w:val="center"/>
          </w:tcPr>
          <w:p w14:paraId="05008EF5" w14:textId="77777777" w:rsidR="00123595" w:rsidRPr="006454B5" w:rsidRDefault="00123595" w:rsidP="00123595">
            <w:pPr>
              <w:spacing w:after="0" w:line="240" w:lineRule="auto"/>
              <w:jc w:val="center"/>
              <w:rPr>
                <w:rFonts w:ascii="Arial" w:hAnsi="Arial" w:cs="Arial"/>
                <w:sz w:val="20"/>
                <w:szCs w:val="20"/>
              </w:rPr>
            </w:pPr>
            <w:r w:rsidRPr="006454B5">
              <w:rPr>
                <w:rFonts w:ascii="Arial" w:hAnsi="Arial" w:cs="Arial"/>
                <w:sz w:val="20"/>
                <w:szCs w:val="20"/>
              </w:rPr>
              <w:t>Wald</w:t>
            </w:r>
          </w:p>
        </w:tc>
        <w:tc>
          <w:tcPr>
            <w:tcW w:w="425" w:type="dxa"/>
            <w:tcBorders>
              <w:top w:val="single" w:sz="4" w:space="0" w:color="000000"/>
              <w:left w:val="nil"/>
              <w:bottom w:val="nil"/>
              <w:right w:val="nil"/>
            </w:tcBorders>
            <w:vAlign w:val="center"/>
          </w:tcPr>
          <w:p w14:paraId="0178F758" w14:textId="77777777" w:rsidR="00123595" w:rsidRPr="006454B5" w:rsidRDefault="00123595" w:rsidP="00123595">
            <w:pPr>
              <w:spacing w:after="0" w:line="240" w:lineRule="auto"/>
              <w:jc w:val="center"/>
              <w:rPr>
                <w:rFonts w:ascii="Arial" w:hAnsi="Arial" w:cs="Arial"/>
                <w:sz w:val="20"/>
                <w:szCs w:val="20"/>
              </w:rPr>
            </w:pPr>
            <w:r w:rsidRPr="006454B5">
              <w:rPr>
                <w:rFonts w:ascii="Arial" w:hAnsi="Arial" w:cs="Arial"/>
                <w:sz w:val="20"/>
                <w:szCs w:val="20"/>
              </w:rPr>
              <w:t>OR</w:t>
            </w:r>
          </w:p>
        </w:tc>
        <w:tc>
          <w:tcPr>
            <w:tcW w:w="1134" w:type="dxa"/>
            <w:tcBorders>
              <w:top w:val="single" w:sz="4" w:space="0" w:color="000000"/>
              <w:left w:val="nil"/>
              <w:bottom w:val="nil"/>
              <w:right w:val="nil"/>
            </w:tcBorders>
            <w:vAlign w:val="center"/>
          </w:tcPr>
          <w:p w14:paraId="18B59023" w14:textId="77777777" w:rsidR="00123595" w:rsidRPr="006454B5" w:rsidRDefault="00123595" w:rsidP="00123595">
            <w:pPr>
              <w:spacing w:after="0" w:line="240" w:lineRule="auto"/>
              <w:jc w:val="center"/>
              <w:rPr>
                <w:rFonts w:ascii="Arial" w:hAnsi="Arial" w:cs="Arial"/>
                <w:sz w:val="20"/>
                <w:szCs w:val="20"/>
              </w:rPr>
            </w:pPr>
            <w:r w:rsidRPr="006454B5">
              <w:rPr>
                <w:rFonts w:ascii="Arial" w:hAnsi="Arial" w:cs="Arial"/>
                <w:sz w:val="20"/>
                <w:szCs w:val="20"/>
              </w:rPr>
              <w:t>95% CI</w:t>
            </w:r>
          </w:p>
        </w:tc>
        <w:tc>
          <w:tcPr>
            <w:tcW w:w="993" w:type="dxa"/>
            <w:tcBorders>
              <w:top w:val="single" w:sz="4" w:space="0" w:color="000000"/>
              <w:left w:val="nil"/>
              <w:bottom w:val="nil"/>
              <w:right w:val="nil"/>
            </w:tcBorders>
            <w:vAlign w:val="center"/>
          </w:tcPr>
          <w:p w14:paraId="086745CB" w14:textId="77777777" w:rsidR="00123595" w:rsidRPr="006454B5" w:rsidRDefault="00123595" w:rsidP="00123595">
            <w:pPr>
              <w:spacing w:after="0" w:line="240" w:lineRule="auto"/>
              <w:jc w:val="center"/>
              <w:rPr>
                <w:rFonts w:ascii="Arial" w:hAnsi="Arial" w:cs="Arial"/>
                <w:sz w:val="20"/>
                <w:szCs w:val="20"/>
              </w:rPr>
            </w:pPr>
            <w:r w:rsidRPr="006454B5">
              <w:rPr>
                <w:rFonts w:ascii="Arial" w:hAnsi="Arial" w:cs="Arial"/>
                <w:sz w:val="20"/>
                <w:szCs w:val="20"/>
              </w:rPr>
              <w:t>B (SE)</w:t>
            </w:r>
          </w:p>
        </w:tc>
        <w:tc>
          <w:tcPr>
            <w:tcW w:w="708" w:type="dxa"/>
            <w:tcBorders>
              <w:top w:val="single" w:sz="4" w:space="0" w:color="000000"/>
              <w:left w:val="nil"/>
              <w:bottom w:val="nil"/>
              <w:right w:val="nil"/>
            </w:tcBorders>
            <w:vAlign w:val="center"/>
          </w:tcPr>
          <w:p w14:paraId="7CED28C3" w14:textId="77777777" w:rsidR="00123595" w:rsidRPr="006454B5" w:rsidRDefault="00123595" w:rsidP="00123595">
            <w:pPr>
              <w:spacing w:after="0" w:line="240" w:lineRule="auto"/>
              <w:jc w:val="center"/>
              <w:rPr>
                <w:rFonts w:ascii="Arial" w:hAnsi="Arial" w:cs="Arial"/>
                <w:sz w:val="20"/>
                <w:szCs w:val="20"/>
              </w:rPr>
            </w:pPr>
            <w:r w:rsidRPr="006454B5">
              <w:rPr>
                <w:rFonts w:ascii="Arial" w:hAnsi="Arial" w:cs="Arial"/>
                <w:sz w:val="20"/>
                <w:szCs w:val="20"/>
              </w:rPr>
              <w:t>Wald</w:t>
            </w:r>
          </w:p>
        </w:tc>
        <w:tc>
          <w:tcPr>
            <w:tcW w:w="426" w:type="dxa"/>
            <w:tcBorders>
              <w:top w:val="single" w:sz="4" w:space="0" w:color="000000"/>
              <w:left w:val="nil"/>
              <w:bottom w:val="nil"/>
              <w:right w:val="nil"/>
            </w:tcBorders>
            <w:vAlign w:val="center"/>
          </w:tcPr>
          <w:p w14:paraId="3141C93F" w14:textId="77777777" w:rsidR="00123595" w:rsidRPr="006454B5" w:rsidRDefault="00123595" w:rsidP="00123595">
            <w:pPr>
              <w:spacing w:after="0" w:line="240" w:lineRule="auto"/>
              <w:jc w:val="center"/>
              <w:rPr>
                <w:rFonts w:ascii="Arial" w:hAnsi="Arial" w:cs="Arial"/>
                <w:sz w:val="20"/>
                <w:szCs w:val="20"/>
              </w:rPr>
            </w:pPr>
            <w:r w:rsidRPr="006454B5">
              <w:rPr>
                <w:rFonts w:ascii="Arial" w:hAnsi="Arial" w:cs="Arial"/>
                <w:sz w:val="20"/>
                <w:szCs w:val="20"/>
              </w:rPr>
              <w:t>OR</w:t>
            </w:r>
          </w:p>
        </w:tc>
        <w:tc>
          <w:tcPr>
            <w:tcW w:w="1134" w:type="dxa"/>
            <w:tcBorders>
              <w:top w:val="single" w:sz="4" w:space="0" w:color="000000"/>
              <w:left w:val="nil"/>
              <w:bottom w:val="nil"/>
              <w:right w:val="nil"/>
            </w:tcBorders>
            <w:vAlign w:val="center"/>
          </w:tcPr>
          <w:p w14:paraId="43D2569F" w14:textId="77777777" w:rsidR="00123595" w:rsidRPr="006454B5" w:rsidRDefault="00123595" w:rsidP="00123595">
            <w:pPr>
              <w:spacing w:after="0" w:line="240" w:lineRule="auto"/>
              <w:jc w:val="center"/>
              <w:rPr>
                <w:rFonts w:ascii="Arial" w:hAnsi="Arial" w:cs="Arial"/>
                <w:sz w:val="20"/>
                <w:szCs w:val="20"/>
              </w:rPr>
            </w:pPr>
            <w:r w:rsidRPr="006454B5">
              <w:rPr>
                <w:rFonts w:ascii="Arial" w:hAnsi="Arial" w:cs="Arial"/>
                <w:sz w:val="20"/>
                <w:szCs w:val="20"/>
              </w:rPr>
              <w:t>95% CI</w:t>
            </w:r>
          </w:p>
        </w:tc>
      </w:tr>
      <w:tr w:rsidR="00123595" w:rsidRPr="006454B5" w14:paraId="154CECF7" w14:textId="77777777" w:rsidTr="00492808">
        <w:trPr>
          <w:trHeight w:val="20"/>
        </w:trPr>
        <w:tc>
          <w:tcPr>
            <w:tcW w:w="9398" w:type="dxa"/>
            <w:gridSpan w:val="9"/>
            <w:tcBorders>
              <w:top w:val="single" w:sz="4" w:space="0" w:color="000000"/>
              <w:left w:val="nil"/>
              <w:bottom w:val="nil"/>
              <w:right w:val="nil"/>
            </w:tcBorders>
            <w:vAlign w:val="center"/>
          </w:tcPr>
          <w:p w14:paraId="19E585DB" w14:textId="77777777" w:rsidR="00123595" w:rsidRPr="006454B5" w:rsidRDefault="00123595" w:rsidP="00123595">
            <w:pPr>
              <w:spacing w:after="0" w:line="240" w:lineRule="auto"/>
              <w:rPr>
                <w:rFonts w:ascii="Arial" w:hAnsi="Arial" w:cs="Arial"/>
                <w:sz w:val="20"/>
                <w:szCs w:val="20"/>
              </w:rPr>
            </w:pPr>
            <w:r w:rsidRPr="006454B5">
              <w:rPr>
                <w:rFonts w:ascii="Arial" w:hAnsi="Arial" w:cs="Arial"/>
                <w:i/>
                <w:iCs/>
                <w:spacing w:val="-3"/>
                <w:sz w:val="20"/>
                <w:szCs w:val="20"/>
                <w:u w:val="single"/>
              </w:rPr>
              <w:t>Victim Characteristics</w:t>
            </w:r>
          </w:p>
        </w:tc>
      </w:tr>
      <w:tr w:rsidR="00123595" w:rsidRPr="006454B5" w14:paraId="6B753274" w14:textId="77777777" w:rsidTr="00492808">
        <w:trPr>
          <w:trHeight w:val="20"/>
        </w:trPr>
        <w:tc>
          <w:tcPr>
            <w:tcW w:w="2735" w:type="dxa"/>
            <w:tcBorders>
              <w:top w:val="nil"/>
              <w:left w:val="nil"/>
              <w:bottom w:val="nil"/>
              <w:right w:val="nil"/>
            </w:tcBorders>
            <w:vAlign w:val="center"/>
          </w:tcPr>
          <w:p w14:paraId="432B815E" w14:textId="77777777" w:rsidR="00123595" w:rsidRPr="006454B5" w:rsidRDefault="00123595" w:rsidP="00123595">
            <w:pPr>
              <w:widowControl w:val="0"/>
              <w:kinsoku w:val="0"/>
              <w:overflowPunct w:val="0"/>
              <w:autoSpaceDE w:val="0"/>
              <w:autoSpaceDN w:val="0"/>
              <w:adjustRightInd w:val="0"/>
              <w:spacing w:after="0" w:line="278" w:lineRule="exact"/>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Under 16</w:t>
            </w:r>
          </w:p>
        </w:tc>
        <w:tc>
          <w:tcPr>
            <w:tcW w:w="993" w:type="dxa"/>
            <w:tcBorders>
              <w:top w:val="nil"/>
              <w:left w:val="nil"/>
              <w:bottom w:val="nil"/>
              <w:right w:val="nil"/>
            </w:tcBorders>
            <w:vAlign w:val="center"/>
          </w:tcPr>
          <w:p w14:paraId="770ED17B"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z w:val="20"/>
                <w:szCs w:val="20"/>
                <w:lang w:eastAsia="en-GB"/>
              </w:rPr>
            </w:pPr>
            <w:r w:rsidRPr="006454B5">
              <w:rPr>
                <w:rFonts w:ascii="Arial" w:eastAsiaTheme="minorEastAsia" w:hAnsi="Arial" w:cs="Arial"/>
                <w:sz w:val="20"/>
                <w:szCs w:val="20"/>
                <w:lang w:eastAsia="en-GB"/>
              </w:rPr>
              <w:t>-1.64 (.73)</w:t>
            </w:r>
          </w:p>
        </w:tc>
        <w:tc>
          <w:tcPr>
            <w:tcW w:w="850" w:type="dxa"/>
            <w:tcBorders>
              <w:top w:val="nil"/>
              <w:left w:val="nil"/>
              <w:bottom w:val="nil"/>
              <w:right w:val="nil"/>
            </w:tcBorders>
            <w:vAlign w:val="center"/>
          </w:tcPr>
          <w:p w14:paraId="0E874FD3"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b/>
                <w:bCs/>
                <w:spacing w:val="-2"/>
                <w:sz w:val="20"/>
                <w:szCs w:val="20"/>
                <w:lang w:eastAsia="en-GB"/>
              </w:rPr>
            </w:pPr>
            <w:r w:rsidRPr="006454B5">
              <w:rPr>
                <w:rFonts w:ascii="Arial" w:eastAsiaTheme="minorEastAsia" w:hAnsi="Arial" w:cs="Arial"/>
                <w:b/>
                <w:bCs/>
                <w:spacing w:val="-2"/>
                <w:sz w:val="20"/>
                <w:szCs w:val="20"/>
                <w:lang w:eastAsia="en-GB"/>
              </w:rPr>
              <w:t>5.11*</w:t>
            </w:r>
          </w:p>
        </w:tc>
        <w:tc>
          <w:tcPr>
            <w:tcW w:w="425" w:type="dxa"/>
            <w:tcBorders>
              <w:top w:val="nil"/>
              <w:left w:val="nil"/>
              <w:bottom w:val="nil"/>
              <w:right w:val="nil"/>
            </w:tcBorders>
            <w:vAlign w:val="center"/>
          </w:tcPr>
          <w:p w14:paraId="780E1A1B" w14:textId="77777777" w:rsidR="00123595" w:rsidRPr="006454B5" w:rsidRDefault="00123595" w:rsidP="00123595">
            <w:pPr>
              <w:widowControl w:val="0"/>
              <w:kinsoku w:val="0"/>
              <w:overflowPunct w:val="0"/>
              <w:autoSpaceDE w:val="0"/>
              <w:autoSpaceDN w:val="0"/>
              <w:adjustRightInd w:val="0"/>
              <w:spacing w:after="0" w:line="278" w:lineRule="exact"/>
              <w:ind w:right="4"/>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.19</w:t>
            </w:r>
          </w:p>
        </w:tc>
        <w:tc>
          <w:tcPr>
            <w:tcW w:w="1134" w:type="dxa"/>
            <w:tcBorders>
              <w:top w:val="nil"/>
              <w:left w:val="nil"/>
              <w:bottom w:val="nil"/>
              <w:right w:val="nil"/>
            </w:tcBorders>
            <w:vAlign w:val="center"/>
          </w:tcPr>
          <w:p w14:paraId="500C7073"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[.05, .80]</w:t>
            </w:r>
          </w:p>
        </w:tc>
        <w:tc>
          <w:tcPr>
            <w:tcW w:w="993" w:type="dxa"/>
            <w:tcBorders>
              <w:top w:val="nil"/>
              <w:left w:val="nil"/>
              <w:bottom w:val="nil"/>
              <w:right w:val="nil"/>
            </w:tcBorders>
            <w:vAlign w:val="center"/>
          </w:tcPr>
          <w:p w14:paraId="0842C253"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-1.39 (.74)</w:t>
            </w:r>
          </w:p>
        </w:tc>
        <w:tc>
          <w:tcPr>
            <w:tcW w:w="708" w:type="dxa"/>
            <w:tcBorders>
              <w:top w:val="nil"/>
              <w:left w:val="nil"/>
              <w:bottom w:val="nil"/>
              <w:right w:val="nil"/>
            </w:tcBorders>
            <w:vAlign w:val="center"/>
          </w:tcPr>
          <w:p w14:paraId="042595C4"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z w:val="20"/>
                <w:szCs w:val="20"/>
                <w:lang w:eastAsia="en-GB"/>
              </w:rPr>
            </w:pPr>
            <w:r w:rsidRPr="006454B5">
              <w:rPr>
                <w:rFonts w:ascii="Arial" w:eastAsiaTheme="minorEastAsia" w:hAnsi="Arial" w:cs="Arial"/>
                <w:sz w:val="20"/>
                <w:szCs w:val="20"/>
                <w:lang w:eastAsia="en-GB"/>
              </w:rPr>
              <w:t>3.53+</w:t>
            </w:r>
          </w:p>
        </w:tc>
        <w:tc>
          <w:tcPr>
            <w:tcW w:w="426" w:type="dxa"/>
            <w:tcBorders>
              <w:top w:val="nil"/>
              <w:left w:val="nil"/>
              <w:bottom w:val="nil"/>
              <w:right w:val="nil"/>
            </w:tcBorders>
            <w:vAlign w:val="center"/>
          </w:tcPr>
          <w:p w14:paraId="30EF28BE"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.25</w:t>
            </w:r>
          </w:p>
        </w:tc>
        <w:tc>
          <w:tcPr>
            <w:tcW w:w="1134" w:type="dxa"/>
            <w:tcBorders>
              <w:top w:val="nil"/>
              <w:left w:val="nil"/>
              <w:bottom w:val="nil"/>
              <w:right w:val="nil"/>
            </w:tcBorders>
            <w:vAlign w:val="center"/>
          </w:tcPr>
          <w:p w14:paraId="61FABEC3"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[.06, 1.06]</w:t>
            </w:r>
          </w:p>
        </w:tc>
      </w:tr>
      <w:tr w:rsidR="00123595" w:rsidRPr="006454B5" w14:paraId="7D23D9C8" w14:textId="77777777" w:rsidTr="00492808">
        <w:trPr>
          <w:trHeight w:val="20"/>
        </w:trPr>
        <w:tc>
          <w:tcPr>
            <w:tcW w:w="2735" w:type="dxa"/>
            <w:tcBorders>
              <w:top w:val="nil"/>
              <w:left w:val="nil"/>
              <w:bottom w:val="nil"/>
              <w:right w:val="nil"/>
            </w:tcBorders>
            <w:vAlign w:val="center"/>
          </w:tcPr>
          <w:p w14:paraId="0A1D7066" w14:textId="77777777" w:rsidR="00123595" w:rsidRPr="006454B5" w:rsidRDefault="00123595" w:rsidP="00123595">
            <w:pPr>
              <w:widowControl w:val="0"/>
              <w:kinsoku w:val="0"/>
              <w:overflowPunct w:val="0"/>
              <w:autoSpaceDE w:val="0"/>
              <w:autoSpaceDN w:val="0"/>
              <w:adjustRightInd w:val="0"/>
              <w:spacing w:after="0" w:line="278" w:lineRule="exact"/>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Mental health issues</w:t>
            </w:r>
          </w:p>
        </w:tc>
        <w:tc>
          <w:tcPr>
            <w:tcW w:w="993" w:type="dxa"/>
            <w:tcBorders>
              <w:top w:val="nil"/>
              <w:left w:val="nil"/>
              <w:bottom w:val="nil"/>
              <w:right w:val="nil"/>
            </w:tcBorders>
            <w:vAlign w:val="center"/>
          </w:tcPr>
          <w:p w14:paraId="266DAE08"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z w:val="20"/>
                <w:szCs w:val="20"/>
                <w:lang w:eastAsia="en-GB"/>
              </w:rPr>
            </w:pPr>
            <w:r w:rsidRPr="006454B5">
              <w:rPr>
                <w:rFonts w:ascii="Arial" w:eastAsiaTheme="minorEastAsia" w:hAnsi="Arial" w:cs="Arial"/>
                <w:sz w:val="20"/>
                <w:szCs w:val="20"/>
                <w:lang w:eastAsia="en-GB"/>
              </w:rPr>
              <w:t>.73 (.58)</w:t>
            </w:r>
          </w:p>
        </w:tc>
        <w:tc>
          <w:tcPr>
            <w:tcW w:w="850" w:type="dxa"/>
            <w:tcBorders>
              <w:top w:val="nil"/>
              <w:left w:val="nil"/>
              <w:bottom w:val="nil"/>
              <w:right w:val="nil"/>
            </w:tcBorders>
            <w:vAlign w:val="center"/>
          </w:tcPr>
          <w:p w14:paraId="58BA2C7E"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2"/>
                <w:sz w:val="20"/>
                <w:szCs w:val="20"/>
                <w:lang w:eastAsia="en-GB"/>
              </w:rPr>
            </w:pPr>
            <w:r w:rsidRPr="006454B5">
              <w:rPr>
                <w:rFonts w:ascii="Arial" w:eastAsiaTheme="minorEastAsia" w:hAnsi="Arial" w:cs="Arial"/>
                <w:spacing w:val="-2"/>
                <w:sz w:val="20"/>
                <w:szCs w:val="20"/>
                <w:lang w:eastAsia="en-GB"/>
              </w:rPr>
              <w:t>1.57</w:t>
            </w:r>
          </w:p>
        </w:tc>
        <w:tc>
          <w:tcPr>
            <w:tcW w:w="425" w:type="dxa"/>
            <w:tcBorders>
              <w:top w:val="nil"/>
              <w:left w:val="nil"/>
              <w:bottom w:val="nil"/>
              <w:right w:val="nil"/>
            </w:tcBorders>
            <w:vAlign w:val="center"/>
          </w:tcPr>
          <w:p w14:paraId="7949B177" w14:textId="77777777" w:rsidR="00123595" w:rsidRPr="006454B5" w:rsidRDefault="00123595" w:rsidP="00123595">
            <w:pPr>
              <w:widowControl w:val="0"/>
              <w:kinsoku w:val="0"/>
              <w:overflowPunct w:val="0"/>
              <w:autoSpaceDE w:val="0"/>
              <w:autoSpaceDN w:val="0"/>
              <w:adjustRightInd w:val="0"/>
              <w:spacing w:after="0" w:line="278" w:lineRule="exact"/>
              <w:ind w:right="4"/>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2.08</w:t>
            </w:r>
          </w:p>
        </w:tc>
        <w:tc>
          <w:tcPr>
            <w:tcW w:w="1134" w:type="dxa"/>
            <w:tcBorders>
              <w:top w:val="nil"/>
              <w:left w:val="nil"/>
              <w:bottom w:val="nil"/>
              <w:right w:val="nil"/>
            </w:tcBorders>
            <w:vAlign w:val="center"/>
          </w:tcPr>
          <w:p w14:paraId="1B2A1E50"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[.66, 6.54]</w:t>
            </w:r>
          </w:p>
        </w:tc>
        <w:tc>
          <w:tcPr>
            <w:tcW w:w="993" w:type="dxa"/>
            <w:tcBorders>
              <w:top w:val="nil"/>
              <w:left w:val="nil"/>
              <w:bottom w:val="nil"/>
              <w:right w:val="nil"/>
            </w:tcBorders>
            <w:vAlign w:val="center"/>
          </w:tcPr>
          <w:p w14:paraId="39D9B51C"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.95 (.57)</w:t>
            </w:r>
          </w:p>
        </w:tc>
        <w:tc>
          <w:tcPr>
            <w:tcW w:w="708" w:type="dxa"/>
            <w:tcBorders>
              <w:top w:val="nil"/>
              <w:left w:val="nil"/>
              <w:bottom w:val="nil"/>
              <w:right w:val="nil"/>
            </w:tcBorders>
            <w:vAlign w:val="center"/>
          </w:tcPr>
          <w:p w14:paraId="7005C909"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z w:val="20"/>
                <w:szCs w:val="20"/>
                <w:lang w:eastAsia="en-GB"/>
              </w:rPr>
            </w:pPr>
            <w:r w:rsidRPr="006454B5">
              <w:rPr>
                <w:rFonts w:ascii="Arial" w:eastAsiaTheme="minorEastAsia" w:hAnsi="Arial" w:cs="Arial"/>
                <w:sz w:val="20"/>
                <w:szCs w:val="20"/>
                <w:lang w:eastAsia="en-GB"/>
              </w:rPr>
              <w:t>2.75+</w:t>
            </w:r>
          </w:p>
        </w:tc>
        <w:tc>
          <w:tcPr>
            <w:tcW w:w="426" w:type="dxa"/>
            <w:tcBorders>
              <w:top w:val="nil"/>
              <w:left w:val="nil"/>
              <w:bottom w:val="nil"/>
              <w:right w:val="nil"/>
            </w:tcBorders>
            <w:vAlign w:val="center"/>
          </w:tcPr>
          <w:p w14:paraId="28FE649E"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2.58</w:t>
            </w:r>
          </w:p>
        </w:tc>
        <w:tc>
          <w:tcPr>
            <w:tcW w:w="1134" w:type="dxa"/>
            <w:tcBorders>
              <w:top w:val="nil"/>
              <w:left w:val="nil"/>
              <w:bottom w:val="nil"/>
              <w:right w:val="nil"/>
            </w:tcBorders>
            <w:vAlign w:val="center"/>
          </w:tcPr>
          <w:p w14:paraId="4266CF19"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[.84, 7.90]</w:t>
            </w:r>
          </w:p>
        </w:tc>
      </w:tr>
      <w:tr w:rsidR="00123595" w:rsidRPr="006454B5" w14:paraId="76736B04" w14:textId="77777777" w:rsidTr="00492808">
        <w:trPr>
          <w:trHeight w:val="20"/>
        </w:trPr>
        <w:tc>
          <w:tcPr>
            <w:tcW w:w="9398" w:type="dxa"/>
            <w:gridSpan w:val="9"/>
            <w:tcBorders>
              <w:top w:val="nil"/>
              <w:left w:val="nil"/>
              <w:bottom w:val="nil"/>
              <w:right w:val="nil"/>
            </w:tcBorders>
            <w:vAlign w:val="center"/>
          </w:tcPr>
          <w:p w14:paraId="6366B67B" w14:textId="77777777" w:rsidR="00123595" w:rsidRPr="006454B5" w:rsidRDefault="00123595" w:rsidP="00123595">
            <w:pPr>
              <w:widowControl w:val="0"/>
              <w:kinsoku w:val="0"/>
              <w:overflowPunct w:val="0"/>
              <w:autoSpaceDE w:val="0"/>
              <w:autoSpaceDN w:val="0"/>
              <w:adjustRightInd w:val="0"/>
              <w:spacing w:after="0" w:line="278" w:lineRule="exact"/>
              <w:rPr>
                <w:rFonts w:ascii="Arial" w:eastAsiaTheme="minorEastAsia" w:hAnsi="Arial" w:cs="Arial"/>
                <w:spacing w:val="-1"/>
                <w:sz w:val="20"/>
                <w:szCs w:val="20"/>
                <w:lang w:eastAsia="en-GB"/>
              </w:rPr>
            </w:pPr>
            <w:r w:rsidRPr="006454B5">
              <w:rPr>
                <w:rFonts w:ascii="Arial" w:eastAsiaTheme="minorEastAsia" w:hAnsi="Arial" w:cs="Arial"/>
                <w:i/>
                <w:iCs/>
                <w:spacing w:val="-1"/>
                <w:sz w:val="20"/>
                <w:szCs w:val="20"/>
                <w:u w:val="single"/>
                <w:lang w:eastAsia="en-GB"/>
              </w:rPr>
              <w:t>Suspect Characteristics</w:t>
            </w:r>
          </w:p>
        </w:tc>
      </w:tr>
      <w:tr w:rsidR="00123595" w:rsidRPr="006454B5" w14:paraId="00120247" w14:textId="77777777" w:rsidTr="00492808">
        <w:trPr>
          <w:trHeight w:val="20"/>
        </w:trPr>
        <w:tc>
          <w:tcPr>
            <w:tcW w:w="2735" w:type="dxa"/>
            <w:tcBorders>
              <w:top w:val="nil"/>
              <w:left w:val="nil"/>
              <w:bottom w:val="nil"/>
              <w:right w:val="nil"/>
            </w:tcBorders>
            <w:vAlign w:val="center"/>
          </w:tcPr>
          <w:p w14:paraId="44DD6C98" w14:textId="77777777" w:rsidR="00123595" w:rsidRPr="006454B5" w:rsidRDefault="00123595" w:rsidP="00123595">
            <w:pPr>
              <w:widowControl w:val="0"/>
              <w:kinsoku w:val="0"/>
              <w:overflowPunct w:val="0"/>
              <w:autoSpaceDE w:val="0"/>
              <w:autoSpaceDN w:val="0"/>
              <w:adjustRightInd w:val="0"/>
              <w:spacing w:after="0" w:line="278" w:lineRule="exact"/>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Intimate partner</w:t>
            </w:r>
          </w:p>
        </w:tc>
        <w:tc>
          <w:tcPr>
            <w:tcW w:w="993" w:type="dxa"/>
            <w:tcBorders>
              <w:top w:val="nil"/>
              <w:left w:val="nil"/>
              <w:bottom w:val="nil"/>
              <w:right w:val="nil"/>
            </w:tcBorders>
            <w:vAlign w:val="center"/>
          </w:tcPr>
          <w:p w14:paraId="7D9BCBAC"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z w:val="20"/>
                <w:szCs w:val="20"/>
                <w:lang w:eastAsia="en-GB"/>
              </w:rPr>
            </w:pPr>
            <w:r w:rsidRPr="006454B5">
              <w:rPr>
                <w:rFonts w:ascii="Arial" w:eastAsiaTheme="minorEastAsia" w:hAnsi="Arial" w:cs="Arial"/>
                <w:sz w:val="20"/>
                <w:szCs w:val="20"/>
                <w:lang w:eastAsia="en-GB"/>
              </w:rPr>
              <w:t>-.80 (.90)</w:t>
            </w:r>
          </w:p>
        </w:tc>
        <w:tc>
          <w:tcPr>
            <w:tcW w:w="850" w:type="dxa"/>
            <w:tcBorders>
              <w:top w:val="nil"/>
              <w:left w:val="nil"/>
              <w:bottom w:val="nil"/>
              <w:right w:val="nil"/>
            </w:tcBorders>
            <w:vAlign w:val="center"/>
          </w:tcPr>
          <w:p w14:paraId="5CE17820"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2"/>
                <w:sz w:val="20"/>
                <w:szCs w:val="20"/>
                <w:lang w:eastAsia="en-GB"/>
              </w:rPr>
            </w:pPr>
            <w:r w:rsidRPr="006454B5">
              <w:rPr>
                <w:rFonts w:ascii="Arial" w:eastAsiaTheme="minorEastAsia" w:hAnsi="Arial" w:cs="Arial"/>
                <w:spacing w:val="-2"/>
                <w:sz w:val="20"/>
                <w:szCs w:val="20"/>
                <w:lang w:eastAsia="en-GB"/>
              </w:rPr>
              <w:t>.79</w:t>
            </w:r>
          </w:p>
        </w:tc>
        <w:tc>
          <w:tcPr>
            <w:tcW w:w="425" w:type="dxa"/>
            <w:tcBorders>
              <w:top w:val="nil"/>
              <w:left w:val="nil"/>
              <w:bottom w:val="nil"/>
              <w:right w:val="nil"/>
            </w:tcBorders>
            <w:vAlign w:val="center"/>
          </w:tcPr>
          <w:p w14:paraId="50CA3A2B" w14:textId="77777777" w:rsidR="00123595" w:rsidRPr="006454B5" w:rsidRDefault="00123595" w:rsidP="00123595">
            <w:pPr>
              <w:widowControl w:val="0"/>
              <w:kinsoku w:val="0"/>
              <w:overflowPunct w:val="0"/>
              <w:autoSpaceDE w:val="0"/>
              <w:autoSpaceDN w:val="0"/>
              <w:adjustRightInd w:val="0"/>
              <w:spacing w:after="0" w:line="278" w:lineRule="exact"/>
              <w:ind w:right="4"/>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.45</w:t>
            </w:r>
          </w:p>
        </w:tc>
        <w:tc>
          <w:tcPr>
            <w:tcW w:w="1134" w:type="dxa"/>
            <w:tcBorders>
              <w:top w:val="nil"/>
              <w:left w:val="nil"/>
              <w:bottom w:val="nil"/>
              <w:right w:val="nil"/>
            </w:tcBorders>
            <w:vAlign w:val="center"/>
          </w:tcPr>
          <w:p w14:paraId="79265597"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[.08, 2.61]</w:t>
            </w:r>
          </w:p>
        </w:tc>
        <w:tc>
          <w:tcPr>
            <w:tcW w:w="993" w:type="dxa"/>
            <w:tcBorders>
              <w:top w:val="nil"/>
              <w:left w:val="nil"/>
              <w:bottom w:val="nil"/>
              <w:right w:val="nil"/>
            </w:tcBorders>
            <w:vAlign w:val="center"/>
          </w:tcPr>
          <w:p w14:paraId="4EAE771E"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-.64 (.89)</w:t>
            </w:r>
          </w:p>
        </w:tc>
        <w:tc>
          <w:tcPr>
            <w:tcW w:w="708" w:type="dxa"/>
            <w:tcBorders>
              <w:top w:val="nil"/>
              <w:left w:val="nil"/>
              <w:bottom w:val="nil"/>
              <w:right w:val="nil"/>
            </w:tcBorders>
            <w:vAlign w:val="center"/>
          </w:tcPr>
          <w:p w14:paraId="161C9E15"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z w:val="20"/>
                <w:szCs w:val="20"/>
                <w:lang w:eastAsia="en-GB"/>
              </w:rPr>
            </w:pPr>
            <w:r w:rsidRPr="006454B5">
              <w:rPr>
                <w:rFonts w:ascii="Arial" w:eastAsiaTheme="minorEastAsia" w:hAnsi="Arial" w:cs="Arial"/>
                <w:sz w:val="20"/>
                <w:szCs w:val="20"/>
                <w:lang w:eastAsia="en-GB"/>
              </w:rPr>
              <w:t>.52</w:t>
            </w:r>
          </w:p>
        </w:tc>
        <w:tc>
          <w:tcPr>
            <w:tcW w:w="426" w:type="dxa"/>
            <w:tcBorders>
              <w:top w:val="nil"/>
              <w:left w:val="nil"/>
              <w:bottom w:val="nil"/>
              <w:right w:val="nil"/>
            </w:tcBorders>
            <w:vAlign w:val="center"/>
          </w:tcPr>
          <w:p w14:paraId="62E9397C"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.53</w:t>
            </w:r>
          </w:p>
        </w:tc>
        <w:tc>
          <w:tcPr>
            <w:tcW w:w="1134" w:type="dxa"/>
            <w:tcBorders>
              <w:top w:val="nil"/>
              <w:left w:val="nil"/>
              <w:bottom w:val="nil"/>
              <w:right w:val="nil"/>
            </w:tcBorders>
            <w:vAlign w:val="center"/>
          </w:tcPr>
          <w:p w14:paraId="284F2A2F"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[.09, 3.02]</w:t>
            </w:r>
          </w:p>
        </w:tc>
      </w:tr>
      <w:tr w:rsidR="00123595" w:rsidRPr="006454B5" w14:paraId="7C054AD0" w14:textId="77777777" w:rsidTr="00492808">
        <w:trPr>
          <w:trHeight w:val="20"/>
        </w:trPr>
        <w:tc>
          <w:tcPr>
            <w:tcW w:w="2735" w:type="dxa"/>
            <w:tcBorders>
              <w:top w:val="nil"/>
              <w:left w:val="nil"/>
              <w:bottom w:val="nil"/>
              <w:right w:val="nil"/>
            </w:tcBorders>
            <w:vAlign w:val="center"/>
          </w:tcPr>
          <w:p w14:paraId="4DEE0FEB" w14:textId="77777777" w:rsidR="00123595" w:rsidRPr="006454B5" w:rsidRDefault="00123595" w:rsidP="00123595">
            <w:pPr>
              <w:widowControl w:val="0"/>
              <w:kinsoku w:val="0"/>
              <w:overflowPunct w:val="0"/>
              <w:autoSpaceDE w:val="0"/>
              <w:autoSpaceDN w:val="0"/>
              <w:adjustRightInd w:val="0"/>
              <w:spacing w:after="0" w:line="278" w:lineRule="exact"/>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Family member</w:t>
            </w:r>
          </w:p>
        </w:tc>
        <w:tc>
          <w:tcPr>
            <w:tcW w:w="993" w:type="dxa"/>
            <w:tcBorders>
              <w:top w:val="nil"/>
              <w:left w:val="nil"/>
              <w:bottom w:val="nil"/>
              <w:right w:val="nil"/>
            </w:tcBorders>
            <w:vAlign w:val="center"/>
          </w:tcPr>
          <w:p w14:paraId="40E59811"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z w:val="20"/>
                <w:szCs w:val="20"/>
                <w:lang w:eastAsia="en-GB"/>
              </w:rPr>
            </w:pPr>
            <w:r w:rsidRPr="006454B5">
              <w:rPr>
                <w:rFonts w:ascii="Arial" w:eastAsiaTheme="minorEastAsia" w:hAnsi="Arial" w:cs="Arial"/>
                <w:sz w:val="20"/>
                <w:szCs w:val="20"/>
                <w:lang w:eastAsia="en-GB"/>
              </w:rPr>
              <w:t>-1.41 (.94)</w:t>
            </w:r>
          </w:p>
        </w:tc>
        <w:tc>
          <w:tcPr>
            <w:tcW w:w="850" w:type="dxa"/>
            <w:tcBorders>
              <w:top w:val="nil"/>
              <w:left w:val="nil"/>
              <w:bottom w:val="nil"/>
              <w:right w:val="nil"/>
            </w:tcBorders>
            <w:vAlign w:val="center"/>
          </w:tcPr>
          <w:p w14:paraId="4307A8A8"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2"/>
                <w:sz w:val="20"/>
                <w:szCs w:val="20"/>
                <w:lang w:eastAsia="en-GB"/>
              </w:rPr>
            </w:pPr>
            <w:r w:rsidRPr="006454B5">
              <w:rPr>
                <w:rFonts w:ascii="Arial" w:eastAsiaTheme="minorEastAsia" w:hAnsi="Arial" w:cs="Arial"/>
                <w:spacing w:val="-2"/>
                <w:sz w:val="20"/>
                <w:szCs w:val="20"/>
                <w:lang w:eastAsia="en-GB"/>
              </w:rPr>
              <w:t>2.25</w:t>
            </w:r>
          </w:p>
        </w:tc>
        <w:tc>
          <w:tcPr>
            <w:tcW w:w="425" w:type="dxa"/>
            <w:tcBorders>
              <w:top w:val="nil"/>
              <w:left w:val="nil"/>
              <w:bottom w:val="nil"/>
              <w:right w:val="nil"/>
            </w:tcBorders>
            <w:vAlign w:val="center"/>
          </w:tcPr>
          <w:p w14:paraId="17DDFEC3" w14:textId="77777777" w:rsidR="00123595" w:rsidRPr="006454B5" w:rsidRDefault="00123595" w:rsidP="00123595">
            <w:pPr>
              <w:widowControl w:val="0"/>
              <w:kinsoku w:val="0"/>
              <w:overflowPunct w:val="0"/>
              <w:autoSpaceDE w:val="0"/>
              <w:autoSpaceDN w:val="0"/>
              <w:adjustRightInd w:val="0"/>
              <w:spacing w:after="0" w:line="278" w:lineRule="exact"/>
              <w:ind w:right="4"/>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.24</w:t>
            </w:r>
          </w:p>
        </w:tc>
        <w:tc>
          <w:tcPr>
            <w:tcW w:w="1134" w:type="dxa"/>
            <w:tcBorders>
              <w:top w:val="nil"/>
              <w:left w:val="nil"/>
              <w:bottom w:val="nil"/>
              <w:right w:val="nil"/>
            </w:tcBorders>
            <w:vAlign w:val="center"/>
          </w:tcPr>
          <w:p w14:paraId="3A834E7D"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[.04, 1.54]</w:t>
            </w:r>
          </w:p>
        </w:tc>
        <w:tc>
          <w:tcPr>
            <w:tcW w:w="993" w:type="dxa"/>
            <w:tcBorders>
              <w:top w:val="nil"/>
              <w:left w:val="nil"/>
              <w:bottom w:val="nil"/>
              <w:right w:val="nil"/>
            </w:tcBorders>
            <w:vAlign w:val="center"/>
          </w:tcPr>
          <w:p w14:paraId="5A66EE78"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-.39 (.88)</w:t>
            </w:r>
          </w:p>
        </w:tc>
        <w:tc>
          <w:tcPr>
            <w:tcW w:w="708" w:type="dxa"/>
            <w:tcBorders>
              <w:top w:val="nil"/>
              <w:left w:val="nil"/>
              <w:bottom w:val="nil"/>
              <w:right w:val="nil"/>
            </w:tcBorders>
            <w:vAlign w:val="center"/>
          </w:tcPr>
          <w:p w14:paraId="39D7625D"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z w:val="20"/>
                <w:szCs w:val="20"/>
                <w:lang w:eastAsia="en-GB"/>
              </w:rPr>
            </w:pPr>
            <w:r w:rsidRPr="006454B5">
              <w:rPr>
                <w:rFonts w:ascii="Arial" w:eastAsiaTheme="minorEastAsia" w:hAnsi="Arial" w:cs="Arial"/>
                <w:sz w:val="20"/>
                <w:szCs w:val="20"/>
                <w:lang w:eastAsia="en-GB"/>
              </w:rPr>
              <w:t>.20</w:t>
            </w:r>
          </w:p>
        </w:tc>
        <w:tc>
          <w:tcPr>
            <w:tcW w:w="426" w:type="dxa"/>
            <w:tcBorders>
              <w:top w:val="nil"/>
              <w:left w:val="nil"/>
              <w:bottom w:val="nil"/>
              <w:right w:val="nil"/>
            </w:tcBorders>
            <w:vAlign w:val="center"/>
          </w:tcPr>
          <w:p w14:paraId="16E54B6D"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.68</w:t>
            </w:r>
          </w:p>
        </w:tc>
        <w:tc>
          <w:tcPr>
            <w:tcW w:w="1134" w:type="dxa"/>
            <w:tcBorders>
              <w:top w:val="nil"/>
              <w:left w:val="nil"/>
              <w:bottom w:val="nil"/>
              <w:right w:val="nil"/>
            </w:tcBorders>
            <w:vAlign w:val="center"/>
          </w:tcPr>
          <w:p w14:paraId="758B4C91"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[.12, 3.76]</w:t>
            </w:r>
          </w:p>
        </w:tc>
      </w:tr>
      <w:tr w:rsidR="00123595" w:rsidRPr="006454B5" w14:paraId="03C607F5" w14:textId="77777777" w:rsidTr="00492808">
        <w:trPr>
          <w:trHeight w:val="20"/>
        </w:trPr>
        <w:tc>
          <w:tcPr>
            <w:tcW w:w="9398" w:type="dxa"/>
            <w:gridSpan w:val="9"/>
            <w:tcBorders>
              <w:top w:val="nil"/>
              <w:left w:val="nil"/>
              <w:bottom w:val="nil"/>
              <w:right w:val="nil"/>
            </w:tcBorders>
            <w:vAlign w:val="center"/>
          </w:tcPr>
          <w:p w14:paraId="7213FC61" w14:textId="77777777" w:rsidR="00123595" w:rsidRPr="006454B5" w:rsidRDefault="00123595" w:rsidP="00123595">
            <w:pPr>
              <w:widowControl w:val="0"/>
              <w:kinsoku w:val="0"/>
              <w:overflowPunct w:val="0"/>
              <w:autoSpaceDE w:val="0"/>
              <w:autoSpaceDN w:val="0"/>
              <w:adjustRightInd w:val="0"/>
              <w:spacing w:after="0" w:line="278" w:lineRule="exact"/>
              <w:rPr>
                <w:rFonts w:ascii="Arial" w:eastAsiaTheme="minorEastAsia" w:hAnsi="Arial" w:cs="Arial"/>
                <w:spacing w:val="-1"/>
                <w:sz w:val="20"/>
                <w:szCs w:val="20"/>
                <w:lang w:eastAsia="en-GB"/>
              </w:rPr>
            </w:pPr>
            <w:r w:rsidRPr="006454B5">
              <w:rPr>
                <w:rFonts w:ascii="Arial" w:eastAsiaTheme="minorEastAsia" w:hAnsi="Arial" w:cs="Arial"/>
                <w:i/>
                <w:iCs/>
                <w:spacing w:val="-1"/>
                <w:sz w:val="20"/>
                <w:szCs w:val="20"/>
                <w:u w:val="single"/>
                <w:lang w:eastAsia="en-GB"/>
              </w:rPr>
              <w:t>Offence Characteristics</w:t>
            </w:r>
          </w:p>
        </w:tc>
      </w:tr>
      <w:tr w:rsidR="00123595" w:rsidRPr="006454B5" w14:paraId="0515908F" w14:textId="77777777" w:rsidTr="00492808">
        <w:trPr>
          <w:trHeight w:val="20"/>
        </w:trPr>
        <w:tc>
          <w:tcPr>
            <w:tcW w:w="2735" w:type="dxa"/>
            <w:tcBorders>
              <w:top w:val="nil"/>
              <w:left w:val="nil"/>
              <w:bottom w:val="nil"/>
              <w:right w:val="nil"/>
            </w:tcBorders>
            <w:vAlign w:val="center"/>
          </w:tcPr>
          <w:p w14:paraId="5F2BF913" w14:textId="77777777" w:rsidR="00123595" w:rsidRPr="006454B5" w:rsidRDefault="00123595" w:rsidP="00123595">
            <w:pPr>
              <w:widowControl w:val="0"/>
              <w:kinsoku w:val="0"/>
              <w:overflowPunct w:val="0"/>
              <w:autoSpaceDE w:val="0"/>
              <w:autoSpaceDN w:val="0"/>
              <w:adjustRightInd w:val="0"/>
              <w:spacing w:after="0" w:line="278" w:lineRule="exact"/>
              <w:rPr>
                <w:rFonts w:ascii="Arial" w:eastAsiaTheme="minorEastAsia" w:hAnsi="Arial" w:cs="Arial"/>
                <w:sz w:val="20"/>
                <w:szCs w:val="20"/>
                <w:lang w:eastAsia="en-GB"/>
              </w:rPr>
            </w:pPr>
            <w:r w:rsidRPr="006454B5">
              <w:rPr>
                <w:rFonts w:ascii="Arial" w:eastAsiaTheme="minorEastAsia" w:hAnsi="Arial" w:cs="Arial"/>
                <w:spacing w:val="-1"/>
                <w:sz w:val="20"/>
                <w:szCs w:val="20"/>
                <w:lang w:eastAsia="en-GB"/>
              </w:rPr>
              <w:t>Domestic violence related</w:t>
            </w:r>
          </w:p>
        </w:tc>
        <w:tc>
          <w:tcPr>
            <w:tcW w:w="993" w:type="dxa"/>
            <w:tcBorders>
              <w:top w:val="nil"/>
              <w:left w:val="nil"/>
              <w:bottom w:val="nil"/>
              <w:right w:val="nil"/>
            </w:tcBorders>
            <w:vAlign w:val="center"/>
          </w:tcPr>
          <w:p w14:paraId="34FF3B26"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z w:val="20"/>
                <w:szCs w:val="20"/>
                <w:lang w:eastAsia="en-GB"/>
              </w:rPr>
            </w:pPr>
            <w:r w:rsidRPr="006454B5">
              <w:rPr>
                <w:rFonts w:ascii="Arial" w:eastAsiaTheme="minorEastAsia" w:hAnsi="Arial" w:cs="Arial"/>
                <w:sz w:val="20"/>
                <w:szCs w:val="20"/>
                <w:lang w:eastAsia="en-GB"/>
              </w:rPr>
              <w:t>-.30 (.88)</w:t>
            </w:r>
          </w:p>
        </w:tc>
        <w:tc>
          <w:tcPr>
            <w:tcW w:w="850" w:type="dxa"/>
            <w:tcBorders>
              <w:top w:val="nil"/>
              <w:left w:val="nil"/>
              <w:bottom w:val="nil"/>
              <w:right w:val="nil"/>
            </w:tcBorders>
            <w:vAlign w:val="center"/>
          </w:tcPr>
          <w:p w14:paraId="3E8CF433"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z w:val="20"/>
                <w:szCs w:val="20"/>
                <w:lang w:eastAsia="en-GB"/>
              </w:rPr>
            </w:pPr>
            <w:r w:rsidRPr="006454B5">
              <w:rPr>
                <w:rFonts w:ascii="Arial" w:eastAsiaTheme="minorEastAsia" w:hAnsi="Arial" w:cs="Arial"/>
                <w:sz w:val="20"/>
                <w:szCs w:val="20"/>
                <w:lang w:eastAsia="en-GB"/>
              </w:rPr>
              <w:t>.11</w:t>
            </w:r>
          </w:p>
        </w:tc>
        <w:tc>
          <w:tcPr>
            <w:tcW w:w="425" w:type="dxa"/>
            <w:tcBorders>
              <w:top w:val="nil"/>
              <w:left w:val="nil"/>
              <w:bottom w:val="nil"/>
              <w:right w:val="nil"/>
            </w:tcBorders>
            <w:vAlign w:val="center"/>
          </w:tcPr>
          <w:p w14:paraId="408128BC" w14:textId="77777777" w:rsidR="00123595" w:rsidRPr="006454B5" w:rsidRDefault="00123595" w:rsidP="00123595">
            <w:pPr>
              <w:widowControl w:val="0"/>
              <w:kinsoku w:val="0"/>
              <w:overflowPunct w:val="0"/>
              <w:autoSpaceDE w:val="0"/>
              <w:autoSpaceDN w:val="0"/>
              <w:adjustRightInd w:val="0"/>
              <w:spacing w:after="0" w:line="278" w:lineRule="exact"/>
              <w:ind w:right="4"/>
              <w:jc w:val="center"/>
              <w:rPr>
                <w:rFonts w:ascii="Arial" w:eastAsiaTheme="minorEastAsia" w:hAnsi="Arial" w:cs="Arial"/>
                <w:sz w:val="20"/>
                <w:szCs w:val="20"/>
                <w:lang w:eastAsia="en-GB"/>
              </w:rPr>
            </w:pPr>
            <w:r w:rsidRPr="006454B5">
              <w:rPr>
                <w:rFonts w:ascii="Arial" w:eastAsiaTheme="minorEastAsia" w:hAnsi="Arial" w:cs="Arial"/>
                <w:sz w:val="20"/>
                <w:szCs w:val="20"/>
                <w:lang w:eastAsia="en-GB"/>
              </w:rPr>
              <w:t>.74</w:t>
            </w:r>
          </w:p>
        </w:tc>
        <w:tc>
          <w:tcPr>
            <w:tcW w:w="1134" w:type="dxa"/>
            <w:tcBorders>
              <w:top w:val="nil"/>
              <w:left w:val="nil"/>
              <w:bottom w:val="nil"/>
              <w:right w:val="nil"/>
            </w:tcBorders>
            <w:vAlign w:val="center"/>
          </w:tcPr>
          <w:p w14:paraId="360496D4"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z w:val="20"/>
                <w:szCs w:val="20"/>
                <w:lang w:eastAsia="en-GB"/>
              </w:rPr>
            </w:pPr>
            <w:r w:rsidRPr="006454B5">
              <w:rPr>
                <w:rFonts w:ascii="Arial" w:eastAsiaTheme="minorEastAsia" w:hAnsi="Arial" w:cs="Arial"/>
                <w:sz w:val="20"/>
                <w:szCs w:val="20"/>
                <w:lang w:eastAsia="en-GB"/>
              </w:rPr>
              <w:t>[.13, 4.16]</w:t>
            </w:r>
          </w:p>
        </w:tc>
        <w:tc>
          <w:tcPr>
            <w:tcW w:w="993" w:type="dxa"/>
            <w:tcBorders>
              <w:top w:val="nil"/>
              <w:left w:val="nil"/>
              <w:bottom w:val="nil"/>
              <w:right w:val="nil"/>
            </w:tcBorders>
            <w:vAlign w:val="center"/>
          </w:tcPr>
          <w:p w14:paraId="691B1762"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z w:val="20"/>
                <w:szCs w:val="20"/>
                <w:lang w:eastAsia="en-GB"/>
              </w:rPr>
            </w:pPr>
            <w:r w:rsidRPr="006454B5">
              <w:rPr>
                <w:rFonts w:ascii="Arial" w:eastAsiaTheme="minorEastAsia" w:hAnsi="Arial" w:cs="Arial"/>
                <w:sz w:val="20"/>
                <w:szCs w:val="20"/>
                <w:lang w:eastAsia="en-GB"/>
              </w:rPr>
              <w:t>-.90 (.86)</w:t>
            </w:r>
          </w:p>
        </w:tc>
        <w:tc>
          <w:tcPr>
            <w:tcW w:w="708" w:type="dxa"/>
            <w:tcBorders>
              <w:top w:val="nil"/>
              <w:left w:val="nil"/>
              <w:bottom w:val="nil"/>
              <w:right w:val="nil"/>
            </w:tcBorders>
            <w:vAlign w:val="center"/>
          </w:tcPr>
          <w:p w14:paraId="4F5CF8AC"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z w:val="20"/>
                <w:szCs w:val="20"/>
                <w:lang w:eastAsia="en-GB"/>
              </w:rPr>
            </w:pPr>
            <w:r w:rsidRPr="006454B5">
              <w:rPr>
                <w:rFonts w:ascii="Arial" w:eastAsiaTheme="minorEastAsia" w:hAnsi="Arial" w:cs="Arial"/>
                <w:sz w:val="20"/>
                <w:szCs w:val="20"/>
                <w:lang w:eastAsia="en-GB"/>
              </w:rPr>
              <w:t>1.09</w:t>
            </w:r>
          </w:p>
        </w:tc>
        <w:tc>
          <w:tcPr>
            <w:tcW w:w="426" w:type="dxa"/>
            <w:tcBorders>
              <w:top w:val="nil"/>
              <w:left w:val="nil"/>
              <w:bottom w:val="nil"/>
              <w:right w:val="nil"/>
            </w:tcBorders>
            <w:vAlign w:val="center"/>
          </w:tcPr>
          <w:p w14:paraId="3CBCB1CE"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z w:val="20"/>
                <w:szCs w:val="20"/>
                <w:lang w:eastAsia="en-GB"/>
              </w:rPr>
            </w:pPr>
            <w:r w:rsidRPr="006454B5">
              <w:rPr>
                <w:rFonts w:ascii="Arial" w:eastAsiaTheme="minorEastAsia" w:hAnsi="Arial" w:cs="Arial"/>
                <w:sz w:val="20"/>
                <w:szCs w:val="20"/>
                <w:lang w:eastAsia="en-GB"/>
              </w:rPr>
              <w:t>.41</w:t>
            </w:r>
          </w:p>
        </w:tc>
        <w:tc>
          <w:tcPr>
            <w:tcW w:w="1134" w:type="dxa"/>
            <w:tcBorders>
              <w:top w:val="nil"/>
              <w:left w:val="nil"/>
              <w:bottom w:val="nil"/>
              <w:right w:val="nil"/>
            </w:tcBorders>
            <w:vAlign w:val="center"/>
          </w:tcPr>
          <w:p w14:paraId="2DFE0514"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z w:val="20"/>
                <w:szCs w:val="20"/>
                <w:lang w:eastAsia="en-GB"/>
              </w:rPr>
            </w:pPr>
            <w:r w:rsidRPr="006454B5">
              <w:rPr>
                <w:rFonts w:ascii="Arial" w:eastAsiaTheme="minorEastAsia" w:hAnsi="Arial" w:cs="Arial"/>
                <w:sz w:val="20"/>
                <w:szCs w:val="20"/>
                <w:lang w:eastAsia="en-GB"/>
              </w:rPr>
              <w:t>[.08, 2.20]</w:t>
            </w:r>
          </w:p>
        </w:tc>
      </w:tr>
      <w:tr w:rsidR="00123595" w:rsidRPr="006454B5" w14:paraId="242CE425" w14:textId="77777777" w:rsidTr="00492808">
        <w:trPr>
          <w:trHeight w:val="20"/>
        </w:trPr>
        <w:tc>
          <w:tcPr>
            <w:tcW w:w="2735" w:type="dxa"/>
            <w:tcBorders>
              <w:top w:val="nil"/>
              <w:left w:val="nil"/>
              <w:right w:val="nil"/>
            </w:tcBorders>
            <w:vAlign w:val="center"/>
          </w:tcPr>
          <w:p w14:paraId="27576B95" w14:textId="77777777" w:rsidR="00123595" w:rsidRPr="006454B5" w:rsidRDefault="00123595" w:rsidP="00123595">
            <w:pPr>
              <w:widowControl w:val="0"/>
              <w:kinsoku w:val="0"/>
              <w:overflowPunct w:val="0"/>
              <w:autoSpaceDE w:val="0"/>
              <w:autoSpaceDN w:val="0"/>
              <w:adjustRightInd w:val="0"/>
              <w:spacing w:after="0" w:line="282" w:lineRule="exact"/>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Injury sustained</w:t>
            </w:r>
          </w:p>
        </w:tc>
        <w:tc>
          <w:tcPr>
            <w:tcW w:w="993" w:type="dxa"/>
            <w:tcBorders>
              <w:top w:val="nil"/>
              <w:left w:val="nil"/>
              <w:right w:val="nil"/>
            </w:tcBorders>
            <w:vAlign w:val="center"/>
          </w:tcPr>
          <w:p w14:paraId="5FC6FE5B" w14:textId="77777777" w:rsidR="00123595" w:rsidRPr="006454B5" w:rsidRDefault="00123595" w:rsidP="00123595">
            <w:pPr>
              <w:widowControl w:val="0"/>
              <w:kinsoku w:val="0"/>
              <w:overflowPunct w:val="0"/>
              <w:autoSpaceDE w:val="0"/>
              <w:autoSpaceDN w:val="0"/>
              <w:adjustRightInd w:val="0"/>
              <w:spacing w:after="0" w:line="282"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-1.23 (.57)</w:t>
            </w:r>
          </w:p>
        </w:tc>
        <w:tc>
          <w:tcPr>
            <w:tcW w:w="850" w:type="dxa"/>
            <w:tcBorders>
              <w:top w:val="nil"/>
              <w:left w:val="nil"/>
              <w:right w:val="nil"/>
            </w:tcBorders>
            <w:vAlign w:val="center"/>
          </w:tcPr>
          <w:p w14:paraId="7018D0FB" w14:textId="77777777" w:rsidR="00123595" w:rsidRPr="006454B5" w:rsidRDefault="00123595" w:rsidP="00123595">
            <w:pPr>
              <w:widowControl w:val="0"/>
              <w:kinsoku w:val="0"/>
              <w:overflowPunct w:val="0"/>
              <w:autoSpaceDE w:val="0"/>
              <w:autoSpaceDN w:val="0"/>
              <w:adjustRightInd w:val="0"/>
              <w:spacing w:after="0" w:line="282" w:lineRule="exact"/>
              <w:jc w:val="center"/>
              <w:rPr>
                <w:rFonts w:ascii="Arial" w:eastAsiaTheme="minorEastAsia" w:hAnsi="Arial" w:cs="Arial"/>
                <w:b/>
                <w:bCs/>
                <w:spacing w:val="-1"/>
                <w:sz w:val="20"/>
                <w:szCs w:val="20"/>
                <w:lang w:eastAsia="en-GB"/>
              </w:rPr>
            </w:pPr>
            <w:r w:rsidRPr="006454B5">
              <w:rPr>
                <w:rFonts w:ascii="Arial" w:eastAsiaTheme="minorEastAsia" w:hAnsi="Arial" w:cs="Arial"/>
                <w:b/>
                <w:bCs/>
                <w:spacing w:val="-1"/>
                <w:sz w:val="20"/>
                <w:szCs w:val="20"/>
                <w:lang w:eastAsia="en-GB"/>
              </w:rPr>
              <w:t>4.62*</w:t>
            </w:r>
          </w:p>
        </w:tc>
        <w:tc>
          <w:tcPr>
            <w:tcW w:w="425" w:type="dxa"/>
            <w:tcBorders>
              <w:top w:val="nil"/>
              <w:left w:val="nil"/>
              <w:right w:val="nil"/>
            </w:tcBorders>
            <w:vAlign w:val="center"/>
          </w:tcPr>
          <w:p w14:paraId="03162AEB" w14:textId="77777777" w:rsidR="00123595" w:rsidRPr="006454B5" w:rsidRDefault="00123595" w:rsidP="00123595">
            <w:pPr>
              <w:widowControl w:val="0"/>
              <w:kinsoku w:val="0"/>
              <w:overflowPunct w:val="0"/>
              <w:autoSpaceDE w:val="0"/>
              <w:autoSpaceDN w:val="0"/>
              <w:adjustRightInd w:val="0"/>
              <w:spacing w:after="0" w:line="282" w:lineRule="exact"/>
              <w:ind w:right="4"/>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.29</w:t>
            </w:r>
          </w:p>
        </w:tc>
        <w:tc>
          <w:tcPr>
            <w:tcW w:w="1134" w:type="dxa"/>
            <w:tcBorders>
              <w:top w:val="nil"/>
              <w:left w:val="nil"/>
              <w:right w:val="nil"/>
            </w:tcBorders>
            <w:vAlign w:val="center"/>
          </w:tcPr>
          <w:p w14:paraId="0479250F" w14:textId="77777777" w:rsidR="00123595" w:rsidRPr="006454B5" w:rsidRDefault="00123595" w:rsidP="00123595">
            <w:pPr>
              <w:widowControl w:val="0"/>
              <w:kinsoku w:val="0"/>
              <w:overflowPunct w:val="0"/>
              <w:autoSpaceDE w:val="0"/>
              <w:autoSpaceDN w:val="0"/>
              <w:adjustRightInd w:val="0"/>
              <w:spacing w:after="0" w:line="282"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[.10, .90]</w:t>
            </w:r>
          </w:p>
        </w:tc>
        <w:tc>
          <w:tcPr>
            <w:tcW w:w="993" w:type="dxa"/>
            <w:tcBorders>
              <w:top w:val="nil"/>
              <w:left w:val="nil"/>
              <w:right w:val="nil"/>
            </w:tcBorders>
            <w:vAlign w:val="center"/>
          </w:tcPr>
          <w:p w14:paraId="368F5FF5" w14:textId="77777777" w:rsidR="00123595" w:rsidRPr="006454B5" w:rsidRDefault="00123595" w:rsidP="00123595">
            <w:pPr>
              <w:widowControl w:val="0"/>
              <w:kinsoku w:val="0"/>
              <w:overflowPunct w:val="0"/>
              <w:autoSpaceDE w:val="0"/>
              <w:autoSpaceDN w:val="0"/>
              <w:adjustRightInd w:val="0"/>
              <w:spacing w:after="0" w:line="282"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-.88 (.57)</w:t>
            </w:r>
          </w:p>
        </w:tc>
        <w:tc>
          <w:tcPr>
            <w:tcW w:w="708" w:type="dxa"/>
            <w:tcBorders>
              <w:top w:val="nil"/>
              <w:left w:val="nil"/>
              <w:right w:val="nil"/>
            </w:tcBorders>
            <w:vAlign w:val="center"/>
          </w:tcPr>
          <w:p w14:paraId="35610A9E" w14:textId="77777777" w:rsidR="00123595" w:rsidRPr="006454B5" w:rsidRDefault="00123595" w:rsidP="00123595">
            <w:pPr>
              <w:widowControl w:val="0"/>
              <w:kinsoku w:val="0"/>
              <w:overflowPunct w:val="0"/>
              <w:autoSpaceDE w:val="0"/>
              <w:autoSpaceDN w:val="0"/>
              <w:adjustRightInd w:val="0"/>
              <w:spacing w:after="0" w:line="282"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2.38</w:t>
            </w:r>
          </w:p>
        </w:tc>
        <w:tc>
          <w:tcPr>
            <w:tcW w:w="426" w:type="dxa"/>
            <w:tcBorders>
              <w:top w:val="nil"/>
              <w:left w:val="nil"/>
              <w:right w:val="nil"/>
            </w:tcBorders>
            <w:vAlign w:val="center"/>
          </w:tcPr>
          <w:p w14:paraId="66E12B09" w14:textId="77777777" w:rsidR="00123595" w:rsidRPr="006454B5" w:rsidRDefault="00123595" w:rsidP="00123595">
            <w:pPr>
              <w:widowControl w:val="0"/>
              <w:kinsoku w:val="0"/>
              <w:overflowPunct w:val="0"/>
              <w:autoSpaceDE w:val="0"/>
              <w:autoSpaceDN w:val="0"/>
              <w:adjustRightInd w:val="0"/>
              <w:spacing w:after="0" w:line="282"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.42</w:t>
            </w:r>
          </w:p>
        </w:tc>
        <w:tc>
          <w:tcPr>
            <w:tcW w:w="1134" w:type="dxa"/>
            <w:tcBorders>
              <w:top w:val="nil"/>
              <w:left w:val="nil"/>
              <w:right w:val="nil"/>
            </w:tcBorders>
            <w:vAlign w:val="center"/>
          </w:tcPr>
          <w:p w14:paraId="673CD7BA" w14:textId="77777777" w:rsidR="00123595" w:rsidRPr="006454B5" w:rsidRDefault="00123595" w:rsidP="00123595">
            <w:pPr>
              <w:widowControl w:val="0"/>
              <w:kinsoku w:val="0"/>
              <w:overflowPunct w:val="0"/>
              <w:autoSpaceDE w:val="0"/>
              <w:autoSpaceDN w:val="0"/>
              <w:adjustRightInd w:val="0"/>
              <w:spacing w:after="0" w:line="282"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[.14, 1.27]</w:t>
            </w:r>
          </w:p>
        </w:tc>
      </w:tr>
      <w:tr w:rsidR="00123595" w:rsidRPr="006454B5" w14:paraId="161D1832" w14:textId="77777777" w:rsidTr="00492808">
        <w:trPr>
          <w:trHeight w:val="20"/>
        </w:trPr>
        <w:tc>
          <w:tcPr>
            <w:tcW w:w="2735" w:type="dxa"/>
            <w:tcBorders>
              <w:top w:val="nil"/>
              <w:left w:val="nil"/>
              <w:bottom w:val="nil"/>
              <w:right w:val="nil"/>
            </w:tcBorders>
            <w:vAlign w:val="center"/>
          </w:tcPr>
          <w:p w14:paraId="693936A8" w14:textId="77777777" w:rsidR="00123595" w:rsidRPr="006454B5" w:rsidRDefault="00123595" w:rsidP="00123595">
            <w:pPr>
              <w:widowControl w:val="0"/>
              <w:kinsoku w:val="0"/>
              <w:overflowPunct w:val="0"/>
              <w:autoSpaceDE w:val="0"/>
              <w:autoSpaceDN w:val="0"/>
              <w:adjustRightInd w:val="0"/>
              <w:spacing w:after="0" w:line="282" w:lineRule="exact"/>
              <w:rPr>
                <w:rFonts w:ascii="Arial" w:eastAsiaTheme="minorEastAsia" w:hAnsi="Arial" w:cs="Arial"/>
                <w:i/>
                <w:iCs/>
                <w:spacing w:val="-1"/>
                <w:sz w:val="20"/>
                <w:szCs w:val="20"/>
                <w:u w:val="single"/>
                <w:lang w:eastAsia="en-GB"/>
              </w:rPr>
            </w:pPr>
            <w:r w:rsidRPr="006454B5">
              <w:rPr>
                <w:rFonts w:ascii="Arial" w:eastAsiaTheme="minorEastAsia" w:hAnsi="Arial" w:cs="Arial"/>
                <w:i/>
                <w:iCs/>
                <w:spacing w:val="-1"/>
                <w:sz w:val="20"/>
                <w:szCs w:val="20"/>
                <w:u w:val="single"/>
                <w:lang w:eastAsia="en-GB"/>
              </w:rPr>
              <w:t>Procedural characteristics</w:t>
            </w:r>
          </w:p>
        </w:tc>
        <w:tc>
          <w:tcPr>
            <w:tcW w:w="993" w:type="dxa"/>
            <w:tcBorders>
              <w:top w:val="nil"/>
              <w:left w:val="nil"/>
              <w:bottom w:val="nil"/>
              <w:right w:val="nil"/>
            </w:tcBorders>
            <w:vAlign w:val="center"/>
          </w:tcPr>
          <w:p w14:paraId="52F2B55B" w14:textId="77777777" w:rsidR="00123595" w:rsidRPr="006454B5" w:rsidRDefault="00123595" w:rsidP="00123595">
            <w:pPr>
              <w:widowControl w:val="0"/>
              <w:kinsoku w:val="0"/>
              <w:overflowPunct w:val="0"/>
              <w:autoSpaceDE w:val="0"/>
              <w:autoSpaceDN w:val="0"/>
              <w:adjustRightInd w:val="0"/>
              <w:spacing w:after="0" w:line="282" w:lineRule="exact"/>
              <w:jc w:val="center"/>
              <w:rPr>
                <w:rFonts w:ascii="Arial" w:eastAsiaTheme="minorEastAsia" w:hAnsi="Arial" w:cs="Arial"/>
                <w:spacing w:val="-1"/>
                <w:sz w:val="20"/>
                <w:szCs w:val="20"/>
                <w:lang w:eastAsia="en-GB"/>
              </w:rPr>
            </w:pPr>
          </w:p>
        </w:tc>
        <w:tc>
          <w:tcPr>
            <w:tcW w:w="850" w:type="dxa"/>
            <w:tcBorders>
              <w:top w:val="nil"/>
              <w:left w:val="nil"/>
              <w:bottom w:val="nil"/>
              <w:right w:val="nil"/>
            </w:tcBorders>
            <w:vAlign w:val="center"/>
          </w:tcPr>
          <w:p w14:paraId="4424343B" w14:textId="77777777" w:rsidR="00123595" w:rsidRPr="006454B5" w:rsidRDefault="00123595" w:rsidP="00123595">
            <w:pPr>
              <w:widowControl w:val="0"/>
              <w:kinsoku w:val="0"/>
              <w:overflowPunct w:val="0"/>
              <w:autoSpaceDE w:val="0"/>
              <w:autoSpaceDN w:val="0"/>
              <w:adjustRightInd w:val="0"/>
              <w:spacing w:after="0" w:line="282" w:lineRule="exact"/>
              <w:jc w:val="center"/>
              <w:rPr>
                <w:rFonts w:ascii="Arial" w:eastAsiaTheme="minorEastAsia" w:hAnsi="Arial" w:cs="Arial"/>
                <w:spacing w:val="-1"/>
                <w:sz w:val="20"/>
                <w:szCs w:val="20"/>
                <w:lang w:eastAsia="en-GB"/>
              </w:rPr>
            </w:pPr>
          </w:p>
        </w:tc>
        <w:tc>
          <w:tcPr>
            <w:tcW w:w="425" w:type="dxa"/>
            <w:tcBorders>
              <w:top w:val="nil"/>
              <w:left w:val="nil"/>
              <w:bottom w:val="nil"/>
              <w:right w:val="nil"/>
            </w:tcBorders>
            <w:vAlign w:val="center"/>
          </w:tcPr>
          <w:p w14:paraId="3BF4A2E9" w14:textId="77777777" w:rsidR="00123595" w:rsidRPr="006454B5" w:rsidRDefault="00123595" w:rsidP="00123595">
            <w:pPr>
              <w:widowControl w:val="0"/>
              <w:kinsoku w:val="0"/>
              <w:overflowPunct w:val="0"/>
              <w:autoSpaceDE w:val="0"/>
              <w:autoSpaceDN w:val="0"/>
              <w:adjustRightInd w:val="0"/>
              <w:spacing w:after="0" w:line="282" w:lineRule="exact"/>
              <w:ind w:right="4"/>
              <w:jc w:val="center"/>
              <w:rPr>
                <w:rFonts w:ascii="Arial" w:eastAsiaTheme="minorEastAsia" w:hAnsi="Arial" w:cs="Arial"/>
                <w:spacing w:val="-1"/>
                <w:sz w:val="20"/>
                <w:szCs w:val="20"/>
                <w:lang w:eastAsia="en-GB"/>
              </w:rPr>
            </w:pPr>
          </w:p>
        </w:tc>
        <w:tc>
          <w:tcPr>
            <w:tcW w:w="1134" w:type="dxa"/>
            <w:tcBorders>
              <w:top w:val="nil"/>
              <w:left w:val="nil"/>
              <w:bottom w:val="nil"/>
              <w:right w:val="nil"/>
            </w:tcBorders>
            <w:vAlign w:val="center"/>
          </w:tcPr>
          <w:p w14:paraId="331A9891" w14:textId="77777777" w:rsidR="00123595" w:rsidRPr="006454B5" w:rsidRDefault="00123595" w:rsidP="00123595">
            <w:pPr>
              <w:widowControl w:val="0"/>
              <w:kinsoku w:val="0"/>
              <w:overflowPunct w:val="0"/>
              <w:autoSpaceDE w:val="0"/>
              <w:autoSpaceDN w:val="0"/>
              <w:adjustRightInd w:val="0"/>
              <w:spacing w:after="0" w:line="282" w:lineRule="exact"/>
              <w:jc w:val="center"/>
              <w:rPr>
                <w:rFonts w:ascii="Arial" w:eastAsiaTheme="minorEastAsia" w:hAnsi="Arial" w:cs="Arial"/>
                <w:spacing w:val="-1"/>
                <w:sz w:val="20"/>
                <w:szCs w:val="20"/>
                <w:lang w:eastAsia="en-GB"/>
              </w:rPr>
            </w:pPr>
          </w:p>
        </w:tc>
        <w:tc>
          <w:tcPr>
            <w:tcW w:w="993" w:type="dxa"/>
            <w:tcBorders>
              <w:top w:val="nil"/>
              <w:left w:val="nil"/>
              <w:bottom w:val="nil"/>
              <w:right w:val="nil"/>
            </w:tcBorders>
            <w:vAlign w:val="center"/>
          </w:tcPr>
          <w:p w14:paraId="1E5BB6F0" w14:textId="77777777" w:rsidR="00123595" w:rsidRPr="006454B5" w:rsidRDefault="00123595" w:rsidP="00123595">
            <w:pPr>
              <w:widowControl w:val="0"/>
              <w:kinsoku w:val="0"/>
              <w:overflowPunct w:val="0"/>
              <w:autoSpaceDE w:val="0"/>
              <w:autoSpaceDN w:val="0"/>
              <w:adjustRightInd w:val="0"/>
              <w:spacing w:after="0" w:line="282" w:lineRule="exact"/>
              <w:jc w:val="center"/>
              <w:rPr>
                <w:rFonts w:ascii="Arial" w:eastAsiaTheme="minorEastAsia" w:hAnsi="Arial" w:cs="Arial"/>
                <w:spacing w:val="-1"/>
                <w:sz w:val="20"/>
                <w:szCs w:val="20"/>
                <w:lang w:eastAsia="en-GB"/>
              </w:rPr>
            </w:pPr>
          </w:p>
        </w:tc>
        <w:tc>
          <w:tcPr>
            <w:tcW w:w="708" w:type="dxa"/>
            <w:tcBorders>
              <w:top w:val="nil"/>
              <w:left w:val="nil"/>
              <w:bottom w:val="nil"/>
              <w:right w:val="nil"/>
            </w:tcBorders>
            <w:vAlign w:val="center"/>
          </w:tcPr>
          <w:p w14:paraId="3F85DADF" w14:textId="77777777" w:rsidR="00123595" w:rsidRPr="006454B5" w:rsidRDefault="00123595" w:rsidP="00123595">
            <w:pPr>
              <w:widowControl w:val="0"/>
              <w:kinsoku w:val="0"/>
              <w:overflowPunct w:val="0"/>
              <w:autoSpaceDE w:val="0"/>
              <w:autoSpaceDN w:val="0"/>
              <w:adjustRightInd w:val="0"/>
              <w:spacing w:after="0" w:line="282" w:lineRule="exact"/>
              <w:jc w:val="center"/>
              <w:rPr>
                <w:rFonts w:ascii="Arial" w:eastAsiaTheme="minorEastAsia" w:hAnsi="Arial" w:cs="Arial"/>
                <w:spacing w:val="-1"/>
                <w:sz w:val="20"/>
                <w:szCs w:val="20"/>
                <w:lang w:eastAsia="en-GB"/>
              </w:rPr>
            </w:pPr>
          </w:p>
        </w:tc>
        <w:tc>
          <w:tcPr>
            <w:tcW w:w="426" w:type="dxa"/>
            <w:tcBorders>
              <w:top w:val="nil"/>
              <w:left w:val="nil"/>
              <w:bottom w:val="nil"/>
              <w:right w:val="nil"/>
            </w:tcBorders>
            <w:vAlign w:val="center"/>
          </w:tcPr>
          <w:p w14:paraId="0D2A7402" w14:textId="77777777" w:rsidR="00123595" w:rsidRPr="006454B5" w:rsidRDefault="00123595" w:rsidP="00123595">
            <w:pPr>
              <w:widowControl w:val="0"/>
              <w:kinsoku w:val="0"/>
              <w:overflowPunct w:val="0"/>
              <w:autoSpaceDE w:val="0"/>
              <w:autoSpaceDN w:val="0"/>
              <w:adjustRightInd w:val="0"/>
              <w:spacing w:after="0" w:line="282" w:lineRule="exact"/>
              <w:jc w:val="center"/>
              <w:rPr>
                <w:rFonts w:ascii="Arial" w:eastAsiaTheme="minorEastAsia" w:hAnsi="Arial" w:cs="Arial"/>
                <w:spacing w:val="-1"/>
                <w:sz w:val="20"/>
                <w:szCs w:val="20"/>
                <w:lang w:eastAsia="en-GB"/>
              </w:rPr>
            </w:pPr>
          </w:p>
        </w:tc>
        <w:tc>
          <w:tcPr>
            <w:tcW w:w="1134" w:type="dxa"/>
            <w:tcBorders>
              <w:top w:val="nil"/>
              <w:left w:val="nil"/>
              <w:bottom w:val="nil"/>
              <w:right w:val="nil"/>
            </w:tcBorders>
            <w:vAlign w:val="center"/>
          </w:tcPr>
          <w:p w14:paraId="30B11FC8" w14:textId="77777777" w:rsidR="00123595" w:rsidRPr="006454B5" w:rsidRDefault="00123595" w:rsidP="00123595">
            <w:pPr>
              <w:widowControl w:val="0"/>
              <w:kinsoku w:val="0"/>
              <w:overflowPunct w:val="0"/>
              <w:autoSpaceDE w:val="0"/>
              <w:autoSpaceDN w:val="0"/>
              <w:adjustRightInd w:val="0"/>
              <w:spacing w:after="0" w:line="282" w:lineRule="exact"/>
              <w:jc w:val="center"/>
              <w:rPr>
                <w:rFonts w:ascii="Arial" w:eastAsiaTheme="minorEastAsia" w:hAnsi="Arial" w:cs="Arial"/>
                <w:spacing w:val="-1"/>
                <w:sz w:val="20"/>
                <w:szCs w:val="20"/>
                <w:lang w:eastAsia="en-GB"/>
              </w:rPr>
            </w:pPr>
          </w:p>
        </w:tc>
      </w:tr>
      <w:tr w:rsidR="00123595" w:rsidRPr="006454B5" w14:paraId="64A8DA25" w14:textId="77777777" w:rsidTr="00492808">
        <w:trPr>
          <w:trHeight w:val="20"/>
        </w:trPr>
        <w:tc>
          <w:tcPr>
            <w:tcW w:w="2735" w:type="dxa"/>
            <w:tcBorders>
              <w:top w:val="nil"/>
              <w:left w:val="nil"/>
              <w:bottom w:val="nil"/>
              <w:right w:val="nil"/>
            </w:tcBorders>
            <w:vAlign w:val="center"/>
          </w:tcPr>
          <w:p w14:paraId="7535F626" w14:textId="77777777" w:rsidR="00123595" w:rsidRPr="006454B5" w:rsidRDefault="00123595" w:rsidP="00123595">
            <w:pPr>
              <w:widowControl w:val="0"/>
              <w:kinsoku w:val="0"/>
              <w:overflowPunct w:val="0"/>
              <w:autoSpaceDE w:val="0"/>
              <w:autoSpaceDN w:val="0"/>
              <w:adjustRightInd w:val="0"/>
              <w:spacing w:after="0" w:line="278" w:lineRule="exact"/>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Reported via DASH</w:t>
            </w:r>
          </w:p>
        </w:tc>
        <w:tc>
          <w:tcPr>
            <w:tcW w:w="993" w:type="dxa"/>
            <w:tcBorders>
              <w:top w:val="nil"/>
              <w:left w:val="nil"/>
              <w:bottom w:val="nil"/>
              <w:right w:val="nil"/>
            </w:tcBorders>
            <w:vAlign w:val="center"/>
          </w:tcPr>
          <w:p w14:paraId="323114A7"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z w:val="20"/>
                <w:szCs w:val="20"/>
                <w:lang w:eastAsia="en-GB"/>
              </w:rPr>
            </w:pPr>
            <w:r w:rsidRPr="006454B5">
              <w:rPr>
                <w:rFonts w:ascii="Arial" w:eastAsiaTheme="minorEastAsia" w:hAnsi="Arial" w:cs="Arial"/>
                <w:sz w:val="20"/>
                <w:szCs w:val="20"/>
                <w:lang w:eastAsia="en-GB"/>
              </w:rPr>
              <w:t>1.79 (.88)</w:t>
            </w:r>
          </w:p>
        </w:tc>
        <w:tc>
          <w:tcPr>
            <w:tcW w:w="850" w:type="dxa"/>
            <w:tcBorders>
              <w:top w:val="nil"/>
              <w:left w:val="nil"/>
              <w:bottom w:val="nil"/>
              <w:right w:val="nil"/>
            </w:tcBorders>
            <w:vAlign w:val="center"/>
          </w:tcPr>
          <w:p w14:paraId="1FF22675"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b/>
                <w:bCs/>
                <w:spacing w:val="-2"/>
                <w:sz w:val="20"/>
                <w:szCs w:val="20"/>
                <w:lang w:eastAsia="en-GB"/>
              </w:rPr>
            </w:pPr>
            <w:r w:rsidRPr="006454B5">
              <w:rPr>
                <w:rFonts w:ascii="Arial" w:eastAsiaTheme="minorEastAsia" w:hAnsi="Arial" w:cs="Arial"/>
                <w:b/>
                <w:bCs/>
                <w:spacing w:val="-2"/>
                <w:sz w:val="20"/>
                <w:szCs w:val="20"/>
                <w:lang w:eastAsia="en-GB"/>
              </w:rPr>
              <w:t>4.32*</w:t>
            </w:r>
          </w:p>
        </w:tc>
        <w:tc>
          <w:tcPr>
            <w:tcW w:w="425" w:type="dxa"/>
            <w:tcBorders>
              <w:top w:val="nil"/>
              <w:left w:val="nil"/>
              <w:bottom w:val="nil"/>
              <w:right w:val="nil"/>
            </w:tcBorders>
            <w:vAlign w:val="center"/>
          </w:tcPr>
          <w:p w14:paraId="27BA1D8A" w14:textId="77777777" w:rsidR="00123595" w:rsidRPr="006454B5" w:rsidRDefault="00123595" w:rsidP="00123595">
            <w:pPr>
              <w:widowControl w:val="0"/>
              <w:kinsoku w:val="0"/>
              <w:overflowPunct w:val="0"/>
              <w:autoSpaceDE w:val="0"/>
              <w:autoSpaceDN w:val="0"/>
              <w:adjustRightInd w:val="0"/>
              <w:spacing w:after="0" w:line="278" w:lineRule="exact"/>
              <w:ind w:right="4"/>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5.96</w:t>
            </w:r>
          </w:p>
        </w:tc>
        <w:tc>
          <w:tcPr>
            <w:tcW w:w="1134" w:type="dxa"/>
            <w:tcBorders>
              <w:top w:val="nil"/>
              <w:left w:val="nil"/>
              <w:bottom w:val="nil"/>
              <w:right w:val="nil"/>
            </w:tcBorders>
            <w:vAlign w:val="center"/>
          </w:tcPr>
          <w:p w14:paraId="2A0BF21A"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[1.11, 32.12]</w:t>
            </w:r>
          </w:p>
        </w:tc>
        <w:tc>
          <w:tcPr>
            <w:tcW w:w="993" w:type="dxa"/>
            <w:tcBorders>
              <w:top w:val="nil"/>
              <w:left w:val="nil"/>
              <w:bottom w:val="nil"/>
              <w:right w:val="nil"/>
            </w:tcBorders>
            <w:vAlign w:val="center"/>
          </w:tcPr>
          <w:p w14:paraId="2753A76A"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1.37 (.91)</w:t>
            </w:r>
          </w:p>
        </w:tc>
        <w:tc>
          <w:tcPr>
            <w:tcW w:w="708" w:type="dxa"/>
            <w:tcBorders>
              <w:top w:val="nil"/>
              <w:left w:val="nil"/>
              <w:bottom w:val="nil"/>
              <w:right w:val="nil"/>
            </w:tcBorders>
            <w:vAlign w:val="center"/>
          </w:tcPr>
          <w:p w14:paraId="4F4A4A6D"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z w:val="20"/>
                <w:szCs w:val="20"/>
                <w:lang w:eastAsia="en-GB"/>
              </w:rPr>
            </w:pPr>
            <w:r w:rsidRPr="006454B5">
              <w:rPr>
                <w:rFonts w:ascii="Arial" w:eastAsiaTheme="minorEastAsia" w:hAnsi="Arial" w:cs="Arial"/>
                <w:sz w:val="20"/>
                <w:szCs w:val="20"/>
                <w:lang w:eastAsia="en-GB"/>
              </w:rPr>
              <w:t>2.27</w:t>
            </w:r>
          </w:p>
        </w:tc>
        <w:tc>
          <w:tcPr>
            <w:tcW w:w="426" w:type="dxa"/>
            <w:tcBorders>
              <w:top w:val="nil"/>
              <w:left w:val="nil"/>
              <w:bottom w:val="nil"/>
              <w:right w:val="nil"/>
            </w:tcBorders>
            <w:vAlign w:val="center"/>
          </w:tcPr>
          <w:p w14:paraId="701604EC"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3.93</w:t>
            </w:r>
          </w:p>
        </w:tc>
        <w:tc>
          <w:tcPr>
            <w:tcW w:w="1134" w:type="dxa"/>
            <w:tcBorders>
              <w:top w:val="nil"/>
              <w:left w:val="nil"/>
              <w:bottom w:val="nil"/>
              <w:right w:val="nil"/>
            </w:tcBorders>
            <w:vAlign w:val="center"/>
          </w:tcPr>
          <w:p w14:paraId="17C7BCF6"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[.66, 23.30]</w:t>
            </w:r>
          </w:p>
        </w:tc>
      </w:tr>
      <w:tr w:rsidR="00123595" w:rsidRPr="006454B5" w14:paraId="748E6335" w14:textId="77777777" w:rsidTr="00492808">
        <w:trPr>
          <w:trHeight w:val="20"/>
        </w:trPr>
        <w:tc>
          <w:tcPr>
            <w:tcW w:w="2735" w:type="dxa"/>
            <w:tcBorders>
              <w:top w:val="nil"/>
              <w:left w:val="nil"/>
              <w:bottom w:val="nil"/>
              <w:right w:val="nil"/>
            </w:tcBorders>
            <w:vAlign w:val="center"/>
          </w:tcPr>
          <w:p w14:paraId="3CC5A0CC" w14:textId="77777777" w:rsidR="00123595" w:rsidRPr="006454B5" w:rsidRDefault="00123595" w:rsidP="00123595">
            <w:pPr>
              <w:widowControl w:val="0"/>
              <w:kinsoku w:val="0"/>
              <w:overflowPunct w:val="0"/>
              <w:autoSpaceDE w:val="0"/>
              <w:autoSpaceDN w:val="0"/>
              <w:adjustRightInd w:val="0"/>
              <w:spacing w:after="0" w:line="278" w:lineRule="exact"/>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Video Recorded Interview</w:t>
            </w:r>
          </w:p>
        </w:tc>
        <w:tc>
          <w:tcPr>
            <w:tcW w:w="993" w:type="dxa"/>
            <w:tcBorders>
              <w:top w:val="nil"/>
              <w:left w:val="nil"/>
              <w:bottom w:val="nil"/>
              <w:right w:val="nil"/>
            </w:tcBorders>
            <w:vAlign w:val="center"/>
          </w:tcPr>
          <w:p w14:paraId="04B68668"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z w:val="20"/>
                <w:szCs w:val="20"/>
                <w:lang w:eastAsia="en-GB"/>
              </w:rPr>
            </w:pPr>
            <w:r w:rsidRPr="006454B5">
              <w:rPr>
                <w:rFonts w:ascii="Arial" w:eastAsiaTheme="minorEastAsia" w:hAnsi="Arial" w:cs="Arial"/>
                <w:sz w:val="20"/>
                <w:szCs w:val="20"/>
                <w:lang w:eastAsia="en-GB"/>
              </w:rPr>
              <w:t>-1.21 (.62)</w:t>
            </w:r>
          </w:p>
        </w:tc>
        <w:tc>
          <w:tcPr>
            <w:tcW w:w="850" w:type="dxa"/>
            <w:tcBorders>
              <w:top w:val="nil"/>
              <w:left w:val="nil"/>
              <w:bottom w:val="nil"/>
              <w:right w:val="nil"/>
            </w:tcBorders>
            <w:vAlign w:val="center"/>
          </w:tcPr>
          <w:p w14:paraId="694F0484"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2"/>
                <w:sz w:val="20"/>
                <w:szCs w:val="20"/>
                <w:lang w:eastAsia="en-GB"/>
              </w:rPr>
            </w:pPr>
            <w:r w:rsidRPr="006454B5">
              <w:rPr>
                <w:rFonts w:ascii="Arial" w:eastAsiaTheme="minorEastAsia" w:hAnsi="Arial" w:cs="Arial"/>
                <w:spacing w:val="-2"/>
                <w:sz w:val="20"/>
                <w:szCs w:val="20"/>
                <w:lang w:eastAsia="en-GB"/>
              </w:rPr>
              <w:t>3.81+</w:t>
            </w:r>
          </w:p>
        </w:tc>
        <w:tc>
          <w:tcPr>
            <w:tcW w:w="425" w:type="dxa"/>
            <w:tcBorders>
              <w:top w:val="nil"/>
              <w:left w:val="nil"/>
              <w:bottom w:val="nil"/>
              <w:right w:val="nil"/>
            </w:tcBorders>
            <w:vAlign w:val="center"/>
          </w:tcPr>
          <w:p w14:paraId="176D39C3" w14:textId="77777777" w:rsidR="00123595" w:rsidRPr="006454B5" w:rsidRDefault="00123595" w:rsidP="00123595">
            <w:pPr>
              <w:widowControl w:val="0"/>
              <w:kinsoku w:val="0"/>
              <w:overflowPunct w:val="0"/>
              <w:autoSpaceDE w:val="0"/>
              <w:autoSpaceDN w:val="0"/>
              <w:adjustRightInd w:val="0"/>
              <w:spacing w:after="0" w:line="278" w:lineRule="exact"/>
              <w:ind w:right="4"/>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.30</w:t>
            </w:r>
          </w:p>
        </w:tc>
        <w:tc>
          <w:tcPr>
            <w:tcW w:w="1134" w:type="dxa"/>
            <w:tcBorders>
              <w:top w:val="nil"/>
              <w:left w:val="nil"/>
              <w:bottom w:val="nil"/>
              <w:right w:val="nil"/>
            </w:tcBorders>
            <w:vAlign w:val="center"/>
          </w:tcPr>
          <w:p w14:paraId="544DA057"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[.09, 1.00]</w:t>
            </w:r>
          </w:p>
        </w:tc>
        <w:tc>
          <w:tcPr>
            <w:tcW w:w="993" w:type="dxa"/>
            <w:tcBorders>
              <w:top w:val="nil"/>
              <w:left w:val="nil"/>
              <w:bottom w:val="nil"/>
              <w:right w:val="nil"/>
            </w:tcBorders>
            <w:vAlign w:val="center"/>
          </w:tcPr>
          <w:p w14:paraId="410D13C7"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-.03 (.67)</w:t>
            </w:r>
          </w:p>
        </w:tc>
        <w:tc>
          <w:tcPr>
            <w:tcW w:w="708" w:type="dxa"/>
            <w:tcBorders>
              <w:top w:val="nil"/>
              <w:left w:val="nil"/>
              <w:bottom w:val="nil"/>
              <w:right w:val="nil"/>
            </w:tcBorders>
            <w:vAlign w:val="center"/>
          </w:tcPr>
          <w:p w14:paraId="2DBCA1E5"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z w:val="20"/>
                <w:szCs w:val="20"/>
                <w:lang w:eastAsia="en-GB"/>
              </w:rPr>
            </w:pPr>
            <w:r w:rsidRPr="006454B5">
              <w:rPr>
                <w:rFonts w:ascii="Arial" w:eastAsiaTheme="minorEastAsia" w:hAnsi="Arial" w:cs="Arial"/>
                <w:sz w:val="20"/>
                <w:szCs w:val="20"/>
                <w:lang w:eastAsia="en-GB"/>
              </w:rPr>
              <w:t>.00</w:t>
            </w:r>
          </w:p>
        </w:tc>
        <w:tc>
          <w:tcPr>
            <w:tcW w:w="426" w:type="dxa"/>
            <w:tcBorders>
              <w:top w:val="nil"/>
              <w:left w:val="nil"/>
              <w:bottom w:val="nil"/>
              <w:right w:val="nil"/>
            </w:tcBorders>
            <w:vAlign w:val="center"/>
          </w:tcPr>
          <w:p w14:paraId="389B978C"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.97</w:t>
            </w:r>
          </w:p>
        </w:tc>
        <w:tc>
          <w:tcPr>
            <w:tcW w:w="1134" w:type="dxa"/>
            <w:tcBorders>
              <w:top w:val="nil"/>
              <w:left w:val="nil"/>
              <w:bottom w:val="nil"/>
              <w:right w:val="nil"/>
            </w:tcBorders>
            <w:vAlign w:val="center"/>
          </w:tcPr>
          <w:p w14:paraId="4411A908"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[.26, 3.58]</w:t>
            </w:r>
          </w:p>
        </w:tc>
      </w:tr>
      <w:tr w:rsidR="00123595" w:rsidRPr="006454B5" w14:paraId="3E89ABDB" w14:textId="77777777" w:rsidTr="00492808">
        <w:trPr>
          <w:trHeight w:val="20"/>
        </w:trPr>
        <w:tc>
          <w:tcPr>
            <w:tcW w:w="2735" w:type="dxa"/>
            <w:tcBorders>
              <w:top w:val="nil"/>
              <w:left w:val="nil"/>
              <w:bottom w:val="nil"/>
              <w:right w:val="nil"/>
            </w:tcBorders>
            <w:vAlign w:val="center"/>
          </w:tcPr>
          <w:p w14:paraId="1580D727" w14:textId="77777777" w:rsidR="00123595" w:rsidRPr="006454B5" w:rsidRDefault="00123595" w:rsidP="00123595">
            <w:pPr>
              <w:widowControl w:val="0"/>
              <w:kinsoku w:val="0"/>
              <w:overflowPunct w:val="0"/>
              <w:autoSpaceDE w:val="0"/>
              <w:autoSpaceDN w:val="0"/>
              <w:adjustRightInd w:val="0"/>
              <w:spacing w:after="0" w:line="278" w:lineRule="exact"/>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Victim gives inconsistent account</w:t>
            </w:r>
          </w:p>
        </w:tc>
        <w:tc>
          <w:tcPr>
            <w:tcW w:w="993" w:type="dxa"/>
            <w:tcBorders>
              <w:top w:val="nil"/>
              <w:left w:val="nil"/>
              <w:bottom w:val="nil"/>
              <w:right w:val="nil"/>
            </w:tcBorders>
            <w:vAlign w:val="center"/>
          </w:tcPr>
          <w:p w14:paraId="0ACAA00E"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z w:val="20"/>
                <w:szCs w:val="20"/>
                <w:lang w:eastAsia="en-GB"/>
              </w:rPr>
            </w:pPr>
            <w:r w:rsidRPr="006454B5">
              <w:rPr>
                <w:rFonts w:ascii="Arial" w:eastAsiaTheme="minorEastAsia" w:hAnsi="Arial" w:cs="Arial"/>
                <w:sz w:val="20"/>
                <w:szCs w:val="20"/>
                <w:lang w:eastAsia="en-GB"/>
              </w:rPr>
              <w:t>.37 (.81)</w:t>
            </w:r>
          </w:p>
        </w:tc>
        <w:tc>
          <w:tcPr>
            <w:tcW w:w="850" w:type="dxa"/>
            <w:tcBorders>
              <w:top w:val="nil"/>
              <w:left w:val="nil"/>
              <w:bottom w:val="nil"/>
              <w:right w:val="nil"/>
            </w:tcBorders>
            <w:vAlign w:val="center"/>
          </w:tcPr>
          <w:p w14:paraId="1A6AE4FF"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2"/>
                <w:sz w:val="20"/>
                <w:szCs w:val="20"/>
                <w:lang w:eastAsia="en-GB"/>
              </w:rPr>
            </w:pPr>
            <w:r w:rsidRPr="006454B5">
              <w:rPr>
                <w:rFonts w:ascii="Arial" w:eastAsiaTheme="minorEastAsia" w:hAnsi="Arial" w:cs="Arial"/>
                <w:spacing w:val="-2"/>
                <w:sz w:val="20"/>
                <w:szCs w:val="20"/>
                <w:lang w:eastAsia="en-GB"/>
              </w:rPr>
              <w:t>.21</w:t>
            </w:r>
          </w:p>
        </w:tc>
        <w:tc>
          <w:tcPr>
            <w:tcW w:w="425" w:type="dxa"/>
            <w:tcBorders>
              <w:top w:val="nil"/>
              <w:left w:val="nil"/>
              <w:bottom w:val="nil"/>
              <w:right w:val="nil"/>
            </w:tcBorders>
            <w:vAlign w:val="center"/>
          </w:tcPr>
          <w:p w14:paraId="11DFCF0D" w14:textId="77777777" w:rsidR="00123595" w:rsidRPr="006454B5" w:rsidRDefault="00123595" w:rsidP="00123595">
            <w:pPr>
              <w:widowControl w:val="0"/>
              <w:kinsoku w:val="0"/>
              <w:overflowPunct w:val="0"/>
              <w:autoSpaceDE w:val="0"/>
              <w:autoSpaceDN w:val="0"/>
              <w:adjustRightInd w:val="0"/>
              <w:spacing w:after="0" w:line="278" w:lineRule="exact"/>
              <w:ind w:right="4"/>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1.45</w:t>
            </w:r>
          </w:p>
        </w:tc>
        <w:tc>
          <w:tcPr>
            <w:tcW w:w="1134" w:type="dxa"/>
            <w:tcBorders>
              <w:top w:val="nil"/>
              <w:left w:val="nil"/>
              <w:bottom w:val="nil"/>
              <w:right w:val="nil"/>
            </w:tcBorders>
            <w:vAlign w:val="center"/>
          </w:tcPr>
          <w:p w14:paraId="5216D2FB"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[.30, 7.09]</w:t>
            </w:r>
          </w:p>
        </w:tc>
        <w:tc>
          <w:tcPr>
            <w:tcW w:w="993" w:type="dxa"/>
            <w:tcBorders>
              <w:top w:val="nil"/>
              <w:left w:val="nil"/>
              <w:bottom w:val="nil"/>
              <w:right w:val="nil"/>
            </w:tcBorders>
            <w:vAlign w:val="center"/>
          </w:tcPr>
          <w:p w14:paraId="50A8B5EF"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1.76 (.76)</w:t>
            </w:r>
          </w:p>
        </w:tc>
        <w:tc>
          <w:tcPr>
            <w:tcW w:w="708" w:type="dxa"/>
            <w:tcBorders>
              <w:top w:val="nil"/>
              <w:left w:val="nil"/>
              <w:bottom w:val="nil"/>
              <w:right w:val="nil"/>
            </w:tcBorders>
            <w:vAlign w:val="center"/>
          </w:tcPr>
          <w:p w14:paraId="735867FD"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b/>
                <w:bCs/>
                <w:sz w:val="20"/>
                <w:szCs w:val="20"/>
                <w:lang w:eastAsia="en-GB"/>
              </w:rPr>
            </w:pPr>
            <w:r w:rsidRPr="006454B5">
              <w:rPr>
                <w:rFonts w:ascii="Arial" w:eastAsiaTheme="minorEastAsia" w:hAnsi="Arial" w:cs="Arial"/>
                <w:b/>
                <w:bCs/>
                <w:sz w:val="20"/>
                <w:szCs w:val="20"/>
                <w:lang w:eastAsia="en-GB"/>
              </w:rPr>
              <w:t>5.33*</w:t>
            </w:r>
          </w:p>
        </w:tc>
        <w:tc>
          <w:tcPr>
            <w:tcW w:w="426" w:type="dxa"/>
            <w:tcBorders>
              <w:top w:val="nil"/>
              <w:left w:val="nil"/>
              <w:bottom w:val="nil"/>
              <w:right w:val="nil"/>
            </w:tcBorders>
            <w:vAlign w:val="center"/>
          </w:tcPr>
          <w:p w14:paraId="219A50C5"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5.82</w:t>
            </w:r>
          </w:p>
        </w:tc>
        <w:tc>
          <w:tcPr>
            <w:tcW w:w="1134" w:type="dxa"/>
            <w:tcBorders>
              <w:top w:val="nil"/>
              <w:left w:val="nil"/>
              <w:bottom w:val="nil"/>
              <w:right w:val="nil"/>
            </w:tcBorders>
            <w:vAlign w:val="center"/>
          </w:tcPr>
          <w:p w14:paraId="381952C9"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[1.31, 25.96]</w:t>
            </w:r>
          </w:p>
        </w:tc>
      </w:tr>
      <w:tr w:rsidR="00123595" w:rsidRPr="006454B5" w14:paraId="3B274E30" w14:textId="77777777" w:rsidTr="00492808">
        <w:trPr>
          <w:trHeight w:val="20"/>
        </w:trPr>
        <w:tc>
          <w:tcPr>
            <w:tcW w:w="2735" w:type="dxa"/>
            <w:tcBorders>
              <w:top w:val="nil"/>
              <w:left w:val="nil"/>
              <w:bottom w:val="nil"/>
              <w:right w:val="nil"/>
            </w:tcBorders>
            <w:vAlign w:val="center"/>
          </w:tcPr>
          <w:p w14:paraId="4292CB4C" w14:textId="77777777" w:rsidR="00123595" w:rsidRPr="006454B5" w:rsidRDefault="00123595" w:rsidP="00123595">
            <w:pPr>
              <w:widowControl w:val="0"/>
              <w:kinsoku w:val="0"/>
              <w:overflowPunct w:val="0"/>
              <w:autoSpaceDE w:val="0"/>
              <w:autoSpaceDN w:val="0"/>
              <w:adjustRightInd w:val="0"/>
              <w:spacing w:after="0" w:line="278" w:lineRule="exact"/>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Suspect claims consent</w:t>
            </w:r>
          </w:p>
        </w:tc>
        <w:tc>
          <w:tcPr>
            <w:tcW w:w="993" w:type="dxa"/>
            <w:tcBorders>
              <w:top w:val="nil"/>
              <w:left w:val="nil"/>
              <w:bottom w:val="nil"/>
              <w:right w:val="nil"/>
            </w:tcBorders>
            <w:vAlign w:val="center"/>
          </w:tcPr>
          <w:p w14:paraId="148DFB2D"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z w:val="20"/>
                <w:szCs w:val="20"/>
                <w:lang w:eastAsia="en-GB"/>
              </w:rPr>
            </w:pPr>
            <w:r w:rsidRPr="006454B5">
              <w:rPr>
                <w:rFonts w:ascii="Arial" w:eastAsiaTheme="minorEastAsia" w:hAnsi="Arial" w:cs="Arial"/>
                <w:sz w:val="20"/>
                <w:szCs w:val="20"/>
                <w:lang w:eastAsia="en-GB"/>
              </w:rPr>
              <w:t>-.03 (.64)</w:t>
            </w:r>
          </w:p>
        </w:tc>
        <w:tc>
          <w:tcPr>
            <w:tcW w:w="850" w:type="dxa"/>
            <w:tcBorders>
              <w:top w:val="nil"/>
              <w:left w:val="nil"/>
              <w:bottom w:val="nil"/>
              <w:right w:val="nil"/>
            </w:tcBorders>
            <w:vAlign w:val="center"/>
          </w:tcPr>
          <w:p w14:paraId="25E9BBA6"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2"/>
                <w:sz w:val="20"/>
                <w:szCs w:val="20"/>
                <w:lang w:eastAsia="en-GB"/>
              </w:rPr>
            </w:pPr>
            <w:r w:rsidRPr="006454B5">
              <w:rPr>
                <w:rFonts w:ascii="Arial" w:eastAsiaTheme="minorEastAsia" w:hAnsi="Arial" w:cs="Arial"/>
                <w:spacing w:val="-2"/>
                <w:sz w:val="20"/>
                <w:szCs w:val="20"/>
                <w:lang w:eastAsia="en-GB"/>
              </w:rPr>
              <w:t>.00</w:t>
            </w:r>
          </w:p>
        </w:tc>
        <w:tc>
          <w:tcPr>
            <w:tcW w:w="425" w:type="dxa"/>
            <w:tcBorders>
              <w:top w:val="nil"/>
              <w:left w:val="nil"/>
              <w:bottom w:val="nil"/>
              <w:right w:val="nil"/>
            </w:tcBorders>
            <w:vAlign w:val="center"/>
          </w:tcPr>
          <w:p w14:paraId="12D0A207" w14:textId="77777777" w:rsidR="00123595" w:rsidRPr="006454B5" w:rsidRDefault="00123595" w:rsidP="00123595">
            <w:pPr>
              <w:widowControl w:val="0"/>
              <w:kinsoku w:val="0"/>
              <w:overflowPunct w:val="0"/>
              <w:autoSpaceDE w:val="0"/>
              <w:autoSpaceDN w:val="0"/>
              <w:adjustRightInd w:val="0"/>
              <w:spacing w:after="0" w:line="278" w:lineRule="exact"/>
              <w:ind w:right="4"/>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.85</w:t>
            </w:r>
          </w:p>
        </w:tc>
        <w:tc>
          <w:tcPr>
            <w:tcW w:w="1134" w:type="dxa"/>
            <w:tcBorders>
              <w:top w:val="nil"/>
              <w:left w:val="nil"/>
              <w:bottom w:val="nil"/>
              <w:right w:val="nil"/>
            </w:tcBorders>
            <w:vAlign w:val="center"/>
          </w:tcPr>
          <w:p w14:paraId="68E4AE66"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[.23, 3.08]</w:t>
            </w:r>
          </w:p>
        </w:tc>
        <w:tc>
          <w:tcPr>
            <w:tcW w:w="993" w:type="dxa"/>
            <w:tcBorders>
              <w:top w:val="nil"/>
              <w:left w:val="nil"/>
              <w:bottom w:val="nil"/>
              <w:right w:val="nil"/>
            </w:tcBorders>
            <w:vAlign w:val="center"/>
          </w:tcPr>
          <w:p w14:paraId="28036050"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1.03 (.70)</w:t>
            </w:r>
          </w:p>
        </w:tc>
        <w:tc>
          <w:tcPr>
            <w:tcW w:w="708" w:type="dxa"/>
            <w:tcBorders>
              <w:top w:val="nil"/>
              <w:left w:val="nil"/>
              <w:bottom w:val="nil"/>
              <w:right w:val="nil"/>
            </w:tcBorders>
            <w:vAlign w:val="center"/>
          </w:tcPr>
          <w:p w14:paraId="2492AE10"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z w:val="20"/>
                <w:szCs w:val="20"/>
                <w:lang w:eastAsia="en-GB"/>
              </w:rPr>
            </w:pPr>
            <w:r w:rsidRPr="006454B5">
              <w:rPr>
                <w:rFonts w:ascii="Arial" w:eastAsiaTheme="minorEastAsia" w:hAnsi="Arial" w:cs="Arial"/>
                <w:sz w:val="20"/>
                <w:szCs w:val="20"/>
                <w:lang w:eastAsia="en-GB"/>
              </w:rPr>
              <w:t>2.17</w:t>
            </w:r>
          </w:p>
        </w:tc>
        <w:tc>
          <w:tcPr>
            <w:tcW w:w="426" w:type="dxa"/>
            <w:tcBorders>
              <w:top w:val="nil"/>
              <w:left w:val="nil"/>
              <w:bottom w:val="nil"/>
              <w:right w:val="nil"/>
            </w:tcBorders>
            <w:vAlign w:val="center"/>
          </w:tcPr>
          <w:p w14:paraId="2A2C5CDA"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2.79</w:t>
            </w:r>
          </w:p>
        </w:tc>
        <w:tc>
          <w:tcPr>
            <w:tcW w:w="1134" w:type="dxa"/>
            <w:tcBorders>
              <w:top w:val="nil"/>
              <w:left w:val="nil"/>
              <w:bottom w:val="nil"/>
              <w:right w:val="nil"/>
            </w:tcBorders>
            <w:vAlign w:val="center"/>
          </w:tcPr>
          <w:p w14:paraId="02F2E427"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[.71, 10.94]</w:t>
            </w:r>
          </w:p>
        </w:tc>
      </w:tr>
      <w:tr w:rsidR="00123595" w:rsidRPr="006454B5" w14:paraId="114662F1" w14:textId="77777777" w:rsidTr="00492808">
        <w:trPr>
          <w:trHeight w:val="20"/>
        </w:trPr>
        <w:tc>
          <w:tcPr>
            <w:tcW w:w="2735" w:type="dxa"/>
            <w:tcBorders>
              <w:top w:val="nil"/>
              <w:left w:val="nil"/>
              <w:bottom w:val="nil"/>
              <w:right w:val="nil"/>
            </w:tcBorders>
            <w:vAlign w:val="center"/>
          </w:tcPr>
          <w:p w14:paraId="6DEF4CBF" w14:textId="77777777" w:rsidR="00123595" w:rsidRPr="006454B5" w:rsidRDefault="00123595" w:rsidP="00123595">
            <w:pPr>
              <w:widowControl w:val="0"/>
              <w:kinsoku w:val="0"/>
              <w:overflowPunct w:val="0"/>
              <w:autoSpaceDE w:val="0"/>
              <w:autoSpaceDN w:val="0"/>
              <w:adjustRightInd w:val="0"/>
              <w:spacing w:after="0" w:line="278" w:lineRule="exact"/>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Suspect denies intercourse or sexual contact</w:t>
            </w:r>
          </w:p>
        </w:tc>
        <w:tc>
          <w:tcPr>
            <w:tcW w:w="993" w:type="dxa"/>
            <w:tcBorders>
              <w:top w:val="nil"/>
              <w:left w:val="nil"/>
              <w:bottom w:val="nil"/>
              <w:right w:val="nil"/>
            </w:tcBorders>
            <w:vAlign w:val="center"/>
          </w:tcPr>
          <w:p w14:paraId="10602CE8"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z w:val="20"/>
                <w:szCs w:val="20"/>
                <w:lang w:eastAsia="en-GB"/>
              </w:rPr>
            </w:pPr>
            <w:r w:rsidRPr="006454B5">
              <w:rPr>
                <w:rFonts w:ascii="Arial" w:eastAsiaTheme="minorEastAsia" w:hAnsi="Arial" w:cs="Arial"/>
                <w:sz w:val="20"/>
                <w:szCs w:val="20"/>
                <w:lang w:eastAsia="en-GB"/>
              </w:rPr>
              <w:t>-.81 (.74)</w:t>
            </w:r>
          </w:p>
        </w:tc>
        <w:tc>
          <w:tcPr>
            <w:tcW w:w="850" w:type="dxa"/>
            <w:tcBorders>
              <w:top w:val="nil"/>
              <w:left w:val="nil"/>
              <w:bottom w:val="nil"/>
              <w:right w:val="nil"/>
            </w:tcBorders>
            <w:vAlign w:val="center"/>
          </w:tcPr>
          <w:p w14:paraId="54A77AF3"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2"/>
                <w:sz w:val="20"/>
                <w:szCs w:val="20"/>
                <w:lang w:eastAsia="en-GB"/>
              </w:rPr>
            </w:pPr>
            <w:r w:rsidRPr="006454B5">
              <w:rPr>
                <w:rFonts w:ascii="Arial" w:eastAsiaTheme="minorEastAsia" w:hAnsi="Arial" w:cs="Arial"/>
                <w:spacing w:val="-2"/>
                <w:sz w:val="20"/>
                <w:szCs w:val="20"/>
                <w:lang w:eastAsia="en-GB"/>
              </w:rPr>
              <w:t>1.22</w:t>
            </w:r>
          </w:p>
        </w:tc>
        <w:tc>
          <w:tcPr>
            <w:tcW w:w="425" w:type="dxa"/>
            <w:tcBorders>
              <w:top w:val="nil"/>
              <w:left w:val="nil"/>
              <w:bottom w:val="nil"/>
              <w:right w:val="nil"/>
            </w:tcBorders>
            <w:vAlign w:val="center"/>
          </w:tcPr>
          <w:p w14:paraId="38249EBC" w14:textId="77777777" w:rsidR="00123595" w:rsidRPr="006454B5" w:rsidRDefault="00123595" w:rsidP="00123595">
            <w:pPr>
              <w:widowControl w:val="0"/>
              <w:kinsoku w:val="0"/>
              <w:overflowPunct w:val="0"/>
              <w:autoSpaceDE w:val="0"/>
              <w:autoSpaceDN w:val="0"/>
              <w:adjustRightInd w:val="0"/>
              <w:spacing w:after="0" w:line="278" w:lineRule="exact"/>
              <w:ind w:right="4"/>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.37</w:t>
            </w:r>
          </w:p>
        </w:tc>
        <w:tc>
          <w:tcPr>
            <w:tcW w:w="1134" w:type="dxa"/>
            <w:tcBorders>
              <w:top w:val="nil"/>
              <w:left w:val="nil"/>
              <w:bottom w:val="nil"/>
              <w:right w:val="nil"/>
            </w:tcBorders>
            <w:vAlign w:val="center"/>
          </w:tcPr>
          <w:p w14:paraId="6FEA5FB2"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[.09, 1.61]</w:t>
            </w:r>
          </w:p>
        </w:tc>
        <w:tc>
          <w:tcPr>
            <w:tcW w:w="993" w:type="dxa"/>
            <w:tcBorders>
              <w:top w:val="nil"/>
              <w:left w:val="nil"/>
              <w:bottom w:val="nil"/>
              <w:right w:val="nil"/>
            </w:tcBorders>
            <w:vAlign w:val="center"/>
          </w:tcPr>
          <w:p w14:paraId="0D6621DC"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.64 (.72)</w:t>
            </w:r>
          </w:p>
        </w:tc>
        <w:tc>
          <w:tcPr>
            <w:tcW w:w="708" w:type="dxa"/>
            <w:tcBorders>
              <w:top w:val="nil"/>
              <w:left w:val="nil"/>
              <w:bottom w:val="nil"/>
              <w:right w:val="nil"/>
            </w:tcBorders>
            <w:vAlign w:val="center"/>
          </w:tcPr>
          <w:p w14:paraId="222DA182"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z w:val="20"/>
                <w:szCs w:val="20"/>
                <w:lang w:eastAsia="en-GB"/>
              </w:rPr>
            </w:pPr>
            <w:r w:rsidRPr="006454B5">
              <w:rPr>
                <w:rFonts w:ascii="Arial" w:eastAsiaTheme="minorEastAsia" w:hAnsi="Arial" w:cs="Arial"/>
                <w:sz w:val="20"/>
                <w:szCs w:val="20"/>
                <w:lang w:eastAsia="en-GB"/>
              </w:rPr>
              <w:t>.79</w:t>
            </w:r>
          </w:p>
        </w:tc>
        <w:tc>
          <w:tcPr>
            <w:tcW w:w="426" w:type="dxa"/>
            <w:tcBorders>
              <w:top w:val="nil"/>
              <w:left w:val="nil"/>
              <w:bottom w:val="nil"/>
              <w:right w:val="nil"/>
            </w:tcBorders>
            <w:vAlign w:val="center"/>
          </w:tcPr>
          <w:p w14:paraId="4B99AEA0"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1.90</w:t>
            </w:r>
          </w:p>
        </w:tc>
        <w:tc>
          <w:tcPr>
            <w:tcW w:w="1134" w:type="dxa"/>
            <w:tcBorders>
              <w:top w:val="nil"/>
              <w:left w:val="nil"/>
              <w:bottom w:val="nil"/>
              <w:right w:val="nil"/>
            </w:tcBorders>
            <w:vAlign w:val="center"/>
          </w:tcPr>
          <w:p w14:paraId="61CD0504"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[.46, 7.85]</w:t>
            </w:r>
          </w:p>
        </w:tc>
      </w:tr>
      <w:tr w:rsidR="00123595" w:rsidRPr="006454B5" w14:paraId="6FD9B21C" w14:textId="77777777" w:rsidTr="00492808">
        <w:trPr>
          <w:trHeight w:val="20"/>
        </w:trPr>
        <w:tc>
          <w:tcPr>
            <w:tcW w:w="2735" w:type="dxa"/>
            <w:tcBorders>
              <w:top w:val="nil"/>
              <w:left w:val="nil"/>
              <w:bottom w:val="nil"/>
              <w:right w:val="nil"/>
            </w:tcBorders>
            <w:vAlign w:val="center"/>
          </w:tcPr>
          <w:p w14:paraId="544E6E06" w14:textId="3F0A0AA6" w:rsidR="00123595" w:rsidRPr="006454B5" w:rsidRDefault="00123595" w:rsidP="00123595">
            <w:pPr>
              <w:widowControl w:val="0"/>
              <w:kinsoku w:val="0"/>
              <w:overflowPunct w:val="0"/>
              <w:autoSpaceDE w:val="0"/>
              <w:autoSpaceDN w:val="0"/>
              <w:adjustRightInd w:val="0"/>
              <w:spacing w:after="0" w:line="278" w:lineRule="exact"/>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 xml:space="preserve">Victim technology </w:t>
            </w:r>
            <w:r w:rsidR="004B3C26" w:rsidRPr="006454B5">
              <w:rPr>
                <w:rFonts w:ascii="Arial" w:eastAsiaTheme="minorEastAsia" w:hAnsi="Arial" w:cs="Arial"/>
                <w:spacing w:val="-1"/>
                <w:sz w:val="20"/>
                <w:szCs w:val="20"/>
                <w:lang w:eastAsia="en-GB"/>
              </w:rPr>
              <w:t>requested and obtained</w:t>
            </w:r>
          </w:p>
        </w:tc>
        <w:tc>
          <w:tcPr>
            <w:tcW w:w="993" w:type="dxa"/>
            <w:tcBorders>
              <w:top w:val="nil"/>
              <w:left w:val="nil"/>
              <w:bottom w:val="nil"/>
              <w:right w:val="nil"/>
            </w:tcBorders>
            <w:vAlign w:val="center"/>
          </w:tcPr>
          <w:p w14:paraId="5FDFB80A"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z w:val="20"/>
                <w:szCs w:val="20"/>
                <w:lang w:eastAsia="en-GB"/>
              </w:rPr>
            </w:pPr>
            <w:r w:rsidRPr="006454B5">
              <w:rPr>
                <w:rFonts w:ascii="Arial" w:eastAsiaTheme="minorEastAsia" w:hAnsi="Arial" w:cs="Arial"/>
                <w:sz w:val="20"/>
                <w:szCs w:val="20"/>
                <w:lang w:eastAsia="en-GB"/>
              </w:rPr>
              <w:t>-1.88 (.61)</w:t>
            </w:r>
          </w:p>
        </w:tc>
        <w:tc>
          <w:tcPr>
            <w:tcW w:w="850" w:type="dxa"/>
            <w:tcBorders>
              <w:top w:val="nil"/>
              <w:left w:val="nil"/>
              <w:bottom w:val="nil"/>
              <w:right w:val="nil"/>
            </w:tcBorders>
            <w:vAlign w:val="center"/>
          </w:tcPr>
          <w:p w14:paraId="24A44C00"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b/>
                <w:bCs/>
                <w:spacing w:val="-2"/>
                <w:sz w:val="20"/>
                <w:szCs w:val="20"/>
                <w:lang w:eastAsia="en-GB"/>
              </w:rPr>
            </w:pPr>
            <w:r w:rsidRPr="006454B5">
              <w:rPr>
                <w:rFonts w:ascii="Arial" w:eastAsiaTheme="minorEastAsia" w:hAnsi="Arial" w:cs="Arial"/>
                <w:b/>
                <w:bCs/>
                <w:spacing w:val="-2"/>
                <w:sz w:val="20"/>
                <w:szCs w:val="20"/>
                <w:lang w:eastAsia="en-GB"/>
              </w:rPr>
              <w:t>9.33**</w:t>
            </w:r>
          </w:p>
        </w:tc>
        <w:tc>
          <w:tcPr>
            <w:tcW w:w="425" w:type="dxa"/>
            <w:tcBorders>
              <w:top w:val="nil"/>
              <w:left w:val="nil"/>
              <w:bottom w:val="nil"/>
              <w:right w:val="nil"/>
            </w:tcBorders>
            <w:vAlign w:val="center"/>
          </w:tcPr>
          <w:p w14:paraId="4E0452D9" w14:textId="77777777" w:rsidR="00123595" w:rsidRPr="006454B5" w:rsidRDefault="00123595" w:rsidP="00123595">
            <w:pPr>
              <w:widowControl w:val="0"/>
              <w:kinsoku w:val="0"/>
              <w:overflowPunct w:val="0"/>
              <w:autoSpaceDE w:val="0"/>
              <w:autoSpaceDN w:val="0"/>
              <w:adjustRightInd w:val="0"/>
              <w:spacing w:after="0" w:line="278" w:lineRule="exact"/>
              <w:ind w:right="4"/>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.12</w:t>
            </w:r>
          </w:p>
        </w:tc>
        <w:tc>
          <w:tcPr>
            <w:tcW w:w="1134" w:type="dxa"/>
            <w:tcBorders>
              <w:top w:val="nil"/>
              <w:left w:val="nil"/>
              <w:bottom w:val="nil"/>
              <w:right w:val="nil"/>
            </w:tcBorders>
            <w:vAlign w:val="center"/>
          </w:tcPr>
          <w:p w14:paraId="16EB272D"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[.04, .43]</w:t>
            </w:r>
          </w:p>
        </w:tc>
        <w:tc>
          <w:tcPr>
            <w:tcW w:w="993" w:type="dxa"/>
            <w:tcBorders>
              <w:top w:val="nil"/>
              <w:left w:val="nil"/>
              <w:bottom w:val="nil"/>
              <w:right w:val="nil"/>
            </w:tcBorders>
            <w:vAlign w:val="center"/>
          </w:tcPr>
          <w:p w14:paraId="564AA2BE"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-1.23 (.58)</w:t>
            </w:r>
          </w:p>
        </w:tc>
        <w:tc>
          <w:tcPr>
            <w:tcW w:w="708" w:type="dxa"/>
            <w:tcBorders>
              <w:top w:val="nil"/>
              <w:left w:val="nil"/>
              <w:bottom w:val="nil"/>
              <w:right w:val="nil"/>
            </w:tcBorders>
            <w:vAlign w:val="center"/>
          </w:tcPr>
          <w:p w14:paraId="0852321C"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b/>
                <w:bCs/>
                <w:sz w:val="20"/>
                <w:szCs w:val="20"/>
                <w:lang w:eastAsia="en-GB"/>
              </w:rPr>
            </w:pPr>
            <w:r w:rsidRPr="006454B5">
              <w:rPr>
                <w:rFonts w:ascii="Arial" w:eastAsiaTheme="minorEastAsia" w:hAnsi="Arial" w:cs="Arial"/>
                <w:b/>
                <w:bCs/>
                <w:sz w:val="20"/>
                <w:szCs w:val="20"/>
                <w:lang w:eastAsia="en-GB"/>
              </w:rPr>
              <w:t>4.43*</w:t>
            </w:r>
          </w:p>
        </w:tc>
        <w:tc>
          <w:tcPr>
            <w:tcW w:w="426" w:type="dxa"/>
            <w:tcBorders>
              <w:top w:val="nil"/>
              <w:left w:val="nil"/>
              <w:bottom w:val="nil"/>
              <w:right w:val="nil"/>
            </w:tcBorders>
            <w:vAlign w:val="center"/>
          </w:tcPr>
          <w:p w14:paraId="545922E7"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.29</w:t>
            </w:r>
          </w:p>
        </w:tc>
        <w:tc>
          <w:tcPr>
            <w:tcW w:w="1134" w:type="dxa"/>
            <w:tcBorders>
              <w:top w:val="nil"/>
              <w:left w:val="nil"/>
              <w:bottom w:val="nil"/>
              <w:right w:val="nil"/>
            </w:tcBorders>
            <w:vAlign w:val="center"/>
          </w:tcPr>
          <w:p w14:paraId="7A9CE3BD"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[.09, .92]</w:t>
            </w:r>
          </w:p>
        </w:tc>
      </w:tr>
      <w:tr w:rsidR="00123595" w:rsidRPr="006454B5" w14:paraId="234B2549" w14:textId="77777777" w:rsidTr="00492808">
        <w:trPr>
          <w:trHeight w:val="20"/>
        </w:trPr>
        <w:tc>
          <w:tcPr>
            <w:tcW w:w="2735" w:type="dxa"/>
            <w:tcBorders>
              <w:top w:val="nil"/>
              <w:left w:val="nil"/>
              <w:bottom w:val="nil"/>
              <w:right w:val="nil"/>
            </w:tcBorders>
            <w:vAlign w:val="center"/>
          </w:tcPr>
          <w:p w14:paraId="0D92BE1B" w14:textId="77777777" w:rsidR="00123595" w:rsidRPr="006454B5" w:rsidRDefault="00123595" w:rsidP="00123595">
            <w:pPr>
              <w:widowControl w:val="0"/>
              <w:kinsoku w:val="0"/>
              <w:overflowPunct w:val="0"/>
              <w:autoSpaceDE w:val="0"/>
              <w:autoSpaceDN w:val="0"/>
              <w:adjustRightInd w:val="0"/>
              <w:spacing w:after="0" w:line="278" w:lineRule="exact"/>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No forensic opportunities</w:t>
            </w:r>
          </w:p>
        </w:tc>
        <w:tc>
          <w:tcPr>
            <w:tcW w:w="993" w:type="dxa"/>
            <w:tcBorders>
              <w:top w:val="nil"/>
              <w:left w:val="nil"/>
              <w:bottom w:val="nil"/>
              <w:right w:val="nil"/>
            </w:tcBorders>
            <w:vAlign w:val="center"/>
          </w:tcPr>
          <w:p w14:paraId="5193D4DE"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z w:val="20"/>
                <w:szCs w:val="20"/>
                <w:lang w:eastAsia="en-GB"/>
              </w:rPr>
            </w:pPr>
            <w:r w:rsidRPr="006454B5">
              <w:rPr>
                <w:rFonts w:ascii="Arial" w:eastAsiaTheme="minorEastAsia" w:hAnsi="Arial" w:cs="Arial"/>
                <w:sz w:val="20"/>
                <w:szCs w:val="20"/>
                <w:lang w:eastAsia="en-GB"/>
              </w:rPr>
              <w:t>1.24 (.58)</w:t>
            </w:r>
          </w:p>
        </w:tc>
        <w:tc>
          <w:tcPr>
            <w:tcW w:w="850" w:type="dxa"/>
            <w:tcBorders>
              <w:top w:val="nil"/>
              <w:left w:val="nil"/>
              <w:bottom w:val="nil"/>
              <w:right w:val="nil"/>
            </w:tcBorders>
            <w:vAlign w:val="center"/>
          </w:tcPr>
          <w:p w14:paraId="2F5A384B"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b/>
                <w:bCs/>
                <w:spacing w:val="-2"/>
                <w:sz w:val="20"/>
                <w:szCs w:val="20"/>
                <w:lang w:eastAsia="en-GB"/>
              </w:rPr>
            </w:pPr>
            <w:r w:rsidRPr="006454B5">
              <w:rPr>
                <w:rFonts w:ascii="Arial" w:eastAsiaTheme="minorEastAsia" w:hAnsi="Arial" w:cs="Arial"/>
                <w:b/>
                <w:bCs/>
                <w:spacing w:val="-2"/>
                <w:sz w:val="20"/>
                <w:szCs w:val="20"/>
                <w:lang w:eastAsia="en-GB"/>
              </w:rPr>
              <w:t>4.58*</w:t>
            </w:r>
          </w:p>
        </w:tc>
        <w:tc>
          <w:tcPr>
            <w:tcW w:w="425" w:type="dxa"/>
            <w:tcBorders>
              <w:top w:val="nil"/>
              <w:left w:val="nil"/>
              <w:bottom w:val="nil"/>
              <w:right w:val="nil"/>
            </w:tcBorders>
            <w:vAlign w:val="center"/>
          </w:tcPr>
          <w:p w14:paraId="332E6173" w14:textId="77777777" w:rsidR="00123595" w:rsidRPr="006454B5" w:rsidRDefault="00123595" w:rsidP="00123595">
            <w:pPr>
              <w:widowControl w:val="0"/>
              <w:kinsoku w:val="0"/>
              <w:overflowPunct w:val="0"/>
              <w:autoSpaceDE w:val="0"/>
              <w:autoSpaceDN w:val="0"/>
              <w:adjustRightInd w:val="0"/>
              <w:spacing w:after="0" w:line="278" w:lineRule="exact"/>
              <w:ind w:right="4"/>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4.03</w:t>
            </w:r>
          </w:p>
        </w:tc>
        <w:tc>
          <w:tcPr>
            <w:tcW w:w="1134" w:type="dxa"/>
            <w:tcBorders>
              <w:top w:val="nil"/>
              <w:left w:val="nil"/>
              <w:bottom w:val="nil"/>
              <w:right w:val="nil"/>
            </w:tcBorders>
            <w:vAlign w:val="center"/>
          </w:tcPr>
          <w:p w14:paraId="155D4834"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[1.28, 12.73]</w:t>
            </w:r>
          </w:p>
        </w:tc>
        <w:tc>
          <w:tcPr>
            <w:tcW w:w="993" w:type="dxa"/>
            <w:tcBorders>
              <w:top w:val="nil"/>
              <w:left w:val="nil"/>
              <w:bottom w:val="nil"/>
              <w:right w:val="nil"/>
            </w:tcBorders>
            <w:vAlign w:val="center"/>
          </w:tcPr>
          <w:p w14:paraId="36A7BB0C"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1.76 (.59)</w:t>
            </w:r>
          </w:p>
        </w:tc>
        <w:tc>
          <w:tcPr>
            <w:tcW w:w="708" w:type="dxa"/>
            <w:tcBorders>
              <w:top w:val="nil"/>
              <w:left w:val="nil"/>
              <w:bottom w:val="nil"/>
              <w:right w:val="nil"/>
            </w:tcBorders>
            <w:vAlign w:val="center"/>
          </w:tcPr>
          <w:p w14:paraId="5BBF9220"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b/>
                <w:bCs/>
                <w:sz w:val="20"/>
                <w:szCs w:val="20"/>
                <w:lang w:eastAsia="en-GB"/>
              </w:rPr>
            </w:pPr>
            <w:r w:rsidRPr="006454B5">
              <w:rPr>
                <w:rFonts w:ascii="Arial" w:eastAsiaTheme="minorEastAsia" w:hAnsi="Arial" w:cs="Arial"/>
                <w:b/>
                <w:bCs/>
                <w:sz w:val="20"/>
                <w:szCs w:val="20"/>
                <w:lang w:eastAsia="en-GB"/>
              </w:rPr>
              <w:t>8.90**</w:t>
            </w:r>
          </w:p>
        </w:tc>
        <w:tc>
          <w:tcPr>
            <w:tcW w:w="426" w:type="dxa"/>
            <w:tcBorders>
              <w:top w:val="nil"/>
              <w:left w:val="nil"/>
              <w:bottom w:val="nil"/>
              <w:right w:val="nil"/>
            </w:tcBorders>
            <w:vAlign w:val="center"/>
          </w:tcPr>
          <w:p w14:paraId="5F55BC80"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5.83</w:t>
            </w:r>
          </w:p>
        </w:tc>
        <w:tc>
          <w:tcPr>
            <w:tcW w:w="1134" w:type="dxa"/>
            <w:tcBorders>
              <w:top w:val="nil"/>
              <w:left w:val="nil"/>
              <w:bottom w:val="nil"/>
              <w:right w:val="nil"/>
            </w:tcBorders>
            <w:vAlign w:val="center"/>
          </w:tcPr>
          <w:p w14:paraId="772D6366"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[1.83, 18.55]</w:t>
            </w:r>
          </w:p>
        </w:tc>
      </w:tr>
      <w:tr w:rsidR="00123595" w:rsidRPr="006454B5" w14:paraId="1234F89F" w14:textId="77777777" w:rsidTr="00492808">
        <w:trPr>
          <w:trHeight w:val="20"/>
        </w:trPr>
        <w:tc>
          <w:tcPr>
            <w:tcW w:w="2735" w:type="dxa"/>
            <w:tcBorders>
              <w:top w:val="nil"/>
              <w:left w:val="nil"/>
              <w:bottom w:val="nil"/>
              <w:right w:val="nil"/>
            </w:tcBorders>
            <w:vAlign w:val="center"/>
          </w:tcPr>
          <w:p w14:paraId="14E22449" w14:textId="77777777" w:rsidR="00123595" w:rsidRPr="006454B5" w:rsidRDefault="00123595" w:rsidP="00123595">
            <w:pPr>
              <w:widowControl w:val="0"/>
              <w:kinsoku w:val="0"/>
              <w:overflowPunct w:val="0"/>
              <w:autoSpaceDE w:val="0"/>
              <w:autoSpaceDN w:val="0"/>
              <w:adjustRightInd w:val="0"/>
              <w:spacing w:after="0" w:line="278" w:lineRule="exact"/>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Other evidence casts doubt</w:t>
            </w:r>
          </w:p>
        </w:tc>
        <w:tc>
          <w:tcPr>
            <w:tcW w:w="993" w:type="dxa"/>
            <w:tcBorders>
              <w:top w:val="nil"/>
              <w:left w:val="nil"/>
              <w:bottom w:val="nil"/>
              <w:right w:val="nil"/>
            </w:tcBorders>
            <w:vAlign w:val="center"/>
          </w:tcPr>
          <w:p w14:paraId="4296B1ED"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z w:val="20"/>
                <w:szCs w:val="20"/>
                <w:lang w:eastAsia="en-GB"/>
              </w:rPr>
            </w:pPr>
            <w:r w:rsidRPr="006454B5">
              <w:rPr>
                <w:rFonts w:ascii="Arial" w:eastAsiaTheme="minorEastAsia" w:hAnsi="Arial" w:cs="Arial"/>
                <w:sz w:val="20"/>
                <w:szCs w:val="20"/>
                <w:lang w:eastAsia="en-GB"/>
              </w:rPr>
              <w:t>.12 (1.03)</w:t>
            </w:r>
          </w:p>
        </w:tc>
        <w:tc>
          <w:tcPr>
            <w:tcW w:w="850" w:type="dxa"/>
            <w:tcBorders>
              <w:top w:val="nil"/>
              <w:left w:val="nil"/>
              <w:bottom w:val="nil"/>
              <w:right w:val="nil"/>
            </w:tcBorders>
            <w:vAlign w:val="center"/>
          </w:tcPr>
          <w:p w14:paraId="2A34ADC9"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2"/>
                <w:sz w:val="20"/>
                <w:szCs w:val="20"/>
                <w:lang w:eastAsia="en-GB"/>
              </w:rPr>
            </w:pPr>
            <w:r w:rsidRPr="006454B5">
              <w:rPr>
                <w:rFonts w:ascii="Arial" w:eastAsiaTheme="minorEastAsia" w:hAnsi="Arial" w:cs="Arial"/>
                <w:spacing w:val="-2"/>
                <w:sz w:val="20"/>
                <w:szCs w:val="20"/>
                <w:lang w:eastAsia="en-GB"/>
              </w:rPr>
              <w:t>.01</w:t>
            </w:r>
          </w:p>
        </w:tc>
        <w:tc>
          <w:tcPr>
            <w:tcW w:w="425" w:type="dxa"/>
            <w:tcBorders>
              <w:top w:val="nil"/>
              <w:left w:val="nil"/>
              <w:bottom w:val="nil"/>
              <w:right w:val="nil"/>
            </w:tcBorders>
            <w:vAlign w:val="center"/>
          </w:tcPr>
          <w:p w14:paraId="41FBC5F2" w14:textId="77777777" w:rsidR="00123595" w:rsidRPr="006454B5" w:rsidRDefault="00123595" w:rsidP="00123595">
            <w:pPr>
              <w:widowControl w:val="0"/>
              <w:kinsoku w:val="0"/>
              <w:overflowPunct w:val="0"/>
              <w:autoSpaceDE w:val="0"/>
              <w:autoSpaceDN w:val="0"/>
              <w:adjustRightInd w:val="0"/>
              <w:spacing w:after="0" w:line="278" w:lineRule="exact"/>
              <w:ind w:right="4"/>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1.16</w:t>
            </w:r>
          </w:p>
        </w:tc>
        <w:tc>
          <w:tcPr>
            <w:tcW w:w="1134" w:type="dxa"/>
            <w:tcBorders>
              <w:top w:val="nil"/>
              <w:left w:val="nil"/>
              <w:bottom w:val="nil"/>
              <w:right w:val="nil"/>
            </w:tcBorders>
            <w:vAlign w:val="center"/>
          </w:tcPr>
          <w:p w14:paraId="72E5AB27"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[.16, 8.38]</w:t>
            </w:r>
          </w:p>
        </w:tc>
        <w:tc>
          <w:tcPr>
            <w:tcW w:w="993" w:type="dxa"/>
            <w:tcBorders>
              <w:top w:val="nil"/>
              <w:left w:val="nil"/>
              <w:bottom w:val="nil"/>
              <w:right w:val="nil"/>
            </w:tcBorders>
            <w:vAlign w:val="center"/>
          </w:tcPr>
          <w:p w14:paraId="6FE3F9FD"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1.15 (.92)</w:t>
            </w:r>
          </w:p>
        </w:tc>
        <w:tc>
          <w:tcPr>
            <w:tcW w:w="708" w:type="dxa"/>
            <w:tcBorders>
              <w:top w:val="nil"/>
              <w:left w:val="nil"/>
              <w:bottom w:val="nil"/>
              <w:right w:val="nil"/>
            </w:tcBorders>
            <w:vAlign w:val="center"/>
          </w:tcPr>
          <w:p w14:paraId="17FA64CF"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z w:val="20"/>
                <w:szCs w:val="20"/>
                <w:lang w:eastAsia="en-GB"/>
              </w:rPr>
            </w:pPr>
            <w:r w:rsidRPr="006454B5">
              <w:rPr>
                <w:rFonts w:ascii="Arial" w:eastAsiaTheme="minorEastAsia" w:hAnsi="Arial" w:cs="Arial"/>
                <w:sz w:val="20"/>
                <w:szCs w:val="20"/>
                <w:lang w:eastAsia="en-GB"/>
              </w:rPr>
              <w:t>1.56</w:t>
            </w:r>
          </w:p>
        </w:tc>
        <w:tc>
          <w:tcPr>
            <w:tcW w:w="426" w:type="dxa"/>
            <w:tcBorders>
              <w:top w:val="nil"/>
              <w:left w:val="nil"/>
              <w:bottom w:val="nil"/>
              <w:right w:val="nil"/>
            </w:tcBorders>
            <w:vAlign w:val="center"/>
          </w:tcPr>
          <w:p w14:paraId="7BFA2373"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3.16</w:t>
            </w:r>
          </w:p>
        </w:tc>
        <w:tc>
          <w:tcPr>
            <w:tcW w:w="1134" w:type="dxa"/>
            <w:tcBorders>
              <w:top w:val="nil"/>
              <w:left w:val="nil"/>
              <w:bottom w:val="nil"/>
              <w:right w:val="nil"/>
            </w:tcBorders>
            <w:vAlign w:val="center"/>
          </w:tcPr>
          <w:p w14:paraId="462EF334"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[.52, 19.18]</w:t>
            </w:r>
          </w:p>
        </w:tc>
      </w:tr>
      <w:tr w:rsidR="00123595" w:rsidRPr="006454B5" w14:paraId="0DEE98E0" w14:textId="77777777" w:rsidTr="00492808">
        <w:trPr>
          <w:trHeight w:val="20"/>
        </w:trPr>
        <w:tc>
          <w:tcPr>
            <w:tcW w:w="2735" w:type="dxa"/>
            <w:tcBorders>
              <w:top w:val="nil"/>
              <w:left w:val="nil"/>
              <w:bottom w:val="nil"/>
              <w:right w:val="nil"/>
            </w:tcBorders>
            <w:vAlign w:val="center"/>
          </w:tcPr>
          <w:p w14:paraId="1532A05D" w14:textId="77777777" w:rsidR="00123595" w:rsidRPr="006454B5" w:rsidRDefault="00123595" w:rsidP="00123595">
            <w:pPr>
              <w:widowControl w:val="0"/>
              <w:kinsoku w:val="0"/>
              <w:overflowPunct w:val="0"/>
              <w:autoSpaceDE w:val="0"/>
              <w:autoSpaceDN w:val="0"/>
              <w:adjustRightInd w:val="0"/>
              <w:spacing w:after="0" w:line="278" w:lineRule="exact"/>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Request for third party material made</w:t>
            </w:r>
          </w:p>
        </w:tc>
        <w:tc>
          <w:tcPr>
            <w:tcW w:w="993" w:type="dxa"/>
            <w:tcBorders>
              <w:top w:val="nil"/>
              <w:left w:val="nil"/>
              <w:bottom w:val="nil"/>
              <w:right w:val="nil"/>
            </w:tcBorders>
            <w:vAlign w:val="center"/>
          </w:tcPr>
          <w:p w14:paraId="523ED6E4"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z w:val="20"/>
                <w:szCs w:val="20"/>
                <w:lang w:eastAsia="en-GB"/>
              </w:rPr>
            </w:pPr>
            <w:r w:rsidRPr="006454B5">
              <w:rPr>
                <w:rFonts w:ascii="Arial" w:eastAsiaTheme="minorEastAsia" w:hAnsi="Arial" w:cs="Arial"/>
                <w:sz w:val="20"/>
                <w:szCs w:val="20"/>
                <w:lang w:eastAsia="en-GB"/>
              </w:rPr>
              <w:t>-.72 (.58)</w:t>
            </w:r>
          </w:p>
        </w:tc>
        <w:tc>
          <w:tcPr>
            <w:tcW w:w="850" w:type="dxa"/>
            <w:tcBorders>
              <w:top w:val="nil"/>
              <w:left w:val="nil"/>
              <w:bottom w:val="nil"/>
              <w:right w:val="nil"/>
            </w:tcBorders>
            <w:vAlign w:val="center"/>
          </w:tcPr>
          <w:p w14:paraId="4FC6D121"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2"/>
                <w:sz w:val="20"/>
                <w:szCs w:val="20"/>
                <w:lang w:eastAsia="en-GB"/>
              </w:rPr>
            </w:pPr>
            <w:r w:rsidRPr="006454B5">
              <w:rPr>
                <w:rFonts w:ascii="Arial" w:eastAsiaTheme="minorEastAsia" w:hAnsi="Arial" w:cs="Arial"/>
                <w:spacing w:val="-2"/>
                <w:sz w:val="20"/>
                <w:szCs w:val="20"/>
                <w:lang w:eastAsia="en-GB"/>
              </w:rPr>
              <w:t>1.55</w:t>
            </w:r>
          </w:p>
        </w:tc>
        <w:tc>
          <w:tcPr>
            <w:tcW w:w="425" w:type="dxa"/>
            <w:tcBorders>
              <w:top w:val="nil"/>
              <w:left w:val="nil"/>
              <w:bottom w:val="nil"/>
              <w:right w:val="nil"/>
            </w:tcBorders>
            <w:vAlign w:val="center"/>
          </w:tcPr>
          <w:p w14:paraId="1951B2D6" w14:textId="77777777" w:rsidR="00123595" w:rsidRPr="006454B5" w:rsidRDefault="00123595" w:rsidP="00123595">
            <w:pPr>
              <w:widowControl w:val="0"/>
              <w:kinsoku w:val="0"/>
              <w:overflowPunct w:val="0"/>
              <w:autoSpaceDE w:val="0"/>
              <w:autoSpaceDN w:val="0"/>
              <w:adjustRightInd w:val="0"/>
              <w:spacing w:after="0" w:line="278" w:lineRule="exact"/>
              <w:ind w:right="4"/>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.46</w:t>
            </w:r>
          </w:p>
        </w:tc>
        <w:tc>
          <w:tcPr>
            <w:tcW w:w="1134" w:type="dxa"/>
            <w:tcBorders>
              <w:top w:val="nil"/>
              <w:left w:val="nil"/>
              <w:bottom w:val="nil"/>
              <w:right w:val="nil"/>
            </w:tcBorders>
            <w:vAlign w:val="center"/>
          </w:tcPr>
          <w:p w14:paraId="6E467908"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[.15, 1.44]</w:t>
            </w:r>
          </w:p>
        </w:tc>
        <w:tc>
          <w:tcPr>
            <w:tcW w:w="993" w:type="dxa"/>
            <w:tcBorders>
              <w:top w:val="nil"/>
              <w:left w:val="nil"/>
              <w:bottom w:val="nil"/>
              <w:right w:val="nil"/>
            </w:tcBorders>
            <w:vAlign w:val="center"/>
          </w:tcPr>
          <w:p w14:paraId="209E1813"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-.42 (.59)</w:t>
            </w:r>
          </w:p>
        </w:tc>
        <w:tc>
          <w:tcPr>
            <w:tcW w:w="708" w:type="dxa"/>
            <w:tcBorders>
              <w:top w:val="nil"/>
              <w:left w:val="nil"/>
              <w:bottom w:val="nil"/>
              <w:right w:val="nil"/>
            </w:tcBorders>
            <w:vAlign w:val="center"/>
          </w:tcPr>
          <w:p w14:paraId="6C0E6798"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z w:val="20"/>
                <w:szCs w:val="20"/>
                <w:lang w:eastAsia="en-GB"/>
              </w:rPr>
            </w:pPr>
            <w:r w:rsidRPr="006454B5">
              <w:rPr>
                <w:rFonts w:ascii="Arial" w:eastAsiaTheme="minorEastAsia" w:hAnsi="Arial" w:cs="Arial"/>
                <w:sz w:val="20"/>
                <w:szCs w:val="20"/>
                <w:lang w:eastAsia="en-GB"/>
              </w:rPr>
              <w:t>.51</w:t>
            </w:r>
          </w:p>
        </w:tc>
        <w:tc>
          <w:tcPr>
            <w:tcW w:w="426" w:type="dxa"/>
            <w:tcBorders>
              <w:top w:val="nil"/>
              <w:left w:val="nil"/>
              <w:bottom w:val="nil"/>
              <w:right w:val="nil"/>
            </w:tcBorders>
            <w:vAlign w:val="center"/>
          </w:tcPr>
          <w:p w14:paraId="7FA91220"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.66</w:t>
            </w:r>
          </w:p>
        </w:tc>
        <w:tc>
          <w:tcPr>
            <w:tcW w:w="1134" w:type="dxa"/>
            <w:tcBorders>
              <w:top w:val="nil"/>
              <w:left w:val="nil"/>
              <w:bottom w:val="nil"/>
              <w:right w:val="nil"/>
            </w:tcBorders>
            <w:vAlign w:val="center"/>
          </w:tcPr>
          <w:p w14:paraId="142942A6" w14:textId="77777777" w:rsidR="00123595" w:rsidRPr="006454B5" w:rsidRDefault="00123595" w:rsidP="00123595">
            <w:pPr>
              <w:widowControl w:val="0"/>
              <w:kinsoku w:val="0"/>
              <w:overflowPunct w:val="0"/>
              <w:autoSpaceDE w:val="0"/>
              <w:autoSpaceDN w:val="0"/>
              <w:adjustRightInd w:val="0"/>
              <w:spacing w:after="0" w:line="278"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[.20, 2.10]</w:t>
            </w:r>
          </w:p>
        </w:tc>
      </w:tr>
      <w:tr w:rsidR="00123595" w:rsidRPr="006454B5" w14:paraId="57CC0EFA" w14:textId="77777777" w:rsidTr="00492808">
        <w:trPr>
          <w:trHeight w:val="20"/>
        </w:trPr>
        <w:tc>
          <w:tcPr>
            <w:tcW w:w="2735" w:type="dxa"/>
            <w:tcBorders>
              <w:top w:val="nil"/>
              <w:left w:val="nil"/>
              <w:right w:val="nil"/>
            </w:tcBorders>
            <w:vAlign w:val="center"/>
          </w:tcPr>
          <w:p w14:paraId="156B7031" w14:textId="77777777" w:rsidR="00123595" w:rsidRPr="006454B5" w:rsidRDefault="00123595" w:rsidP="00123595">
            <w:pPr>
              <w:widowControl w:val="0"/>
              <w:kinsoku w:val="0"/>
              <w:overflowPunct w:val="0"/>
              <w:autoSpaceDE w:val="0"/>
              <w:autoSpaceDN w:val="0"/>
              <w:adjustRightInd w:val="0"/>
              <w:spacing w:after="0" w:line="282" w:lineRule="exact"/>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Police perceptions chance of conviction</w:t>
            </w:r>
          </w:p>
        </w:tc>
        <w:tc>
          <w:tcPr>
            <w:tcW w:w="993" w:type="dxa"/>
            <w:tcBorders>
              <w:top w:val="nil"/>
              <w:left w:val="nil"/>
              <w:right w:val="nil"/>
            </w:tcBorders>
            <w:vAlign w:val="center"/>
          </w:tcPr>
          <w:p w14:paraId="55BBBEB9" w14:textId="77777777" w:rsidR="00123595" w:rsidRPr="006454B5" w:rsidRDefault="00123595" w:rsidP="00123595">
            <w:pPr>
              <w:widowControl w:val="0"/>
              <w:kinsoku w:val="0"/>
              <w:overflowPunct w:val="0"/>
              <w:autoSpaceDE w:val="0"/>
              <w:autoSpaceDN w:val="0"/>
              <w:adjustRightInd w:val="0"/>
              <w:spacing w:after="0" w:line="282"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.17 (.76)</w:t>
            </w:r>
          </w:p>
        </w:tc>
        <w:tc>
          <w:tcPr>
            <w:tcW w:w="850" w:type="dxa"/>
            <w:tcBorders>
              <w:top w:val="nil"/>
              <w:left w:val="nil"/>
              <w:right w:val="nil"/>
            </w:tcBorders>
            <w:vAlign w:val="center"/>
          </w:tcPr>
          <w:p w14:paraId="1E909E85" w14:textId="77777777" w:rsidR="00123595" w:rsidRPr="006454B5" w:rsidRDefault="00123595" w:rsidP="00123595">
            <w:pPr>
              <w:widowControl w:val="0"/>
              <w:kinsoku w:val="0"/>
              <w:overflowPunct w:val="0"/>
              <w:autoSpaceDE w:val="0"/>
              <w:autoSpaceDN w:val="0"/>
              <w:adjustRightInd w:val="0"/>
              <w:spacing w:after="0" w:line="282"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.05</w:t>
            </w:r>
          </w:p>
        </w:tc>
        <w:tc>
          <w:tcPr>
            <w:tcW w:w="425" w:type="dxa"/>
            <w:tcBorders>
              <w:top w:val="nil"/>
              <w:left w:val="nil"/>
              <w:right w:val="nil"/>
            </w:tcBorders>
            <w:vAlign w:val="center"/>
          </w:tcPr>
          <w:p w14:paraId="2D1E0998" w14:textId="77777777" w:rsidR="00123595" w:rsidRPr="006454B5" w:rsidRDefault="00123595" w:rsidP="00123595">
            <w:pPr>
              <w:widowControl w:val="0"/>
              <w:kinsoku w:val="0"/>
              <w:overflowPunct w:val="0"/>
              <w:autoSpaceDE w:val="0"/>
              <w:autoSpaceDN w:val="0"/>
              <w:adjustRightInd w:val="0"/>
              <w:spacing w:after="0" w:line="282" w:lineRule="exact"/>
              <w:ind w:right="4"/>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1.15</w:t>
            </w:r>
          </w:p>
        </w:tc>
        <w:tc>
          <w:tcPr>
            <w:tcW w:w="1134" w:type="dxa"/>
            <w:tcBorders>
              <w:top w:val="nil"/>
              <w:left w:val="nil"/>
              <w:right w:val="nil"/>
            </w:tcBorders>
            <w:vAlign w:val="center"/>
          </w:tcPr>
          <w:p w14:paraId="7462C550" w14:textId="77777777" w:rsidR="00123595" w:rsidRPr="006454B5" w:rsidRDefault="00123595" w:rsidP="00123595">
            <w:pPr>
              <w:widowControl w:val="0"/>
              <w:kinsoku w:val="0"/>
              <w:overflowPunct w:val="0"/>
              <w:autoSpaceDE w:val="0"/>
              <w:autoSpaceDN w:val="0"/>
              <w:adjustRightInd w:val="0"/>
              <w:spacing w:after="0" w:line="282"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[.24, 5.48]</w:t>
            </w:r>
          </w:p>
        </w:tc>
        <w:tc>
          <w:tcPr>
            <w:tcW w:w="993" w:type="dxa"/>
            <w:tcBorders>
              <w:top w:val="nil"/>
              <w:left w:val="nil"/>
              <w:right w:val="nil"/>
            </w:tcBorders>
            <w:vAlign w:val="center"/>
          </w:tcPr>
          <w:p w14:paraId="0C3877A4" w14:textId="77777777" w:rsidR="00123595" w:rsidRPr="006454B5" w:rsidRDefault="00123595" w:rsidP="00123595">
            <w:pPr>
              <w:widowControl w:val="0"/>
              <w:kinsoku w:val="0"/>
              <w:overflowPunct w:val="0"/>
              <w:autoSpaceDE w:val="0"/>
              <w:autoSpaceDN w:val="0"/>
              <w:adjustRightInd w:val="0"/>
              <w:spacing w:after="0" w:line="282"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1.36 (.69)</w:t>
            </w:r>
          </w:p>
        </w:tc>
        <w:tc>
          <w:tcPr>
            <w:tcW w:w="708" w:type="dxa"/>
            <w:tcBorders>
              <w:top w:val="nil"/>
              <w:left w:val="nil"/>
              <w:right w:val="nil"/>
            </w:tcBorders>
            <w:vAlign w:val="center"/>
          </w:tcPr>
          <w:p w14:paraId="6D527F81" w14:textId="77777777" w:rsidR="00123595" w:rsidRPr="006454B5" w:rsidRDefault="00123595" w:rsidP="00123595">
            <w:pPr>
              <w:widowControl w:val="0"/>
              <w:kinsoku w:val="0"/>
              <w:overflowPunct w:val="0"/>
              <w:autoSpaceDE w:val="0"/>
              <w:autoSpaceDN w:val="0"/>
              <w:adjustRightInd w:val="0"/>
              <w:spacing w:after="0" w:line="282" w:lineRule="exact"/>
              <w:jc w:val="center"/>
              <w:rPr>
                <w:rFonts w:ascii="Arial" w:eastAsiaTheme="minorEastAsia" w:hAnsi="Arial" w:cs="Arial"/>
                <w:b/>
                <w:bCs/>
                <w:spacing w:val="-1"/>
                <w:sz w:val="20"/>
                <w:szCs w:val="20"/>
                <w:lang w:eastAsia="en-GB"/>
              </w:rPr>
            </w:pPr>
            <w:r w:rsidRPr="006454B5">
              <w:rPr>
                <w:rFonts w:ascii="Arial" w:eastAsiaTheme="minorEastAsia" w:hAnsi="Arial" w:cs="Arial"/>
                <w:b/>
                <w:bCs/>
                <w:spacing w:val="-1"/>
                <w:sz w:val="20"/>
                <w:szCs w:val="20"/>
                <w:lang w:eastAsia="en-GB"/>
              </w:rPr>
              <w:t>3.84*</w:t>
            </w:r>
          </w:p>
        </w:tc>
        <w:tc>
          <w:tcPr>
            <w:tcW w:w="426" w:type="dxa"/>
            <w:tcBorders>
              <w:top w:val="nil"/>
              <w:left w:val="nil"/>
              <w:right w:val="nil"/>
            </w:tcBorders>
            <w:vAlign w:val="center"/>
          </w:tcPr>
          <w:p w14:paraId="10F26928" w14:textId="77777777" w:rsidR="00123595" w:rsidRPr="006454B5" w:rsidRDefault="00123595" w:rsidP="00123595">
            <w:pPr>
              <w:widowControl w:val="0"/>
              <w:kinsoku w:val="0"/>
              <w:overflowPunct w:val="0"/>
              <w:autoSpaceDE w:val="0"/>
              <w:autoSpaceDN w:val="0"/>
              <w:adjustRightInd w:val="0"/>
              <w:spacing w:after="0" w:line="282"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3.89</w:t>
            </w:r>
          </w:p>
        </w:tc>
        <w:tc>
          <w:tcPr>
            <w:tcW w:w="1134" w:type="dxa"/>
            <w:tcBorders>
              <w:top w:val="nil"/>
              <w:left w:val="nil"/>
              <w:right w:val="nil"/>
            </w:tcBorders>
            <w:vAlign w:val="center"/>
          </w:tcPr>
          <w:p w14:paraId="3EB8EF95" w14:textId="77777777" w:rsidR="00123595" w:rsidRPr="006454B5" w:rsidRDefault="00123595" w:rsidP="00123595">
            <w:pPr>
              <w:widowControl w:val="0"/>
              <w:kinsoku w:val="0"/>
              <w:overflowPunct w:val="0"/>
              <w:autoSpaceDE w:val="0"/>
              <w:autoSpaceDN w:val="0"/>
              <w:adjustRightInd w:val="0"/>
              <w:spacing w:after="0" w:line="282"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[1.00, 15.16]</w:t>
            </w:r>
          </w:p>
        </w:tc>
      </w:tr>
      <w:tr w:rsidR="00123595" w:rsidRPr="006454B5" w14:paraId="4EAF4ABD" w14:textId="77777777" w:rsidTr="00492808">
        <w:trPr>
          <w:trHeight w:val="20"/>
        </w:trPr>
        <w:tc>
          <w:tcPr>
            <w:tcW w:w="2735" w:type="dxa"/>
            <w:tcBorders>
              <w:top w:val="nil"/>
              <w:left w:val="nil"/>
              <w:right w:val="nil"/>
            </w:tcBorders>
            <w:vAlign w:val="center"/>
          </w:tcPr>
          <w:p w14:paraId="4A678395" w14:textId="77777777" w:rsidR="00123595" w:rsidRPr="006454B5" w:rsidRDefault="00123595" w:rsidP="00123595">
            <w:pPr>
              <w:widowControl w:val="0"/>
              <w:kinsoku w:val="0"/>
              <w:overflowPunct w:val="0"/>
              <w:autoSpaceDE w:val="0"/>
              <w:autoSpaceDN w:val="0"/>
              <w:adjustRightInd w:val="0"/>
              <w:spacing w:after="0" w:line="282" w:lineRule="exact"/>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Victim difficult to contact</w:t>
            </w:r>
          </w:p>
        </w:tc>
        <w:tc>
          <w:tcPr>
            <w:tcW w:w="993" w:type="dxa"/>
            <w:tcBorders>
              <w:top w:val="nil"/>
              <w:left w:val="nil"/>
              <w:right w:val="nil"/>
            </w:tcBorders>
            <w:vAlign w:val="center"/>
          </w:tcPr>
          <w:p w14:paraId="002FC127" w14:textId="77777777" w:rsidR="00123595" w:rsidRPr="006454B5" w:rsidRDefault="00123595" w:rsidP="00123595">
            <w:pPr>
              <w:widowControl w:val="0"/>
              <w:kinsoku w:val="0"/>
              <w:overflowPunct w:val="0"/>
              <w:autoSpaceDE w:val="0"/>
              <w:autoSpaceDN w:val="0"/>
              <w:adjustRightInd w:val="0"/>
              <w:spacing w:after="0" w:line="282"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.74 (.62)</w:t>
            </w:r>
          </w:p>
        </w:tc>
        <w:tc>
          <w:tcPr>
            <w:tcW w:w="850" w:type="dxa"/>
            <w:tcBorders>
              <w:top w:val="nil"/>
              <w:left w:val="nil"/>
              <w:right w:val="nil"/>
            </w:tcBorders>
            <w:vAlign w:val="center"/>
          </w:tcPr>
          <w:p w14:paraId="4311965D" w14:textId="77777777" w:rsidR="00123595" w:rsidRPr="006454B5" w:rsidRDefault="00123595" w:rsidP="00123595">
            <w:pPr>
              <w:widowControl w:val="0"/>
              <w:kinsoku w:val="0"/>
              <w:overflowPunct w:val="0"/>
              <w:autoSpaceDE w:val="0"/>
              <w:autoSpaceDN w:val="0"/>
              <w:adjustRightInd w:val="0"/>
              <w:spacing w:after="0" w:line="282"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1.39</w:t>
            </w:r>
          </w:p>
        </w:tc>
        <w:tc>
          <w:tcPr>
            <w:tcW w:w="425" w:type="dxa"/>
            <w:tcBorders>
              <w:top w:val="nil"/>
              <w:left w:val="nil"/>
              <w:right w:val="nil"/>
            </w:tcBorders>
            <w:vAlign w:val="center"/>
          </w:tcPr>
          <w:p w14:paraId="14C2332C" w14:textId="77777777" w:rsidR="00123595" w:rsidRPr="006454B5" w:rsidRDefault="00123595" w:rsidP="00123595">
            <w:pPr>
              <w:widowControl w:val="0"/>
              <w:kinsoku w:val="0"/>
              <w:overflowPunct w:val="0"/>
              <w:autoSpaceDE w:val="0"/>
              <w:autoSpaceDN w:val="0"/>
              <w:adjustRightInd w:val="0"/>
              <w:spacing w:after="0" w:line="282" w:lineRule="exact"/>
              <w:ind w:right="4"/>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1.80</w:t>
            </w:r>
          </w:p>
        </w:tc>
        <w:tc>
          <w:tcPr>
            <w:tcW w:w="1134" w:type="dxa"/>
            <w:tcBorders>
              <w:top w:val="nil"/>
              <w:left w:val="nil"/>
              <w:right w:val="nil"/>
            </w:tcBorders>
            <w:vAlign w:val="center"/>
          </w:tcPr>
          <w:p w14:paraId="7931E87C" w14:textId="77777777" w:rsidR="00123595" w:rsidRPr="006454B5" w:rsidRDefault="00123595" w:rsidP="00123595">
            <w:pPr>
              <w:widowControl w:val="0"/>
              <w:kinsoku w:val="0"/>
              <w:overflowPunct w:val="0"/>
              <w:autoSpaceDE w:val="0"/>
              <w:autoSpaceDN w:val="0"/>
              <w:adjustRightInd w:val="0"/>
              <w:spacing w:after="0" w:line="282"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[.52, 6.27]</w:t>
            </w:r>
          </w:p>
        </w:tc>
        <w:tc>
          <w:tcPr>
            <w:tcW w:w="993" w:type="dxa"/>
            <w:tcBorders>
              <w:top w:val="nil"/>
              <w:left w:val="nil"/>
              <w:right w:val="nil"/>
            </w:tcBorders>
            <w:vAlign w:val="center"/>
          </w:tcPr>
          <w:p w14:paraId="0AB0E485" w14:textId="77777777" w:rsidR="00123595" w:rsidRPr="006454B5" w:rsidRDefault="00123595" w:rsidP="00123595">
            <w:pPr>
              <w:widowControl w:val="0"/>
              <w:kinsoku w:val="0"/>
              <w:overflowPunct w:val="0"/>
              <w:autoSpaceDE w:val="0"/>
              <w:autoSpaceDN w:val="0"/>
              <w:adjustRightInd w:val="0"/>
              <w:spacing w:after="0" w:line="282"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-.22 (.63)</w:t>
            </w:r>
          </w:p>
        </w:tc>
        <w:tc>
          <w:tcPr>
            <w:tcW w:w="708" w:type="dxa"/>
            <w:tcBorders>
              <w:top w:val="nil"/>
              <w:left w:val="nil"/>
              <w:right w:val="nil"/>
            </w:tcBorders>
            <w:vAlign w:val="center"/>
          </w:tcPr>
          <w:p w14:paraId="3F3B8561" w14:textId="77777777" w:rsidR="00123595" w:rsidRPr="006454B5" w:rsidRDefault="00123595" w:rsidP="00123595">
            <w:pPr>
              <w:widowControl w:val="0"/>
              <w:kinsoku w:val="0"/>
              <w:overflowPunct w:val="0"/>
              <w:autoSpaceDE w:val="0"/>
              <w:autoSpaceDN w:val="0"/>
              <w:adjustRightInd w:val="0"/>
              <w:spacing w:after="0" w:line="282"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.12</w:t>
            </w:r>
          </w:p>
        </w:tc>
        <w:tc>
          <w:tcPr>
            <w:tcW w:w="426" w:type="dxa"/>
            <w:tcBorders>
              <w:top w:val="nil"/>
              <w:left w:val="nil"/>
              <w:right w:val="nil"/>
            </w:tcBorders>
            <w:vAlign w:val="center"/>
          </w:tcPr>
          <w:p w14:paraId="6978A384" w14:textId="77777777" w:rsidR="00123595" w:rsidRPr="006454B5" w:rsidRDefault="00123595" w:rsidP="00123595">
            <w:pPr>
              <w:widowControl w:val="0"/>
              <w:kinsoku w:val="0"/>
              <w:overflowPunct w:val="0"/>
              <w:autoSpaceDE w:val="0"/>
              <w:autoSpaceDN w:val="0"/>
              <w:adjustRightInd w:val="0"/>
              <w:spacing w:after="0" w:line="282"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.81</w:t>
            </w:r>
          </w:p>
        </w:tc>
        <w:tc>
          <w:tcPr>
            <w:tcW w:w="1134" w:type="dxa"/>
            <w:tcBorders>
              <w:top w:val="nil"/>
              <w:left w:val="nil"/>
              <w:right w:val="nil"/>
            </w:tcBorders>
            <w:vAlign w:val="center"/>
          </w:tcPr>
          <w:p w14:paraId="5425F184" w14:textId="77777777" w:rsidR="00123595" w:rsidRPr="006454B5" w:rsidRDefault="00123595" w:rsidP="00123595">
            <w:pPr>
              <w:widowControl w:val="0"/>
              <w:kinsoku w:val="0"/>
              <w:overflowPunct w:val="0"/>
              <w:autoSpaceDE w:val="0"/>
              <w:autoSpaceDN w:val="0"/>
              <w:adjustRightInd w:val="0"/>
              <w:spacing w:after="0" w:line="282"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[.23, 2.77]</w:t>
            </w:r>
          </w:p>
        </w:tc>
      </w:tr>
      <w:tr w:rsidR="00123595" w:rsidRPr="006454B5" w14:paraId="6A559C8B" w14:textId="77777777" w:rsidTr="00492808">
        <w:trPr>
          <w:trHeight w:val="20"/>
        </w:trPr>
        <w:tc>
          <w:tcPr>
            <w:tcW w:w="2735" w:type="dxa"/>
            <w:tcBorders>
              <w:top w:val="nil"/>
              <w:left w:val="nil"/>
              <w:bottom w:val="single" w:sz="4" w:space="0" w:color="auto"/>
              <w:right w:val="nil"/>
            </w:tcBorders>
            <w:vAlign w:val="center"/>
          </w:tcPr>
          <w:p w14:paraId="35D3232E" w14:textId="77777777" w:rsidR="00123595" w:rsidRPr="006454B5" w:rsidRDefault="00123595" w:rsidP="00123595">
            <w:pPr>
              <w:widowControl w:val="0"/>
              <w:kinsoku w:val="0"/>
              <w:overflowPunct w:val="0"/>
              <w:autoSpaceDE w:val="0"/>
              <w:autoSpaceDN w:val="0"/>
              <w:adjustRightInd w:val="0"/>
              <w:spacing w:after="0" w:line="282" w:lineRule="exact"/>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Police reference delays due to workload</w:t>
            </w:r>
          </w:p>
        </w:tc>
        <w:tc>
          <w:tcPr>
            <w:tcW w:w="993" w:type="dxa"/>
            <w:tcBorders>
              <w:top w:val="nil"/>
              <w:left w:val="nil"/>
              <w:bottom w:val="single" w:sz="4" w:space="0" w:color="auto"/>
              <w:right w:val="nil"/>
            </w:tcBorders>
            <w:vAlign w:val="center"/>
          </w:tcPr>
          <w:p w14:paraId="7FF97279" w14:textId="77777777" w:rsidR="00123595" w:rsidRPr="006454B5" w:rsidRDefault="00123595" w:rsidP="00123595">
            <w:pPr>
              <w:widowControl w:val="0"/>
              <w:kinsoku w:val="0"/>
              <w:overflowPunct w:val="0"/>
              <w:autoSpaceDE w:val="0"/>
              <w:autoSpaceDN w:val="0"/>
              <w:adjustRightInd w:val="0"/>
              <w:spacing w:after="0" w:line="282"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-1.00 (.59)</w:t>
            </w:r>
          </w:p>
        </w:tc>
        <w:tc>
          <w:tcPr>
            <w:tcW w:w="850" w:type="dxa"/>
            <w:tcBorders>
              <w:top w:val="nil"/>
              <w:left w:val="nil"/>
              <w:bottom w:val="single" w:sz="4" w:space="0" w:color="auto"/>
              <w:right w:val="nil"/>
            </w:tcBorders>
            <w:vAlign w:val="center"/>
          </w:tcPr>
          <w:p w14:paraId="1FA99933" w14:textId="77777777" w:rsidR="00123595" w:rsidRPr="006454B5" w:rsidRDefault="00123595" w:rsidP="00123595">
            <w:pPr>
              <w:widowControl w:val="0"/>
              <w:kinsoku w:val="0"/>
              <w:overflowPunct w:val="0"/>
              <w:autoSpaceDE w:val="0"/>
              <w:autoSpaceDN w:val="0"/>
              <w:adjustRightInd w:val="0"/>
              <w:spacing w:after="0" w:line="282"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2.90+</w:t>
            </w:r>
          </w:p>
        </w:tc>
        <w:tc>
          <w:tcPr>
            <w:tcW w:w="425" w:type="dxa"/>
            <w:tcBorders>
              <w:top w:val="nil"/>
              <w:left w:val="nil"/>
              <w:bottom w:val="single" w:sz="4" w:space="0" w:color="auto"/>
              <w:right w:val="nil"/>
            </w:tcBorders>
            <w:vAlign w:val="center"/>
          </w:tcPr>
          <w:p w14:paraId="4866FC23" w14:textId="77777777" w:rsidR="00123595" w:rsidRPr="006454B5" w:rsidRDefault="00123595" w:rsidP="00123595">
            <w:pPr>
              <w:widowControl w:val="0"/>
              <w:kinsoku w:val="0"/>
              <w:overflowPunct w:val="0"/>
              <w:autoSpaceDE w:val="0"/>
              <w:autoSpaceDN w:val="0"/>
              <w:adjustRightInd w:val="0"/>
              <w:spacing w:after="0" w:line="282" w:lineRule="exact"/>
              <w:ind w:right="4"/>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.39</w:t>
            </w:r>
          </w:p>
        </w:tc>
        <w:tc>
          <w:tcPr>
            <w:tcW w:w="1134" w:type="dxa"/>
            <w:tcBorders>
              <w:top w:val="nil"/>
              <w:left w:val="nil"/>
              <w:bottom w:val="single" w:sz="4" w:space="0" w:color="auto"/>
              <w:right w:val="nil"/>
            </w:tcBorders>
            <w:vAlign w:val="center"/>
          </w:tcPr>
          <w:p w14:paraId="31E3B6EA" w14:textId="77777777" w:rsidR="00123595" w:rsidRPr="006454B5" w:rsidRDefault="00123595" w:rsidP="00123595">
            <w:pPr>
              <w:widowControl w:val="0"/>
              <w:kinsoku w:val="0"/>
              <w:overflowPunct w:val="0"/>
              <w:autoSpaceDE w:val="0"/>
              <w:autoSpaceDN w:val="0"/>
              <w:adjustRightInd w:val="0"/>
              <w:spacing w:after="0" w:line="282"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[.12, 1.26]</w:t>
            </w:r>
          </w:p>
        </w:tc>
        <w:tc>
          <w:tcPr>
            <w:tcW w:w="993" w:type="dxa"/>
            <w:tcBorders>
              <w:top w:val="nil"/>
              <w:left w:val="nil"/>
              <w:bottom w:val="single" w:sz="4" w:space="0" w:color="auto"/>
              <w:right w:val="nil"/>
            </w:tcBorders>
            <w:vAlign w:val="center"/>
          </w:tcPr>
          <w:p w14:paraId="07ECED94" w14:textId="77777777" w:rsidR="00123595" w:rsidRPr="006454B5" w:rsidRDefault="00123595" w:rsidP="00123595">
            <w:pPr>
              <w:widowControl w:val="0"/>
              <w:kinsoku w:val="0"/>
              <w:overflowPunct w:val="0"/>
              <w:autoSpaceDE w:val="0"/>
              <w:autoSpaceDN w:val="0"/>
              <w:adjustRightInd w:val="0"/>
              <w:spacing w:after="0" w:line="282"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-1.21 (.59)</w:t>
            </w:r>
          </w:p>
        </w:tc>
        <w:tc>
          <w:tcPr>
            <w:tcW w:w="708" w:type="dxa"/>
            <w:tcBorders>
              <w:top w:val="nil"/>
              <w:left w:val="nil"/>
              <w:bottom w:val="single" w:sz="4" w:space="0" w:color="auto"/>
              <w:right w:val="nil"/>
            </w:tcBorders>
            <w:vAlign w:val="center"/>
          </w:tcPr>
          <w:p w14:paraId="2762ED95" w14:textId="77777777" w:rsidR="00123595" w:rsidRPr="006454B5" w:rsidRDefault="00123595" w:rsidP="00123595">
            <w:pPr>
              <w:widowControl w:val="0"/>
              <w:kinsoku w:val="0"/>
              <w:overflowPunct w:val="0"/>
              <w:autoSpaceDE w:val="0"/>
              <w:autoSpaceDN w:val="0"/>
              <w:adjustRightInd w:val="0"/>
              <w:spacing w:after="0" w:line="282" w:lineRule="exact"/>
              <w:jc w:val="center"/>
              <w:rPr>
                <w:rFonts w:ascii="Arial" w:eastAsiaTheme="minorEastAsia" w:hAnsi="Arial" w:cs="Arial"/>
                <w:b/>
                <w:bCs/>
                <w:spacing w:val="-1"/>
                <w:sz w:val="20"/>
                <w:szCs w:val="20"/>
                <w:lang w:eastAsia="en-GB"/>
              </w:rPr>
            </w:pPr>
            <w:r w:rsidRPr="006454B5">
              <w:rPr>
                <w:rFonts w:ascii="Arial" w:eastAsiaTheme="minorEastAsia" w:hAnsi="Arial" w:cs="Arial"/>
                <w:b/>
                <w:bCs/>
                <w:spacing w:val="-1"/>
                <w:sz w:val="20"/>
                <w:szCs w:val="20"/>
                <w:lang w:eastAsia="en-GB"/>
              </w:rPr>
              <w:t>4.26*</w:t>
            </w:r>
          </w:p>
        </w:tc>
        <w:tc>
          <w:tcPr>
            <w:tcW w:w="426" w:type="dxa"/>
            <w:tcBorders>
              <w:top w:val="nil"/>
              <w:left w:val="nil"/>
              <w:bottom w:val="single" w:sz="4" w:space="0" w:color="auto"/>
              <w:right w:val="nil"/>
            </w:tcBorders>
            <w:vAlign w:val="center"/>
          </w:tcPr>
          <w:p w14:paraId="1941240E" w14:textId="77777777" w:rsidR="00123595" w:rsidRPr="006454B5" w:rsidRDefault="00123595" w:rsidP="00123595">
            <w:pPr>
              <w:widowControl w:val="0"/>
              <w:kinsoku w:val="0"/>
              <w:overflowPunct w:val="0"/>
              <w:autoSpaceDE w:val="0"/>
              <w:autoSpaceDN w:val="0"/>
              <w:adjustRightInd w:val="0"/>
              <w:spacing w:after="0" w:line="282"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.30</w:t>
            </w:r>
          </w:p>
        </w:tc>
        <w:tc>
          <w:tcPr>
            <w:tcW w:w="1134" w:type="dxa"/>
            <w:tcBorders>
              <w:top w:val="nil"/>
              <w:left w:val="nil"/>
              <w:bottom w:val="single" w:sz="4" w:space="0" w:color="auto"/>
              <w:right w:val="nil"/>
            </w:tcBorders>
            <w:vAlign w:val="center"/>
          </w:tcPr>
          <w:p w14:paraId="7310E607" w14:textId="77777777" w:rsidR="00123595" w:rsidRPr="006454B5" w:rsidRDefault="00123595" w:rsidP="00123595">
            <w:pPr>
              <w:widowControl w:val="0"/>
              <w:kinsoku w:val="0"/>
              <w:overflowPunct w:val="0"/>
              <w:autoSpaceDE w:val="0"/>
              <w:autoSpaceDN w:val="0"/>
              <w:adjustRightInd w:val="0"/>
              <w:spacing w:after="0" w:line="282" w:lineRule="exact"/>
              <w:jc w:val="center"/>
              <w:rPr>
                <w:rFonts w:ascii="Arial" w:eastAsiaTheme="minorEastAsia" w:hAnsi="Arial" w:cs="Arial"/>
                <w:spacing w:val="-1"/>
                <w:sz w:val="20"/>
                <w:szCs w:val="20"/>
                <w:lang w:eastAsia="en-GB"/>
              </w:rPr>
            </w:pPr>
            <w:r w:rsidRPr="006454B5">
              <w:rPr>
                <w:rFonts w:ascii="Arial" w:eastAsiaTheme="minorEastAsia" w:hAnsi="Arial" w:cs="Arial"/>
                <w:spacing w:val="-1"/>
                <w:sz w:val="20"/>
                <w:szCs w:val="20"/>
                <w:lang w:eastAsia="en-GB"/>
              </w:rPr>
              <w:t>[.09, .94]</w:t>
            </w:r>
          </w:p>
        </w:tc>
      </w:tr>
      <w:tr w:rsidR="00123595" w:rsidRPr="006454B5" w14:paraId="2340BE6F" w14:textId="77777777" w:rsidTr="00492808">
        <w:trPr>
          <w:trHeight w:val="20"/>
        </w:trPr>
        <w:tc>
          <w:tcPr>
            <w:tcW w:w="9398" w:type="dxa"/>
            <w:gridSpan w:val="9"/>
            <w:tcBorders>
              <w:top w:val="single" w:sz="4" w:space="0" w:color="auto"/>
              <w:left w:val="nil"/>
              <w:right w:val="nil"/>
            </w:tcBorders>
            <w:vAlign w:val="center"/>
          </w:tcPr>
          <w:p w14:paraId="71636007" w14:textId="52A64710" w:rsidR="00123595" w:rsidRPr="006454B5" w:rsidRDefault="00123595" w:rsidP="00123595">
            <w:pPr>
              <w:widowControl w:val="0"/>
              <w:kinsoku w:val="0"/>
              <w:overflowPunct w:val="0"/>
              <w:autoSpaceDE w:val="0"/>
              <w:autoSpaceDN w:val="0"/>
              <w:adjustRightInd w:val="0"/>
              <w:spacing w:after="0" w:line="292" w:lineRule="exact"/>
              <w:rPr>
                <w:rFonts w:ascii="Arial" w:eastAsiaTheme="minorEastAsia" w:hAnsi="Arial" w:cs="Arial"/>
                <w:sz w:val="20"/>
                <w:szCs w:val="20"/>
                <w:lang w:eastAsia="en-GB"/>
              </w:rPr>
            </w:pPr>
            <w:r w:rsidRPr="006454B5">
              <w:rPr>
                <w:rFonts w:ascii="Arial" w:eastAsiaTheme="minorEastAsia" w:hAnsi="Arial" w:cs="Arial"/>
                <w:sz w:val="20"/>
                <w:szCs w:val="20"/>
                <w:lang w:eastAsia="en-GB"/>
              </w:rPr>
              <w:t>*</w:t>
            </w:r>
            <w:r w:rsidRPr="006454B5">
              <w:rPr>
                <w:rFonts w:ascii="Arial" w:eastAsiaTheme="minorEastAsia" w:hAnsi="Arial" w:cs="Arial"/>
                <w:spacing w:val="-4"/>
                <w:sz w:val="20"/>
                <w:szCs w:val="20"/>
                <w:lang w:eastAsia="en-GB"/>
              </w:rPr>
              <w:t xml:space="preserve"> </w:t>
            </w:r>
            <w:r w:rsidRPr="006454B5">
              <w:rPr>
                <w:rFonts w:ascii="Arial" w:eastAsiaTheme="minorEastAsia" w:hAnsi="Arial" w:cs="Arial"/>
                <w:i/>
                <w:iCs/>
                <w:spacing w:val="-2"/>
                <w:sz w:val="20"/>
                <w:szCs w:val="20"/>
                <w:lang w:eastAsia="en-GB"/>
              </w:rPr>
              <w:t>p</w:t>
            </w:r>
            <w:r w:rsidRPr="006454B5">
              <w:rPr>
                <w:rFonts w:ascii="Arial" w:eastAsiaTheme="minorEastAsia" w:hAnsi="Arial" w:cs="Arial"/>
                <w:i/>
                <w:iCs/>
                <w:spacing w:val="-3"/>
                <w:sz w:val="20"/>
                <w:szCs w:val="20"/>
                <w:lang w:eastAsia="en-GB"/>
              </w:rPr>
              <w:t xml:space="preserve"> </w:t>
            </w:r>
            <w:r w:rsidRPr="006454B5">
              <w:rPr>
                <w:rFonts w:ascii="Arial" w:eastAsiaTheme="minorEastAsia" w:hAnsi="Arial" w:cs="Arial"/>
                <w:spacing w:val="-1"/>
                <w:sz w:val="20"/>
                <w:szCs w:val="20"/>
                <w:lang w:eastAsia="en-GB"/>
              </w:rPr>
              <w:t>&lt;.05,</w:t>
            </w:r>
            <w:r w:rsidRPr="006454B5">
              <w:rPr>
                <w:rFonts w:ascii="Arial" w:eastAsiaTheme="minorEastAsia" w:hAnsi="Arial" w:cs="Arial"/>
                <w:spacing w:val="-2"/>
                <w:sz w:val="20"/>
                <w:szCs w:val="20"/>
                <w:lang w:eastAsia="en-GB"/>
              </w:rPr>
              <w:t xml:space="preserve"> </w:t>
            </w:r>
            <w:r w:rsidRPr="006454B5">
              <w:rPr>
                <w:rFonts w:ascii="Arial" w:eastAsiaTheme="minorEastAsia" w:hAnsi="Arial" w:cs="Arial"/>
                <w:spacing w:val="-1"/>
                <w:sz w:val="20"/>
                <w:szCs w:val="20"/>
                <w:lang w:eastAsia="en-GB"/>
              </w:rPr>
              <w:t>**</w:t>
            </w:r>
            <w:r w:rsidRPr="006454B5">
              <w:rPr>
                <w:rFonts w:ascii="Arial" w:eastAsiaTheme="minorEastAsia" w:hAnsi="Arial" w:cs="Arial"/>
                <w:spacing w:val="-2"/>
                <w:sz w:val="20"/>
                <w:szCs w:val="20"/>
                <w:lang w:eastAsia="en-GB"/>
              </w:rPr>
              <w:t xml:space="preserve"> </w:t>
            </w:r>
            <w:r w:rsidRPr="006454B5">
              <w:rPr>
                <w:rFonts w:ascii="Arial" w:eastAsiaTheme="minorEastAsia" w:hAnsi="Arial" w:cs="Arial"/>
                <w:i/>
                <w:iCs/>
                <w:sz w:val="20"/>
                <w:szCs w:val="20"/>
                <w:lang w:eastAsia="en-GB"/>
              </w:rPr>
              <w:t>p</w:t>
            </w:r>
            <w:r w:rsidRPr="006454B5">
              <w:rPr>
                <w:rFonts w:ascii="Arial" w:eastAsiaTheme="minorEastAsia" w:hAnsi="Arial" w:cs="Arial"/>
                <w:i/>
                <w:iCs/>
                <w:spacing w:val="-5"/>
                <w:sz w:val="20"/>
                <w:szCs w:val="20"/>
                <w:lang w:eastAsia="en-GB"/>
              </w:rPr>
              <w:t xml:space="preserve"> </w:t>
            </w:r>
            <w:r w:rsidRPr="006454B5">
              <w:rPr>
                <w:rFonts w:ascii="Arial" w:eastAsiaTheme="minorEastAsia" w:hAnsi="Arial" w:cs="Arial"/>
                <w:sz w:val="20"/>
                <w:szCs w:val="20"/>
                <w:lang w:eastAsia="en-GB"/>
              </w:rPr>
              <w:t>&lt;.01,</w:t>
            </w:r>
            <w:r w:rsidRPr="006454B5">
              <w:rPr>
                <w:rFonts w:ascii="Arial" w:eastAsiaTheme="minorEastAsia" w:hAnsi="Arial" w:cs="Arial"/>
                <w:spacing w:val="-4"/>
                <w:sz w:val="20"/>
                <w:szCs w:val="20"/>
                <w:lang w:eastAsia="en-GB"/>
              </w:rPr>
              <w:t xml:space="preserve"> </w:t>
            </w:r>
            <w:r w:rsidRPr="006454B5">
              <w:rPr>
                <w:rFonts w:ascii="Arial" w:eastAsiaTheme="minorEastAsia" w:hAnsi="Arial" w:cs="Arial"/>
                <w:spacing w:val="-1"/>
                <w:sz w:val="20"/>
                <w:szCs w:val="20"/>
                <w:lang w:eastAsia="en-GB"/>
              </w:rPr>
              <w:t>***</w:t>
            </w:r>
            <w:r w:rsidRPr="006454B5">
              <w:rPr>
                <w:rFonts w:ascii="Arial" w:eastAsiaTheme="minorEastAsia" w:hAnsi="Arial" w:cs="Arial"/>
                <w:spacing w:val="-2"/>
                <w:sz w:val="20"/>
                <w:szCs w:val="20"/>
                <w:lang w:eastAsia="en-GB"/>
              </w:rPr>
              <w:t xml:space="preserve"> </w:t>
            </w:r>
            <w:r w:rsidRPr="006454B5">
              <w:rPr>
                <w:rFonts w:ascii="Arial" w:eastAsiaTheme="minorEastAsia" w:hAnsi="Arial" w:cs="Arial"/>
                <w:i/>
                <w:iCs/>
                <w:spacing w:val="-2"/>
                <w:sz w:val="20"/>
                <w:szCs w:val="20"/>
                <w:lang w:eastAsia="en-GB"/>
              </w:rPr>
              <w:t xml:space="preserve">p </w:t>
            </w:r>
            <w:r w:rsidRPr="006454B5">
              <w:rPr>
                <w:rFonts w:ascii="Arial" w:eastAsiaTheme="minorEastAsia" w:hAnsi="Arial" w:cs="Arial"/>
                <w:sz w:val="20"/>
                <w:szCs w:val="20"/>
                <w:lang w:eastAsia="en-GB"/>
              </w:rPr>
              <w:t>&lt;.001</w:t>
            </w:r>
            <w:r w:rsidRPr="006454B5">
              <w:rPr>
                <w:rFonts w:ascii="Arial" w:eastAsiaTheme="minorEastAsia" w:hAnsi="Arial" w:cs="Arial"/>
                <w:sz w:val="20"/>
                <w:szCs w:val="20"/>
                <w:lang w:eastAsia="en-GB"/>
              </w:rPr>
              <w:br/>
              <w:t>Note: Submission to CPS was the reference outcome</w:t>
            </w:r>
            <w:r w:rsidR="00B95265" w:rsidRPr="006454B5">
              <w:rPr>
                <w:rFonts w:ascii="Arial" w:eastAsiaTheme="minorEastAsia" w:hAnsi="Arial" w:cs="Arial"/>
                <w:sz w:val="20"/>
                <w:szCs w:val="20"/>
                <w:lang w:eastAsia="en-GB"/>
              </w:rPr>
              <w:br/>
              <w:t>Note: pseudo-</w:t>
            </w:r>
            <w:r w:rsidR="00B95265" w:rsidRPr="006454B5">
              <w:rPr>
                <w:rFonts w:ascii="Arial" w:eastAsiaTheme="minorEastAsia" w:hAnsi="Arial" w:cs="Arial"/>
                <w:i/>
                <w:iCs/>
                <w:sz w:val="20"/>
                <w:szCs w:val="20"/>
                <w:lang w:eastAsia="en-GB"/>
              </w:rPr>
              <w:t>R</w:t>
            </w:r>
            <w:r w:rsidR="00B95265" w:rsidRPr="006454B5">
              <w:rPr>
                <w:rFonts w:ascii="Arial" w:eastAsiaTheme="minorEastAsia" w:hAnsi="Arial" w:cs="Arial"/>
                <w:i/>
                <w:iCs/>
                <w:sz w:val="20"/>
                <w:szCs w:val="20"/>
                <w:vertAlign w:val="superscript"/>
                <w:lang w:eastAsia="en-GB"/>
              </w:rPr>
              <w:t>2</w:t>
            </w:r>
            <w:r w:rsidR="00B95265" w:rsidRPr="006454B5">
              <w:rPr>
                <w:rFonts w:ascii="Arial" w:eastAsiaTheme="minorEastAsia" w:hAnsi="Arial" w:cs="Arial"/>
                <w:i/>
                <w:iCs/>
                <w:sz w:val="20"/>
                <w:szCs w:val="20"/>
                <w:lang w:eastAsia="en-GB"/>
              </w:rPr>
              <w:t xml:space="preserve"> </w:t>
            </w:r>
            <w:r w:rsidR="00B95265" w:rsidRPr="006454B5">
              <w:rPr>
                <w:rFonts w:ascii="Arial" w:eastAsiaTheme="minorEastAsia" w:hAnsi="Arial" w:cs="Arial"/>
                <w:sz w:val="20"/>
                <w:szCs w:val="20"/>
                <w:lang w:eastAsia="en-GB"/>
              </w:rPr>
              <w:t xml:space="preserve">= 0.54 – 0.62 [Cox &amp; Snell – </w:t>
            </w:r>
            <w:proofErr w:type="spellStart"/>
            <w:r w:rsidR="00B95265" w:rsidRPr="006454B5">
              <w:rPr>
                <w:rFonts w:ascii="Arial" w:eastAsiaTheme="minorEastAsia" w:hAnsi="Arial" w:cs="Arial"/>
                <w:sz w:val="20"/>
                <w:szCs w:val="20"/>
                <w:lang w:eastAsia="en-GB"/>
              </w:rPr>
              <w:t>Nagelkerke</w:t>
            </w:r>
            <w:proofErr w:type="spellEnd"/>
            <w:r w:rsidR="00B95265" w:rsidRPr="006454B5">
              <w:rPr>
                <w:rFonts w:ascii="Arial" w:eastAsiaTheme="minorEastAsia" w:hAnsi="Arial" w:cs="Arial"/>
                <w:sz w:val="20"/>
                <w:szCs w:val="20"/>
                <w:lang w:eastAsia="en-GB"/>
              </w:rPr>
              <w:t xml:space="preserve">], Pearson </w:t>
            </w:r>
            <w:r w:rsidR="00B95265" w:rsidRPr="006454B5">
              <w:rPr>
                <w:rFonts w:ascii="Arial" w:hAnsi="Arial" w:cs="Arial"/>
                <w:bCs/>
                <w:i/>
                <w:iCs/>
                <w:color w:val="000000"/>
                <w:sz w:val="22"/>
                <w:shd w:val="clear" w:color="auto" w:fill="FFFFFF"/>
              </w:rPr>
              <w:t>χ</w:t>
            </w:r>
            <w:r w:rsidR="00B95265" w:rsidRPr="006454B5">
              <w:rPr>
                <w:rFonts w:ascii="Arial" w:hAnsi="Arial" w:cs="Arial"/>
                <w:bCs/>
                <w:color w:val="000000"/>
                <w:sz w:val="22"/>
                <w:shd w:val="clear" w:color="auto" w:fill="FFFFFF"/>
              </w:rPr>
              <w:t xml:space="preserve">² (372) = 409.81, </w:t>
            </w:r>
            <w:r w:rsidR="00B95265" w:rsidRPr="006454B5">
              <w:rPr>
                <w:rFonts w:ascii="Arial" w:hAnsi="Arial" w:cs="Arial"/>
                <w:bCs/>
                <w:i/>
                <w:iCs/>
                <w:color w:val="000000"/>
                <w:sz w:val="22"/>
                <w:shd w:val="clear" w:color="auto" w:fill="FFFFFF"/>
              </w:rPr>
              <w:t xml:space="preserve">p </w:t>
            </w:r>
            <w:r w:rsidR="00B95265" w:rsidRPr="006454B5">
              <w:rPr>
                <w:rFonts w:ascii="Arial" w:hAnsi="Arial" w:cs="Arial"/>
                <w:bCs/>
                <w:color w:val="000000"/>
                <w:sz w:val="22"/>
                <w:shd w:val="clear" w:color="auto" w:fill="FFFFFF"/>
              </w:rPr>
              <w:t>=.086</w:t>
            </w:r>
          </w:p>
          <w:p w14:paraId="0C67DD17" w14:textId="77777777" w:rsidR="00123595" w:rsidRPr="006454B5" w:rsidRDefault="00123595" w:rsidP="00123595">
            <w:pPr>
              <w:widowControl w:val="0"/>
              <w:kinsoku w:val="0"/>
              <w:overflowPunct w:val="0"/>
              <w:autoSpaceDE w:val="0"/>
              <w:autoSpaceDN w:val="0"/>
              <w:adjustRightInd w:val="0"/>
              <w:spacing w:after="0" w:line="292" w:lineRule="exact"/>
              <w:rPr>
                <w:rFonts w:ascii="Arial" w:eastAsiaTheme="minorEastAsia" w:hAnsi="Arial" w:cs="Arial"/>
                <w:sz w:val="20"/>
                <w:szCs w:val="20"/>
                <w:lang w:eastAsia="en-GB"/>
              </w:rPr>
            </w:pPr>
            <w:r w:rsidRPr="006454B5">
              <w:rPr>
                <w:rFonts w:ascii="Arial" w:eastAsiaTheme="minorEastAsia" w:hAnsi="Arial" w:cs="Arial"/>
                <w:sz w:val="20"/>
                <w:szCs w:val="20"/>
                <w:lang w:eastAsia="en-GB"/>
              </w:rPr>
              <w:t>DASH = Domestic Abuse, Stalking and Honour Based Violence</w:t>
            </w:r>
          </w:p>
          <w:p w14:paraId="0799683E" w14:textId="77777777" w:rsidR="00123595" w:rsidRPr="006454B5" w:rsidRDefault="00123595" w:rsidP="00123595">
            <w:pPr>
              <w:widowControl w:val="0"/>
              <w:kinsoku w:val="0"/>
              <w:overflowPunct w:val="0"/>
              <w:autoSpaceDE w:val="0"/>
              <w:autoSpaceDN w:val="0"/>
              <w:adjustRightInd w:val="0"/>
              <w:spacing w:after="0" w:line="282" w:lineRule="exact"/>
              <w:rPr>
                <w:rFonts w:ascii="Arial" w:eastAsiaTheme="minorEastAsia" w:hAnsi="Arial" w:cs="Arial"/>
                <w:spacing w:val="-1"/>
                <w:sz w:val="20"/>
                <w:szCs w:val="20"/>
                <w:lang w:eastAsia="en-GB"/>
              </w:rPr>
            </w:pPr>
          </w:p>
        </w:tc>
      </w:tr>
    </w:tbl>
    <w:p w14:paraId="05D66CBD" w14:textId="77777777" w:rsidR="00123595" w:rsidRPr="006454B5" w:rsidRDefault="00123595" w:rsidP="00123595">
      <w:pPr>
        <w:spacing w:after="0" w:line="240" w:lineRule="auto"/>
        <w:rPr>
          <w:rFonts w:ascii="Arial" w:hAnsi="Arial" w:cs="Arial"/>
          <w:sz w:val="20"/>
          <w:szCs w:val="20"/>
        </w:rPr>
      </w:pPr>
    </w:p>
    <w:p w14:paraId="39B9815C" w14:textId="77777777" w:rsidR="00C4689E" w:rsidRPr="006454B5" w:rsidRDefault="00C4689E" w:rsidP="00C4689E">
      <w:pPr>
        <w:rPr>
          <w:rFonts w:ascii="Arial" w:hAnsi="Arial" w:cs="Arial"/>
          <w:sz w:val="22"/>
        </w:rPr>
      </w:pPr>
    </w:p>
    <w:p w14:paraId="1CA48283" w14:textId="77777777" w:rsidR="00C4689E" w:rsidRPr="006454B5" w:rsidRDefault="00C4689E" w:rsidP="00C4689E">
      <w:pPr>
        <w:rPr>
          <w:rFonts w:ascii="Arial" w:hAnsi="Arial" w:cs="Arial"/>
          <w:sz w:val="22"/>
        </w:rPr>
      </w:pPr>
      <w:r w:rsidRPr="006454B5">
        <w:rPr>
          <w:rFonts w:ascii="Arial" w:hAnsi="Arial" w:cs="Arial"/>
          <w:sz w:val="22"/>
        </w:rPr>
        <w:br w:type="page"/>
      </w:r>
    </w:p>
    <w:p w14:paraId="79FA0B6B" w14:textId="5871F1ED" w:rsidR="001B3631" w:rsidRPr="006454B5" w:rsidRDefault="00C4689E" w:rsidP="00C4689E">
      <w:pPr>
        <w:pStyle w:val="BodyText"/>
        <w:kinsoku w:val="0"/>
        <w:overflowPunct w:val="0"/>
        <w:spacing w:line="480" w:lineRule="auto"/>
        <w:ind w:left="0"/>
        <w:rPr>
          <w:rFonts w:ascii="Arial" w:hAnsi="Arial" w:cs="Arial"/>
          <w:b/>
          <w:bCs/>
          <w:sz w:val="22"/>
          <w:szCs w:val="22"/>
        </w:rPr>
      </w:pPr>
      <w:r w:rsidRPr="006454B5">
        <w:rPr>
          <w:rFonts w:ascii="Arial" w:hAnsi="Arial" w:cs="Arial"/>
          <w:b/>
          <w:bCs/>
          <w:sz w:val="22"/>
          <w:szCs w:val="22"/>
        </w:rPr>
        <w:lastRenderedPageBreak/>
        <w:t>Figure 1</w:t>
      </w:r>
    </w:p>
    <w:p w14:paraId="6E2F9821" w14:textId="386DFB31" w:rsidR="00C4689E" w:rsidRPr="006454B5" w:rsidRDefault="00C4689E" w:rsidP="00C4689E">
      <w:pPr>
        <w:pStyle w:val="BodyText"/>
        <w:kinsoku w:val="0"/>
        <w:overflowPunct w:val="0"/>
        <w:spacing w:line="480" w:lineRule="auto"/>
        <w:ind w:left="0"/>
        <w:rPr>
          <w:rFonts w:ascii="Arial" w:hAnsi="Arial" w:cs="Arial"/>
          <w:i/>
          <w:iCs/>
          <w:sz w:val="22"/>
          <w:szCs w:val="22"/>
        </w:rPr>
      </w:pPr>
      <w:r w:rsidRPr="006454B5">
        <w:rPr>
          <w:rFonts w:ascii="Arial" w:hAnsi="Arial" w:cs="Arial"/>
          <w:i/>
          <w:iCs/>
          <w:sz w:val="22"/>
          <w:szCs w:val="22"/>
        </w:rPr>
        <w:t>Case characteristics and outcomes groupings</w:t>
      </w:r>
    </w:p>
    <w:p w14:paraId="6E4A516D" w14:textId="3422BF81" w:rsidR="00607BC3" w:rsidRPr="006454B5" w:rsidRDefault="00607BC3" w:rsidP="00C4689E">
      <w:pPr>
        <w:pStyle w:val="BodyText"/>
        <w:kinsoku w:val="0"/>
        <w:overflowPunct w:val="0"/>
        <w:spacing w:line="480" w:lineRule="auto"/>
        <w:ind w:left="0"/>
        <w:rPr>
          <w:rFonts w:ascii="Arial" w:hAnsi="Arial" w:cs="Arial"/>
          <w:i/>
          <w:iCs/>
          <w:sz w:val="22"/>
          <w:szCs w:val="22"/>
        </w:rPr>
      </w:pPr>
      <w:r w:rsidRPr="006454B5">
        <w:rPr>
          <w:rFonts w:ascii="Arial" w:hAnsi="Arial" w:cs="Arial"/>
          <w:noProof/>
          <w:sz w:val="22"/>
          <w:szCs w:val="22"/>
          <w:lang w:val="en-US" w:eastAsia="en-US"/>
        </w:rPr>
        <w:drawing>
          <wp:inline distT="0" distB="0" distL="0" distR="0" wp14:anchorId="341989E9" wp14:editId="33A16D2B">
            <wp:extent cx="5727700" cy="5404978"/>
            <wp:effectExtent l="0" t="0" r="0" b="5715"/>
            <wp:docPr id="69" name="Picture 69"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Female Rape Characteristics.png"/>
                    <pic:cNvPicPr/>
                  </pic:nvPicPr>
                  <pic:blipFill>
                    <a:blip r:embed="rId70"/>
                    <a:stretch>
                      <a:fillRect/>
                    </a:stretch>
                  </pic:blipFill>
                  <pic:spPr>
                    <a:xfrm>
                      <a:off x="0" y="0"/>
                      <a:ext cx="5727700" cy="5404978"/>
                    </a:xfrm>
                    <a:prstGeom prst="rect">
                      <a:avLst/>
                    </a:prstGeom>
                  </pic:spPr>
                </pic:pic>
              </a:graphicData>
            </a:graphic>
          </wp:inline>
        </w:drawing>
      </w:r>
    </w:p>
    <w:p w14:paraId="32EC2133" w14:textId="113720D3" w:rsidR="00C4689E" w:rsidRPr="008F1A4A" w:rsidRDefault="00E62252" w:rsidP="00C4689E">
      <w:pPr>
        <w:pStyle w:val="BodyText"/>
        <w:kinsoku w:val="0"/>
        <w:overflowPunct w:val="0"/>
        <w:spacing w:line="480" w:lineRule="auto"/>
        <w:ind w:left="0"/>
        <w:rPr>
          <w:rFonts w:ascii="Arial" w:hAnsi="Arial" w:cs="Arial"/>
          <w:i/>
          <w:iCs/>
          <w:sz w:val="22"/>
          <w:szCs w:val="22"/>
        </w:rPr>
      </w:pPr>
      <w:r w:rsidRPr="006454B5">
        <w:rPr>
          <w:rFonts w:ascii="Arial" w:hAnsi="Arial" w:cs="Arial"/>
          <w:i/>
          <w:iCs/>
          <w:sz w:val="22"/>
          <w:szCs w:val="22"/>
        </w:rPr>
        <w:t>Note: The outcome Not Classified as Crime includes cases that received a classification of ‘Rape-Contradictory Evidence’ and ‘Rape not Confirmed’</w:t>
      </w:r>
    </w:p>
    <w:p w14:paraId="58EDCF8C" w14:textId="77777777" w:rsidR="009B4683" w:rsidRDefault="009B4683" w:rsidP="00C4689E">
      <w:pPr>
        <w:ind w:hanging="720"/>
        <w:rPr>
          <w:rFonts w:ascii="Arial" w:hAnsi="Arial" w:cs="Arial"/>
          <w:sz w:val="22"/>
        </w:rPr>
      </w:pPr>
    </w:p>
    <w:p w14:paraId="52F27E7F" w14:textId="77777777" w:rsidR="009B4683" w:rsidRDefault="009B4683" w:rsidP="00C4689E">
      <w:pPr>
        <w:ind w:hanging="720"/>
        <w:rPr>
          <w:rFonts w:ascii="Arial" w:hAnsi="Arial" w:cs="Arial"/>
          <w:sz w:val="22"/>
        </w:rPr>
      </w:pPr>
    </w:p>
    <w:p w14:paraId="7D77921D" w14:textId="3A16F910" w:rsidR="009A2D88" w:rsidRPr="009F4F9E" w:rsidRDefault="009A2D88" w:rsidP="00C4689E">
      <w:pPr>
        <w:ind w:hanging="720"/>
        <w:rPr>
          <w:rFonts w:ascii="Arial" w:hAnsi="Arial" w:cs="Arial"/>
          <w:sz w:val="22"/>
        </w:rPr>
      </w:pPr>
    </w:p>
    <w:sectPr w:rsidR="009A2D88" w:rsidRPr="009F4F9E" w:rsidSect="00C4689E">
      <w:headerReference w:type="even" r:id="rId71"/>
      <w:headerReference w:type="default" r:id="rId7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D9015" w14:textId="77777777" w:rsidR="00F23413" w:rsidRDefault="00F23413" w:rsidP="009F4F9E">
      <w:pPr>
        <w:spacing w:after="0" w:line="240" w:lineRule="auto"/>
      </w:pPr>
      <w:r>
        <w:separator/>
      </w:r>
    </w:p>
  </w:endnote>
  <w:endnote w:type="continuationSeparator" w:id="0">
    <w:p w14:paraId="0C951182" w14:textId="77777777" w:rsidR="00F23413" w:rsidRDefault="00F23413" w:rsidP="009F4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27442774"/>
      <w:docPartObj>
        <w:docPartGallery w:val="Page Numbers (Bottom of Page)"/>
        <w:docPartUnique/>
      </w:docPartObj>
    </w:sdtPr>
    <w:sdtContent>
      <w:p w14:paraId="1A6AFC6F" w14:textId="77777777" w:rsidR="003242C8" w:rsidRDefault="003242C8" w:rsidP="004928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62DD75" w14:textId="77777777" w:rsidR="003242C8" w:rsidRDefault="003242C8" w:rsidP="004928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B322D" w14:textId="77777777" w:rsidR="003242C8" w:rsidRDefault="003242C8" w:rsidP="00492808">
    <w:pPr>
      <w:pStyle w:val="Footer"/>
      <w:framePr w:wrap="none" w:vAnchor="text" w:hAnchor="margin" w:xAlign="right" w:y="1"/>
      <w:rPr>
        <w:rStyle w:val="PageNumber"/>
      </w:rPr>
    </w:pPr>
  </w:p>
  <w:p w14:paraId="7A30A0D7" w14:textId="77777777" w:rsidR="003242C8" w:rsidRDefault="003242C8" w:rsidP="004928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3B9BB" w14:textId="77777777" w:rsidR="00F23413" w:rsidRDefault="00F23413" w:rsidP="009F4F9E">
      <w:pPr>
        <w:spacing w:after="0" w:line="240" w:lineRule="auto"/>
      </w:pPr>
      <w:r>
        <w:separator/>
      </w:r>
    </w:p>
  </w:footnote>
  <w:footnote w:type="continuationSeparator" w:id="0">
    <w:p w14:paraId="0B638CEA" w14:textId="77777777" w:rsidR="00F23413" w:rsidRDefault="00F23413" w:rsidP="009F4F9E">
      <w:pPr>
        <w:spacing w:after="0" w:line="240" w:lineRule="auto"/>
      </w:pPr>
      <w:r>
        <w:continuationSeparator/>
      </w:r>
    </w:p>
  </w:footnote>
  <w:footnote w:id="1">
    <w:p w14:paraId="7CD7B7B4" w14:textId="77777777" w:rsidR="003242C8" w:rsidRPr="00363D99" w:rsidRDefault="003242C8" w:rsidP="00363D99">
      <w:pPr>
        <w:pStyle w:val="FootnoteText"/>
        <w:rPr>
          <w:rFonts w:ascii="Arial" w:hAnsi="Arial" w:cs="Arial"/>
          <w:sz w:val="18"/>
          <w:szCs w:val="18"/>
        </w:rPr>
      </w:pPr>
      <w:r w:rsidRPr="00363D99">
        <w:rPr>
          <w:rStyle w:val="FootnoteReference"/>
          <w:rFonts w:ascii="Arial" w:hAnsi="Arial" w:cs="Arial"/>
          <w:sz w:val="18"/>
          <w:szCs w:val="18"/>
        </w:rPr>
        <w:footnoteRef/>
      </w:r>
      <w:r w:rsidRPr="00363D99">
        <w:rPr>
          <w:rFonts w:ascii="Arial" w:hAnsi="Arial" w:cs="Arial"/>
          <w:sz w:val="18"/>
          <w:szCs w:val="18"/>
        </w:rPr>
        <w:t xml:space="preserve"> A false allegation represents the reporting of a rape where there is evidence to support that no rape has taken place. For a review of the issues related to this definition and the counting of these cases see Kelly (2010).</w:t>
      </w:r>
    </w:p>
  </w:footnote>
  <w:footnote w:id="2">
    <w:p w14:paraId="5A929D0D" w14:textId="0628EE3B" w:rsidR="003242C8" w:rsidRPr="00363D99" w:rsidRDefault="003242C8" w:rsidP="00363D99">
      <w:pPr>
        <w:pStyle w:val="FootnoteText"/>
        <w:rPr>
          <w:rFonts w:ascii="Arial" w:hAnsi="Arial" w:cs="Arial"/>
          <w:sz w:val="18"/>
          <w:szCs w:val="18"/>
        </w:rPr>
      </w:pPr>
      <w:r w:rsidRPr="00363D99">
        <w:rPr>
          <w:rStyle w:val="FootnoteReference"/>
          <w:rFonts w:ascii="Arial" w:hAnsi="Arial" w:cs="Arial"/>
          <w:sz w:val="18"/>
          <w:szCs w:val="18"/>
        </w:rPr>
        <w:footnoteRef/>
      </w:r>
      <w:r w:rsidRPr="00363D99">
        <w:rPr>
          <w:rFonts w:ascii="Arial" w:hAnsi="Arial" w:cs="Arial"/>
          <w:sz w:val="18"/>
          <w:szCs w:val="18"/>
        </w:rPr>
        <w:t xml:space="preserve"> Percentages calculated with missing values excluded – in 4 cases the victim’s age was not known and in 50 cases the relationship between the victim and suspect was not known.</w:t>
      </w:r>
    </w:p>
  </w:footnote>
  <w:footnote w:id="3">
    <w:p w14:paraId="6E55EBAE" w14:textId="608A0295" w:rsidR="003242C8" w:rsidRPr="00363D99" w:rsidRDefault="003242C8" w:rsidP="00363D99">
      <w:pPr>
        <w:pStyle w:val="FootnoteText"/>
        <w:rPr>
          <w:rFonts w:ascii="Arial" w:hAnsi="Arial" w:cs="Arial"/>
          <w:sz w:val="18"/>
          <w:szCs w:val="18"/>
        </w:rPr>
      </w:pPr>
      <w:r w:rsidRPr="00363D99">
        <w:rPr>
          <w:rStyle w:val="FootnoteReference"/>
          <w:rFonts w:ascii="Arial" w:hAnsi="Arial" w:cs="Arial"/>
          <w:sz w:val="18"/>
          <w:szCs w:val="18"/>
        </w:rPr>
        <w:footnoteRef/>
      </w:r>
      <w:r w:rsidRPr="00363D99">
        <w:rPr>
          <w:rFonts w:ascii="Arial" w:hAnsi="Arial" w:cs="Arial"/>
          <w:sz w:val="18"/>
          <w:szCs w:val="18"/>
        </w:rPr>
        <w:t xml:space="preserve"> Percentages calculated with missing values excluded – in 50 cases the relationship between the suspect and victim was not known.</w:t>
      </w:r>
    </w:p>
    <w:p w14:paraId="3B6A4752" w14:textId="713F62C0" w:rsidR="003242C8" w:rsidRPr="00363D99" w:rsidRDefault="003242C8" w:rsidP="00363D99">
      <w:pPr>
        <w:pStyle w:val="FootnoteText"/>
        <w:rPr>
          <w:rFonts w:ascii="Arial" w:hAnsi="Arial" w:cs="Arial"/>
          <w:sz w:val="18"/>
          <w:szCs w:val="18"/>
        </w:rPr>
      </w:pPr>
    </w:p>
  </w:footnote>
  <w:footnote w:id="4">
    <w:p w14:paraId="49A41FE3" w14:textId="4C868EA2" w:rsidR="003242C8" w:rsidRPr="00363D99" w:rsidRDefault="003242C8" w:rsidP="00363D99">
      <w:pPr>
        <w:pStyle w:val="FootnoteText"/>
        <w:rPr>
          <w:rFonts w:ascii="Arial" w:hAnsi="Arial" w:cs="Arial"/>
          <w:sz w:val="18"/>
          <w:szCs w:val="18"/>
        </w:rPr>
      </w:pPr>
      <w:r w:rsidRPr="00363D99">
        <w:rPr>
          <w:rStyle w:val="FootnoteReference"/>
          <w:rFonts w:ascii="Arial" w:hAnsi="Arial" w:cs="Arial"/>
          <w:sz w:val="18"/>
          <w:szCs w:val="18"/>
        </w:rPr>
        <w:footnoteRef/>
      </w:r>
      <w:r w:rsidRPr="00363D99">
        <w:rPr>
          <w:rFonts w:ascii="Arial" w:hAnsi="Arial" w:cs="Arial"/>
          <w:sz w:val="18"/>
          <w:szCs w:val="18"/>
        </w:rPr>
        <w:t xml:space="preserve"> Percentages calculated with missing values excluded – in 4 cases the victim’s age was not known and in 15 cases the time taken to report was not known.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54461512"/>
      <w:docPartObj>
        <w:docPartGallery w:val="Page Numbers (Top of Page)"/>
        <w:docPartUnique/>
      </w:docPartObj>
    </w:sdtPr>
    <w:sdtContent>
      <w:p w14:paraId="27D69CDA" w14:textId="57A90776" w:rsidR="003242C8" w:rsidRDefault="003242C8" w:rsidP="0049280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F2FCBB" w14:textId="77777777" w:rsidR="003242C8" w:rsidRDefault="003242C8" w:rsidP="00EB591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22"/>
      </w:rPr>
      <w:id w:val="-1433745369"/>
      <w:docPartObj>
        <w:docPartGallery w:val="Page Numbers (Top of Page)"/>
        <w:docPartUnique/>
      </w:docPartObj>
    </w:sdtPr>
    <w:sdtContent>
      <w:p w14:paraId="640AD58C" w14:textId="573CC5B3" w:rsidR="003242C8" w:rsidRPr="00EB5919" w:rsidRDefault="003242C8" w:rsidP="00492808">
        <w:pPr>
          <w:pStyle w:val="Header"/>
          <w:framePr w:wrap="none" w:vAnchor="text" w:hAnchor="margin" w:xAlign="right" w:y="1"/>
          <w:rPr>
            <w:rStyle w:val="PageNumber"/>
            <w:rFonts w:ascii="Arial" w:hAnsi="Arial" w:cs="Arial"/>
            <w:sz w:val="22"/>
          </w:rPr>
        </w:pPr>
        <w:r w:rsidRPr="00EB5919">
          <w:rPr>
            <w:rStyle w:val="PageNumber"/>
            <w:rFonts w:ascii="Arial" w:hAnsi="Arial" w:cs="Arial"/>
            <w:sz w:val="22"/>
          </w:rPr>
          <w:fldChar w:fldCharType="begin"/>
        </w:r>
        <w:r w:rsidRPr="00EB5919">
          <w:rPr>
            <w:rStyle w:val="PageNumber"/>
            <w:rFonts w:ascii="Arial" w:hAnsi="Arial" w:cs="Arial"/>
            <w:sz w:val="22"/>
          </w:rPr>
          <w:instrText xml:space="preserve"> PAGE </w:instrText>
        </w:r>
        <w:r w:rsidRPr="00EB5919">
          <w:rPr>
            <w:rStyle w:val="PageNumber"/>
            <w:rFonts w:ascii="Arial" w:hAnsi="Arial" w:cs="Arial"/>
            <w:sz w:val="22"/>
          </w:rPr>
          <w:fldChar w:fldCharType="separate"/>
        </w:r>
        <w:r w:rsidR="00016364">
          <w:rPr>
            <w:rStyle w:val="PageNumber"/>
            <w:rFonts w:ascii="Arial" w:hAnsi="Arial" w:cs="Arial"/>
            <w:noProof/>
            <w:sz w:val="22"/>
          </w:rPr>
          <w:t>44</w:t>
        </w:r>
        <w:r w:rsidRPr="00EB5919">
          <w:rPr>
            <w:rStyle w:val="PageNumber"/>
            <w:rFonts w:ascii="Arial" w:hAnsi="Arial" w:cs="Arial"/>
            <w:sz w:val="22"/>
          </w:rPr>
          <w:fldChar w:fldCharType="end"/>
        </w:r>
      </w:p>
    </w:sdtContent>
  </w:sdt>
  <w:p w14:paraId="0E163BEC" w14:textId="69DD878C" w:rsidR="003242C8" w:rsidRPr="00EB5919" w:rsidRDefault="003242C8" w:rsidP="00EB5919">
    <w:pPr>
      <w:pStyle w:val="Header"/>
      <w:ind w:right="360"/>
      <w:rPr>
        <w:rFonts w:ascii="Arial" w:hAnsi="Arial" w:cs="Arial"/>
        <w:sz w:val="22"/>
      </w:rPr>
    </w:pPr>
    <w:r w:rsidRPr="00EB5919">
      <w:rPr>
        <w:rFonts w:ascii="Arial" w:hAnsi="Arial" w:cs="Arial"/>
        <w:sz w:val="22"/>
      </w:rPr>
      <w:t>CONTEMPORARY EXAMINATION OF RAPE CASE ATTRITION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64686941"/>
      <w:docPartObj>
        <w:docPartGallery w:val="Page Numbers (Top of Page)"/>
        <w:docPartUnique/>
      </w:docPartObj>
    </w:sdtPr>
    <w:sdtContent>
      <w:p w14:paraId="110D3CA9" w14:textId="0D32FCEA" w:rsidR="003242C8" w:rsidRDefault="003242C8" w:rsidP="0049280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24924C" w14:textId="77777777" w:rsidR="003242C8" w:rsidRDefault="003242C8" w:rsidP="009F4F9E">
    <w:pPr>
      <w:pStyle w:val="Header"/>
      <w:ind w:right="360"/>
    </w:pPr>
  </w:p>
  <w:p w14:paraId="4184360E" w14:textId="77777777" w:rsidR="003242C8" w:rsidRDefault="003242C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22"/>
      </w:rPr>
      <w:id w:val="-579682941"/>
      <w:docPartObj>
        <w:docPartGallery w:val="Page Numbers (Top of Page)"/>
        <w:docPartUnique/>
      </w:docPartObj>
    </w:sdtPr>
    <w:sdtContent>
      <w:p w14:paraId="70C3EC04" w14:textId="6E218693" w:rsidR="003242C8" w:rsidRPr="009F4F9E" w:rsidRDefault="003242C8" w:rsidP="00492808">
        <w:pPr>
          <w:pStyle w:val="Header"/>
          <w:framePr w:wrap="none" w:vAnchor="text" w:hAnchor="margin" w:xAlign="right" w:y="1"/>
          <w:rPr>
            <w:rStyle w:val="PageNumber"/>
            <w:rFonts w:ascii="Arial" w:hAnsi="Arial" w:cs="Arial"/>
            <w:sz w:val="22"/>
          </w:rPr>
        </w:pPr>
        <w:r w:rsidRPr="009F4F9E">
          <w:rPr>
            <w:rStyle w:val="PageNumber"/>
            <w:rFonts w:ascii="Arial" w:hAnsi="Arial" w:cs="Arial"/>
            <w:sz w:val="22"/>
          </w:rPr>
          <w:fldChar w:fldCharType="begin"/>
        </w:r>
        <w:r w:rsidRPr="009F4F9E">
          <w:rPr>
            <w:rStyle w:val="PageNumber"/>
            <w:rFonts w:ascii="Arial" w:hAnsi="Arial" w:cs="Arial"/>
            <w:sz w:val="22"/>
          </w:rPr>
          <w:instrText xml:space="preserve"> PAGE </w:instrText>
        </w:r>
        <w:r w:rsidRPr="009F4F9E">
          <w:rPr>
            <w:rStyle w:val="PageNumber"/>
            <w:rFonts w:ascii="Arial" w:hAnsi="Arial" w:cs="Arial"/>
            <w:sz w:val="22"/>
          </w:rPr>
          <w:fldChar w:fldCharType="separate"/>
        </w:r>
        <w:r w:rsidR="00016364">
          <w:rPr>
            <w:rStyle w:val="PageNumber"/>
            <w:rFonts w:ascii="Arial" w:hAnsi="Arial" w:cs="Arial"/>
            <w:noProof/>
            <w:sz w:val="22"/>
          </w:rPr>
          <w:t>53</w:t>
        </w:r>
        <w:r w:rsidRPr="009F4F9E">
          <w:rPr>
            <w:rStyle w:val="PageNumber"/>
            <w:rFonts w:ascii="Arial" w:hAnsi="Arial" w:cs="Arial"/>
            <w:sz w:val="22"/>
          </w:rPr>
          <w:fldChar w:fldCharType="end"/>
        </w:r>
      </w:p>
    </w:sdtContent>
  </w:sdt>
  <w:p w14:paraId="7A38732F" w14:textId="0DE430EE" w:rsidR="003242C8" w:rsidRPr="009F4F9E" w:rsidRDefault="003242C8" w:rsidP="009F4F9E">
    <w:pPr>
      <w:pStyle w:val="Header"/>
      <w:ind w:right="360"/>
      <w:rPr>
        <w:rFonts w:ascii="Arial" w:hAnsi="Arial" w:cs="Arial"/>
        <w:sz w:val="22"/>
      </w:rPr>
    </w:pPr>
    <w:r w:rsidRPr="009F4F9E">
      <w:rPr>
        <w:rFonts w:ascii="Arial" w:hAnsi="Arial" w:cs="Arial"/>
        <w:sz w:val="22"/>
      </w:rPr>
      <w:t>CONTEMPORARY EXAMINATION OF RAPE CASE ATTRITION</w:t>
    </w:r>
  </w:p>
  <w:p w14:paraId="3561E4FA" w14:textId="77777777" w:rsidR="003242C8" w:rsidRDefault="003242C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E2C0B"/>
    <w:multiLevelType w:val="hybridMultilevel"/>
    <w:tmpl w:val="C30E7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A21D45"/>
    <w:multiLevelType w:val="multilevel"/>
    <w:tmpl w:val="2188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2515C8"/>
    <w:multiLevelType w:val="hybridMultilevel"/>
    <w:tmpl w:val="AD3076E2"/>
    <w:lvl w:ilvl="0" w:tplc="64B85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045A2C"/>
    <w:multiLevelType w:val="hybridMultilevel"/>
    <w:tmpl w:val="3D9AB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9C7F18"/>
    <w:multiLevelType w:val="hybridMultilevel"/>
    <w:tmpl w:val="21C00DA8"/>
    <w:lvl w:ilvl="0" w:tplc="1CBA7FC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5F3F3150"/>
    <w:multiLevelType w:val="hybridMultilevel"/>
    <w:tmpl w:val="6F26A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93775C"/>
    <w:multiLevelType w:val="hybridMultilevel"/>
    <w:tmpl w:val="6298FADC"/>
    <w:lvl w:ilvl="0" w:tplc="B5E83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7C7A83"/>
    <w:multiLevelType w:val="hybridMultilevel"/>
    <w:tmpl w:val="54C68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444FA3"/>
    <w:multiLevelType w:val="hybridMultilevel"/>
    <w:tmpl w:val="02781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8"/>
  </w:num>
  <w:num w:numId="6">
    <w:abstractNumId w:val="0"/>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zMLI0MTMwszAxMzRW0lEKTi0uzszPAykwNK4FAEvyKlIt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5p9zd5zqsratqef5sv5pz2wpve092vrdw52&quot;&gt;My EndNote Library-Saved&lt;record-ids&gt;&lt;item&gt;1314&lt;/item&gt;&lt;/record-ids&gt;&lt;/item&gt;&lt;/Libraries&gt;"/>
  </w:docVars>
  <w:rsids>
    <w:rsidRoot w:val="009F4F9E"/>
    <w:rsid w:val="000018C3"/>
    <w:rsid w:val="00006245"/>
    <w:rsid w:val="000137CB"/>
    <w:rsid w:val="000158CC"/>
    <w:rsid w:val="00016364"/>
    <w:rsid w:val="00016D40"/>
    <w:rsid w:val="00016D82"/>
    <w:rsid w:val="00035F8E"/>
    <w:rsid w:val="000416AB"/>
    <w:rsid w:val="00041932"/>
    <w:rsid w:val="0004794C"/>
    <w:rsid w:val="00051D1D"/>
    <w:rsid w:val="000528E0"/>
    <w:rsid w:val="00055100"/>
    <w:rsid w:val="00055AE0"/>
    <w:rsid w:val="00060104"/>
    <w:rsid w:val="00064601"/>
    <w:rsid w:val="000679A4"/>
    <w:rsid w:val="00071CB6"/>
    <w:rsid w:val="0008474A"/>
    <w:rsid w:val="00087983"/>
    <w:rsid w:val="000954CA"/>
    <w:rsid w:val="000A021C"/>
    <w:rsid w:val="000A02C8"/>
    <w:rsid w:val="000A1C42"/>
    <w:rsid w:val="000A3645"/>
    <w:rsid w:val="000C7544"/>
    <w:rsid w:val="000D1E26"/>
    <w:rsid w:val="000D2AA8"/>
    <w:rsid w:val="000D7871"/>
    <w:rsid w:val="000E7CFB"/>
    <w:rsid w:val="000F0B2A"/>
    <w:rsid w:val="000F2468"/>
    <w:rsid w:val="001055E9"/>
    <w:rsid w:val="0010581D"/>
    <w:rsid w:val="00105CC7"/>
    <w:rsid w:val="00115843"/>
    <w:rsid w:val="001214AA"/>
    <w:rsid w:val="00122556"/>
    <w:rsid w:val="00122F11"/>
    <w:rsid w:val="00123285"/>
    <w:rsid w:val="00123595"/>
    <w:rsid w:val="001263FE"/>
    <w:rsid w:val="001372F1"/>
    <w:rsid w:val="00141284"/>
    <w:rsid w:val="001437E0"/>
    <w:rsid w:val="001444F8"/>
    <w:rsid w:val="00146169"/>
    <w:rsid w:val="001608E5"/>
    <w:rsid w:val="001641E4"/>
    <w:rsid w:val="00167FE7"/>
    <w:rsid w:val="001808CD"/>
    <w:rsid w:val="00184666"/>
    <w:rsid w:val="00186CF1"/>
    <w:rsid w:val="0019275A"/>
    <w:rsid w:val="001A35CC"/>
    <w:rsid w:val="001A5604"/>
    <w:rsid w:val="001B015C"/>
    <w:rsid w:val="001B3631"/>
    <w:rsid w:val="001B7705"/>
    <w:rsid w:val="001C0CA4"/>
    <w:rsid w:val="001C68B7"/>
    <w:rsid w:val="001D4F89"/>
    <w:rsid w:val="001E04FA"/>
    <w:rsid w:val="001F35A7"/>
    <w:rsid w:val="001F4320"/>
    <w:rsid w:val="001F4874"/>
    <w:rsid w:val="001F76A9"/>
    <w:rsid w:val="00204F66"/>
    <w:rsid w:val="0020763F"/>
    <w:rsid w:val="0022319B"/>
    <w:rsid w:val="00237766"/>
    <w:rsid w:val="00246879"/>
    <w:rsid w:val="00246D5C"/>
    <w:rsid w:val="00256087"/>
    <w:rsid w:val="00261FFD"/>
    <w:rsid w:val="00267318"/>
    <w:rsid w:val="00283759"/>
    <w:rsid w:val="00285EC3"/>
    <w:rsid w:val="00287C0C"/>
    <w:rsid w:val="00290FFD"/>
    <w:rsid w:val="002970B4"/>
    <w:rsid w:val="002A0573"/>
    <w:rsid w:val="002B4D0A"/>
    <w:rsid w:val="002C1812"/>
    <w:rsid w:val="002C4F13"/>
    <w:rsid w:val="002C7AA7"/>
    <w:rsid w:val="002D1695"/>
    <w:rsid w:val="002D7575"/>
    <w:rsid w:val="002E5FFC"/>
    <w:rsid w:val="002F37DA"/>
    <w:rsid w:val="002F4A6E"/>
    <w:rsid w:val="00300803"/>
    <w:rsid w:val="0030484D"/>
    <w:rsid w:val="00306830"/>
    <w:rsid w:val="00316BB8"/>
    <w:rsid w:val="00316BF8"/>
    <w:rsid w:val="003242C8"/>
    <w:rsid w:val="003262F5"/>
    <w:rsid w:val="00327AD5"/>
    <w:rsid w:val="00331DCF"/>
    <w:rsid w:val="0034276B"/>
    <w:rsid w:val="00342D2F"/>
    <w:rsid w:val="00344E18"/>
    <w:rsid w:val="00346F0B"/>
    <w:rsid w:val="003507F3"/>
    <w:rsid w:val="003539DD"/>
    <w:rsid w:val="00356938"/>
    <w:rsid w:val="00357E7E"/>
    <w:rsid w:val="00363D99"/>
    <w:rsid w:val="00366C98"/>
    <w:rsid w:val="0037364D"/>
    <w:rsid w:val="003830C8"/>
    <w:rsid w:val="00390B27"/>
    <w:rsid w:val="00390FE1"/>
    <w:rsid w:val="00395467"/>
    <w:rsid w:val="00397D7D"/>
    <w:rsid w:val="003C06BC"/>
    <w:rsid w:val="003C540E"/>
    <w:rsid w:val="003D276F"/>
    <w:rsid w:val="003D4F22"/>
    <w:rsid w:val="003D586F"/>
    <w:rsid w:val="003D59F2"/>
    <w:rsid w:val="003E0982"/>
    <w:rsid w:val="003E2909"/>
    <w:rsid w:val="003E32E9"/>
    <w:rsid w:val="003F1DC7"/>
    <w:rsid w:val="003F5539"/>
    <w:rsid w:val="003F7B1A"/>
    <w:rsid w:val="00402AD7"/>
    <w:rsid w:val="004031A7"/>
    <w:rsid w:val="004056D2"/>
    <w:rsid w:val="0041725B"/>
    <w:rsid w:val="00423336"/>
    <w:rsid w:val="00424E51"/>
    <w:rsid w:val="00452DF1"/>
    <w:rsid w:val="00455B99"/>
    <w:rsid w:val="00456F15"/>
    <w:rsid w:val="00457979"/>
    <w:rsid w:val="004730DE"/>
    <w:rsid w:val="00476C9D"/>
    <w:rsid w:val="00483FA5"/>
    <w:rsid w:val="004850D8"/>
    <w:rsid w:val="00492808"/>
    <w:rsid w:val="00493DF8"/>
    <w:rsid w:val="004A0E83"/>
    <w:rsid w:val="004B1F75"/>
    <w:rsid w:val="004B3C26"/>
    <w:rsid w:val="004D3EB9"/>
    <w:rsid w:val="004E294C"/>
    <w:rsid w:val="004E46BA"/>
    <w:rsid w:val="004F4407"/>
    <w:rsid w:val="004F5FE8"/>
    <w:rsid w:val="0050760C"/>
    <w:rsid w:val="00511052"/>
    <w:rsid w:val="005154D0"/>
    <w:rsid w:val="00516397"/>
    <w:rsid w:val="005179A8"/>
    <w:rsid w:val="005228AF"/>
    <w:rsid w:val="00524C88"/>
    <w:rsid w:val="00525BBB"/>
    <w:rsid w:val="005273C0"/>
    <w:rsid w:val="00527F9D"/>
    <w:rsid w:val="00535420"/>
    <w:rsid w:val="00537533"/>
    <w:rsid w:val="005468F9"/>
    <w:rsid w:val="00547B17"/>
    <w:rsid w:val="00547EE7"/>
    <w:rsid w:val="00547FA2"/>
    <w:rsid w:val="005552E6"/>
    <w:rsid w:val="00557511"/>
    <w:rsid w:val="005621B3"/>
    <w:rsid w:val="00572403"/>
    <w:rsid w:val="00572E82"/>
    <w:rsid w:val="00593B7A"/>
    <w:rsid w:val="005946D2"/>
    <w:rsid w:val="00596139"/>
    <w:rsid w:val="005969C8"/>
    <w:rsid w:val="005A1280"/>
    <w:rsid w:val="005A7167"/>
    <w:rsid w:val="005B26E0"/>
    <w:rsid w:val="005B76EC"/>
    <w:rsid w:val="005C2E07"/>
    <w:rsid w:val="005C3721"/>
    <w:rsid w:val="005C4C29"/>
    <w:rsid w:val="005C7BE4"/>
    <w:rsid w:val="005D07AF"/>
    <w:rsid w:val="005D1681"/>
    <w:rsid w:val="005D1D1D"/>
    <w:rsid w:val="005D5167"/>
    <w:rsid w:val="005D63D5"/>
    <w:rsid w:val="005E3F54"/>
    <w:rsid w:val="005E5A20"/>
    <w:rsid w:val="005E66F0"/>
    <w:rsid w:val="005F3DD7"/>
    <w:rsid w:val="005F62B1"/>
    <w:rsid w:val="005F7225"/>
    <w:rsid w:val="00601CF7"/>
    <w:rsid w:val="00602AF9"/>
    <w:rsid w:val="006033A8"/>
    <w:rsid w:val="00603739"/>
    <w:rsid w:val="00606443"/>
    <w:rsid w:val="00607BC3"/>
    <w:rsid w:val="0061583F"/>
    <w:rsid w:val="00625894"/>
    <w:rsid w:val="00631C49"/>
    <w:rsid w:val="00633EF1"/>
    <w:rsid w:val="00636355"/>
    <w:rsid w:val="0064076B"/>
    <w:rsid w:val="00643937"/>
    <w:rsid w:val="00644018"/>
    <w:rsid w:val="006454B5"/>
    <w:rsid w:val="006605F4"/>
    <w:rsid w:val="00666514"/>
    <w:rsid w:val="00666AD2"/>
    <w:rsid w:val="00666BAC"/>
    <w:rsid w:val="00672264"/>
    <w:rsid w:val="00677402"/>
    <w:rsid w:val="006836C3"/>
    <w:rsid w:val="00683B49"/>
    <w:rsid w:val="00686C40"/>
    <w:rsid w:val="00691FA0"/>
    <w:rsid w:val="0069298F"/>
    <w:rsid w:val="00692FF7"/>
    <w:rsid w:val="00693508"/>
    <w:rsid w:val="00693E2F"/>
    <w:rsid w:val="00696275"/>
    <w:rsid w:val="006976C8"/>
    <w:rsid w:val="006A1650"/>
    <w:rsid w:val="006A35F9"/>
    <w:rsid w:val="006A7205"/>
    <w:rsid w:val="006B761A"/>
    <w:rsid w:val="006D13D7"/>
    <w:rsid w:val="006E4B3B"/>
    <w:rsid w:val="006F6B1A"/>
    <w:rsid w:val="007002F3"/>
    <w:rsid w:val="00707054"/>
    <w:rsid w:val="00707117"/>
    <w:rsid w:val="00707AD6"/>
    <w:rsid w:val="00717E4A"/>
    <w:rsid w:val="007228A4"/>
    <w:rsid w:val="00723A27"/>
    <w:rsid w:val="00724599"/>
    <w:rsid w:val="00725038"/>
    <w:rsid w:val="0073503C"/>
    <w:rsid w:val="0073758F"/>
    <w:rsid w:val="00754D48"/>
    <w:rsid w:val="00763985"/>
    <w:rsid w:val="007642B7"/>
    <w:rsid w:val="00765A85"/>
    <w:rsid w:val="00767037"/>
    <w:rsid w:val="007771E7"/>
    <w:rsid w:val="0078011B"/>
    <w:rsid w:val="0078653D"/>
    <w:rsid w:val="007925AE"/>
    <w:rsid w:val="00792642"/>
    <w:rsid w:val="00795014"/>
    <w:rsid w:val="00797786"/>
    <w:rsid w:val="007A0B18"/>
    <w:rsid w:val="007A3623"/>
    <w:rsid w:val="007B68DE"/>
    <w:rsid w:val="007B6999"/>
    <w:rsid w:val="007B74F4"/>
    <w:rsid w:val="007C4A2E"/>
    <w:rsid w:val="007D0C8F"/>
    <w:rsid w:val="007D68C2"/>
    <w:rsid w:val="007E1589"/>
    <w:rsid w:val="007E1DE0"/>
    <w:rsid w:val="007E5D1D"/>
    <w:rsid w:val="007E7B83"/>
    <w:rsid w:val="007F2CCD"/>
    <w:rsid w:val="007F40C0"/>
    <w:rsid w:val="007F459F"/>
    <w:rsid w:val="007F48F2"/>
    <w:rsid w:val="007F6967"/>
    <w:rsid w:val="007F72DC"/>
    <w:rsid w:val="00806FD1"/>
    <w:rsid w:val="00813463"/>
    <w:rsid w:val="0081573C"/>
    <w:rsid w:val="008171E4"/>
    <w:rsid w:val="0082053D"/>
    <w:rsid w:val="008306EB"/>
    <w:rsid w:val="00835B5C"/>
    <w:rsid w:val="00836765"/>
    <w:rsid w:val="00837D64"/>
    <w:rsid w:val="00842DB5"/>
    <w:rsid w:val="008433F8"/>
    <w:rsid w:val="008449A5"/>
    <w:rsid w:val="008503C4"/>
    <w:rsid w:val="00850551"/>
    <w:rsid w:val="00861306"/>
    <w:rsid w:val="00862379"/>
    <w:rsid w:val="00863BEF"/>
    <w:rsid w:val="0086787D"/>
    <w:rsid w:val="00870EDA"/>
    <w:rsid w:val="008800BC"/>
    <w:rsid w:val="00880F9E"/>
    <w:rsid w:val="008828C2"/>
    <w:rsid w:val="00886D99"/>
    <w:rsid w:val="00895ADA"/>
    <w:rsid w:val="008967AD"/>
    <w:rsid w:val="008A0545"/>
    <w:rsid w:val="008B0740"/>
    <w:rsid w:val="008B4427"/>
    <w:rsid w:val="008B7701"/>
    <w:rsid w:val="008D549C"/>
    <w:rsid w:val="008D5AAC"/>
    <w:rsid w:val="008E02E5"/>
    <w:rsid w:val="008E7D2D"/>
    <w:rsid w:val="008F1A4A"/>
    <w:rsid w:val="008F30B5"/>
    <w:rsid w:val="008F409F"/>
    <w:rsid w:val="008F7215"/>
    <w:rsid w:val="009012FD"/>
    <w:rsid w:val="00907378"/>
    <w:rsid w:val="009104B5"/>
    <w:rsid w:val="00912A0D"/>
    <w:rsid w:val="0091336A"/>
    <w:rsid w:val="00915DA9"/>
    <w:rsid w:val="00917797"/>
    <w:rsid w:val="00917DF9"/>
    <w:rsid w:val="00927610"/>
    <w:rsid w:val="009302D4"/>
    <w:rsid w:val="00931F6F"/>
    <w:rsid w:val="00937682"/>
    <w:rsid w:val="00941D08"/>
    <w:rsid w:val="0094582D"/>
    <w:rsid w:val="00951A13"/>
    <w:rsid w:val="00951C30"/>
    <w:rsid w:val="00951F9D"/>
    <w:rsid w:val="00954404"/>
    <w:rsid w:val="00955E76"/>
    <w:rsid w:val="0096352E"/>
    <w:rsid w:val="00971AA0"/>
    <w:rsid w:val="00973982"/>
    <w:rsid w:val="00974414"/>
    <w:rsid w:val="009744CF"/>
    <w:rsid w:val="00974635"/>
    <w:rsid w:val="00983EAF"/>
    <w:rsid w:val="00985BEE"/>
    <w:rsid w:val="00992EEC"/>
    <w:rsid w:val="00993403"/>
    <w:rsid w:val="009938B0"/>
    <w:rsid w:val="00996A20"/>
    <w:rsid w:val="009A1939"/>
    <w:rsid w:val="009A2D88"/>
    <w:rsid w:val="009A4251"/>
    <w:rsid w:val="009A5BBA"/>
    <w:rsid w:val="009B4683"/>
    <w:rsid w:val="009C1387"/>
    <w:rsid w:val="009C69AD"/>
    <w:rsid w:val="009D0B09"/>
    <w:rsid w:val="009D7C4B"/>
    <w:rsid w:val="009E4421"/>
    <w:rsid w:val="009E46F3"/>
    <w:rsid w:val="009E549B"/>
    <w:rsid w:val="009E59F5"/>
    <w:rsid w:val="009E6F9D"/>
    <w:rsid w:val="009F1150"/>
    <w:rsid w:val="009F4F9E"/>
    <w:rsid w:val="00A0095C"/>
    <w:rsid w:val="00A04612"/>
    <w:rsid w:val="00A0656E"/>
    <w:rsid w:val="00A115EC"/>
    <w:rsid w:val="00A124B9"/>
    <w:rsid w:val="00A20B6A"/>
    <w:rsid w:val="00A21C21"/>
    <w:rsid w:val="00A301EC"/>
    <w:rsid w:val="00A4230F"/>
    <w:rsid w:val="00A568C0"/>
    <w:rsid w:val="00A6156B"/>
    <w:rsid w:val="00A75BBF"/>
    <w:rsid w:val="00A83BD5"/>
    <w:rsid w:val="00A85C84"/>
    <w:rsid w:val="00A90D6A"/>
    <w:rsid w:val="00A915F7"/>
    <w:rsid w:val="00A9513A"/>
    <w:rsid w:val="00AA69ED"/>
    <w:rsid w:val="00AB2BCF"/>
    <w:rsid w:val="00AC3B55"/>
    <w:rsid w:val="00AC6C61"/>
    <w:rsid w:val="00AC6CD1"/>
    <w:rsid w:val="00AC7AB5"/>
    <w:rsid w:val="00AF15D6"/>
    <w:rsid w:val="00AF56F9"/>
    <w:rsid w:val="00B11D9E"/>
    <w:rsid w:val="00B12961"/>
    <w:rsid w:val="00B15283"/>
    <w:rsid w:val="00B15FDF"/>
    <w:rsid w:val="00B23F21"/>
    <w:rsid w:val="00B579C1"/>
    <w:rsid w:val="00B65F97"/>
    <w:rsid w:val="00B66033"/>
    <w:rsid w:val="00B7742F"/>
    <w:rsid w:val="00B84BF5"/>
    <w:rsid w:val="00B85635"/>
    <w:rsid w:val="00B86BA9"/>
    <w:rsid w:val="00B87B62"/>
    <w:rsid w:val="00B95265"/>
    <w:rsid w:val="00B9759B"/>
    <w:rsid w:val="00BB160A"/>
    <w:rsid w:val="00BC3FDB"/>
    <w:rsid w:val="00BD233E"/>
    <w:rsid w:val="00BD2CA1"/>
    <w:rsid w:val="00BD426F"/>
    <w:rsid w:val="00BD4BEF"/>
    <w:rsid w:val="00BD6F43"/>
    <w:rsid w:val="00BD7C92"/>
    <w:rsid w:val="00BE0AF1"/>
    <w:rsid w:val="00BE6D66"/>
    <w:rsid w:val="00BF2DDF"/>
    <w:rsid w:val="00BF4F5F"/>
    <w:rsid w:val="00C004A2"/>
    <w:rsid w:val="00C024EF"/>
    <w:rsid w:val="00C10B7E"/>
    <w:rsid w:val="00C212E2"/>
    <w:rsid w:val="00C2357B"/>
    <w:rsid w:val="00C3090A"/>
    <w:rsid w:val="00C31EE9"/>
    <w:rsid w:val="00C4003B"/>
    <w:rsid w:val="00C41C96"/>
    <w:rsid w:val="00C43015"/>
    <w:rsid w:val="00C46692"/>
    <w:rsid w:val="00C4689E"/>
    <w:rsid w:val="00C47258"/>
    <w:rsid w:val="00C533D8"/>
    <w:rsid w:val="00C5340D"/>
    <w:rsid w:val="00C53FA0"/>
    <w:rsid w:val="00C60B39"/>
    <w:rsid w:val="00C60E90"/>
    <w:rsid w:val="00C7493D"/>
    <w:rsid w:val="00C93333"/>
    <w:rsid w:val="00C93F02"/>
    <w:rsid w:val="00CA64F7"/>
    <w:rsid w:val="00CB238E"/>
    <w:rsid w:val="00CB4A7B"/>
    <w:rsid w:val="00CC204F"/>
    <w:rsid w:val="00CC44ED"/>
    <w:rsid w:val="00CC4C22"/>
    <w:rsid w:val="00CC61E9"/>
    <w:rsid w:val="00CD1058"/>
    <w:rsid w:val="00CD105A"/>
    <w:rsid w:val="00CD65AD"/>
    <w:rsid w:val="00CD67F7"/>
    <w:rsid w:val="00CE4558"/>
    <w:rsid w:val="00CF252A"/>
    <w:rsid w:val="00CF41C5"/>
    <w:rsid w:val="00CF7D65"/>
    <w:rsid w:val="00D06168"/>
    <w:rsid w:val="00D126BE"/>
    <w:rsid w:val="00D272D4"/>
    <w:rsid w:val="00D33913"/>
    <w:rsid w:val="00D33EDB"/>
    <w:rsid w:val="00D360F6"/>
    <w:rsid w:val="00D41616"/>
    <w:rsid w:val="00D465B7"/>
    <w:rsid w:val="00D50985"/>
    <w:rsid w:val="00D5108D"/>
    <w:rsid w:val="00D52300"/>
    <w:rsid w:val="00D532C6"/>
    <w:rsid w:val="00D650BF"/>
    <w:rsid w:val="00D664F6"/>
    <w:rsid w:val="00D9063B"/>
    <w:rsid w:val="00DA2EEC"/>
    <w:rsid w:val="00DA344B"/>
    <w:rsid w:val="00DA37D4"/>
    <w:rsid w:val="00DA43F8"/>
    <w:rsid w:val="00DC1A20"/>
    <w:rsid w:val="00DD7B94"/>
    <w:rsid w:val="00DE3687"/>
    <w:rsid w:val="00DE51FC"/>
    <w:rsid w:val="00DE5CE3"/>
    <w:rsid w:val="00DE65B6"/>
    <w:rsid w:val="00DF4B02"/>
    <w:rsid w:val="00DF5184"/>
    <w:rsid w:val="00E01230"/>
    <w:rsid w:val="00E04D7F"/>
    <w:rsid w:val="00E13F4B"/>
    <w:rsid w:val="00E13F67"/>
    <w:rsid w:val="00E21155"/>
    <w:rsid w:val="00E21653"/>
    <w:rsid w:val="00E23A3B"/>
    <w:rsid w:val="00E2451D"/>
    <w:rsid w:val="00E35900"/>
    <w:rsid w:val="00E37F9E"/>
    <w:rsid w:val="00E47C07"/>
    <w:rsid w:val="00E538E6"/>
    <w:rsid w:val="00E5576B"/>
    <w:rsid w:val="00E57C44"/>
    <w:rsid w:val="00E610EC"/>
    <w:rsid w:val="00E62252"/>
    <w:rsid w:val="00E706E7"/>
    <w:rsid w:val="00E70796"/>
    <w:rsid w:val="00E81DED"/>
    <w:rsid w:val="00E85149"/>
    <w:rsid w:val="00E91FCA"/>
    <w:rsid w:val="00EA16EE"/>
    <w:rsid w:val="00EA23D3"/>
    <w:rsid w:val="00EA3A01"/>
    <w:rsid w:val="00EA6DDC"/>
    <w:rsid w:val="00EB503D"/>
    <w:rsid w:val="00EB5919"/>
    <w:rsid w:val="00EC1BE4"/>
    <w:rsid w:val="00EC491B"/>
    <w:rsid w:val="00EC731F"/>
    <w:rsid w:val="00EC7D24"/>
    <w:rsid w:val="00ED434C"/>
    <w:rsid w:val="00EE0BDD"/>
    <w:rsid w:val="00EF0C96"/>
    <w:rsid w:val="00EF71DE"/>
    <w:rsid w:val="00EF7469"/>
    <w:rsid w:val="00F00D17"/>
    <w:rsid w:val="00F0349C"/>
    <w:rsid w:val="00F12A8F"/>
    <w:rsid w:val="00F12D69"/>
    <w:rsid w:val="00F12ED5"/>
    <w:rsid w:val="00F13C13"/>
    <w:rsid w:val="00F14DF8"/>
    <w:rsid w:val="00F23413"/>
    <w:rsid w:val="00F32EC7"/>
    <w:rsid w:val="00F35664"/>
    <w:rsid w:val="00F405F1"/>
    <w:rsid w:val="00F41C19"/>
    <w:rsid w:val="00F434CE"/>
    <w:rsid w:val="00F44756"/>
    <w:rsid w:val="00F44BAA"/>
    <w:rsid w:val="00F5220E"/>
    <w:rsid w:val="00F52F12"/>
    <w:rsid w:val="00F56506"/>
    <w:rsid w:val="00F64D39"/>
    <w:rsid w:val="00F812FE"/>
    <w:rsid w:val="00FA33ED"/>
    <w:rsid w:val="00FA77B2"/>
    <w:rsid w:val="00FB7E56"/>
    <w:rsid w:val="00FD5EA3"/>
    <w:rsid w:val="00FE540D"/>
    <w:rsid w:val="00FF0B95"/>
    <w:rsid w:val="00FF55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D912F"/>
  <w15:chartTrackingRefBased/>
  <w15:docId w15:val="{9ECD9D14-2964-4885-A537-FE21FB52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879"/>
    <w:pPr>
      <w:spacing w:after="160" w:line="480" w:lineRule="auto"/>
    </w:pPr>
    <w:rPr>
      <w:rFonts w:ascii="Times New Roman" w:hAnsi="Times New Roman"/>
      <w:szCs w:val="22"/>
    </w:rPr>
  </w:style>
  <w:style w:type="paragraph" w:styleId="Heading1">
    <w:name w:val="heading 1"/>
    <w:basedOn w:val="Normal"/>
    <w:next w:val="Normal"/>
    <w:link w:val="Heading1Char"/>
    <w:uiPriority w:val="9"/>
    <w:qFormat/>
    <w:rsid w:val="005D63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5D63D5"/>
    <w:pPr>
      <w:spacing w:before="40" w:line="360" w:lineRule="auto"/>
      <w:ind w:right="567"/>
      <w:contextualSpacing/>
      <w:outlineLvl w:val="1"/>
    </w:pPr>
    <w:rPr>
      <w:rFonts w:ascii="Times New Roman" w:hAnsi="Times New Roman"/>
      <w:b/>
      <w:bCs/>
      <w:i/>
      <w:color w:val="auto"/>
      <w:kern w:val="32"/>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F9E"/>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880F9E"/>
    <w:rPr>
      <w:rFonts w:ascii="Times New Roman" w:hAnsi="Times New Roman" w:cs="Times New Roman"/>
      <w:sz w:val="18"/>
      <w:szCs w:val="18"/>
    </w:rPr>
  </w:style>
  <w:style w:type="character" w:customStyle="1" w:styleId="Heading2Char">
    <w:name w:val="Heading 2 Char"/>
    <w:basedOn w:val="DefaultParagraphFont"/>
    <w:link w:val="Heading2"/>
    <w:uiPriority w:val="9"/>
    <w:rsid w:val="005D63D5"/>
    <w:rPr>
      <w:rFonts w:ascii="Times New Roman" w:eastAsiaTheme="majorEastAsia" w:hAnsi="Times New Roman" w:cstheme="majorBidi"/>
      <w:b/>
      <w:bCs/>
      <w:i/>
      <w:kern w:val="32"/>
      <w:szCs w:val="26"/>
      <w:lang w:eastAsia="en-GB"/>
    </w:rPr>
  </w:style>
  <w:style w:type="character" w:customStyle="1" w:styleId="Heading1Char">
    <w:name w:val="Heading 1 Char"/>
    <w:basedOn w:val="DefaultParagraphFont"/>
    <w:link w:val="Heading1"/>
    <w:uiPriority w:val="9"/>
    <w:rsid w:val="005D63D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F4F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F9E"/>
    <w:rPr>
      <w:rFonts w:ascii="Times New Roman" w:hAnsi="Times New Roman"/>
      <w:szCs w:val="22"/>
    </w:rPr>
  </w:style>
  <w:style w:type="paragraph" w:styleId="Footer">
    <w:name w:val="footer"/>
    <w:basedOn w:val="Normal"/>
    <w:link w:val="FooterChar"/>
    <w:uiPriority w:val="99"/>
    <w:unhideWhenUsed/>
    <w:rsid w:val="009F4F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F9E"/>
    <w:rPr>
      <w:rFonts w:ascii="Times New Roman" w:hAnsi="Times New Roman"/>
      <w:szCs w:val="22"/>
    </w:rPr>
  </w:style>
  <w:style w:type="character" w:styleId="PageNumber">
    <w:name w:val="page number"/>
    <w:basedOn w:val="DefaultParagraphFont"/>
    <w:semiHidden/>
    <w:unhideWhenUsed/>
    <w:rsid w:val="009F4F9E"/>
  </w:style>
  <w:style w:type="character" w:styleId="Hyperlink">
    <w:name w:val="Hyperlink"/>
    <w:basedOn w:val="DefaultParagraphFont"/>
    <w:uiPriority w:val="99"/>
    <w:unhideWhenUsed/>
    <w:rsid w:val="009F4F9E"/>
    <w:rPr>
      <w:color w:val="0563C1" w:themeColor="hyperlink"/>
      <w:u w:val="single"/>
    </w:rPr>
  </w:style>
  <w:style w:type="character" w:customStyle="1" w:styleId="UnresolvedMention1">
    <w:name w:val="Unresolved Mention1"/>
    <w:basedOn w:val="DefaultParagraphFont"/>
    <w:uiPriority w:val="99"/>
    <w:semiHidden/>
    <w:unhideWhenUsed/>
    <w:rsid w:val="009F4F9E"/>
    <w:rPr>
      <w:color w:val="605E5C"/>
      <w:shd w:val="clear" w:color="auto" w:fill="E1DFDD"/>
    </w:rPr>
  </w:style>
  <w:style w:type="character" w:styleId="FollowedHyperlink">
    <w:name w:val="FollowedHyperlink"/>
    <w:basedOn w:val="DefaultParagraphFont"/>
    <w:uiPriority w:val="99"/>
    <w:semiHidden/>
    <w:unhideWhenUsed/>
    <w:rsid w:val="00EC731F"/>
    <w:rPr>
      <w:color w:val="954F72" w:themeColor="followedHyperlink"/>
      <w:u w:val="single"/>
    </w:rPr>
  </w:style>
  <w:style w:type="paragraph" w:styleId="BodyText">
    <w:name w:val="Body Text"/>
    <w:basedOn w:val="Normal"/>
    <w:link w:val="BodyTextChar"/>
    <w:uiPriority w:val="1"/>
    <w:qFormat/>
    <w:rsid w:val="00C4689E"/>
    <w:pPr>
      <w:widowControl w:val="0"/>
      <w:autoSpaceDE w:val="0"/>
      <w:autoSpaceDN w:val="0"/>
      <w:adjustRightInd w:val="0"/>
      <w:spacing w:after="0" w:line="240" w:lineRule="auto"/>
      <w:ind w:left="100"/>
    </w:pPr>
    <w:rPr>
      <w:rFonts w:ascii="Calibri Light" w:eastAsiaTheme="minorEastAsia" w:hAnsi="Calibri Light" w:cs="Calibri Light"/>
      <w:szCs w:val="24"/>
      <w:lang w:eastAsia="en-GB"/>
    </w:rPr>
  </w:style>
  <w:style w:type="character" w:customStyle="1" w:styleId="BodyTextChar">
    <w:name w:val="Body Text Char"/>
    <w:basedOn w:val="DefaultParagraphFont"/>
    <w:link w:val="BodyText"/>
    <w:uiPriority w:val="1"/>
    <w:rsid w:val="00C4689E"/>
    <w:rPr>
      <w:rFonts w:ascii="Calibri Light" w:eastAsiaTheme="minorEastAsia" w:hAnsi="Calibri Light" w:cs="Calibri Light"/>
      <w:lang w:eastAsia="en-GB"/>
    </w:rPr>
  </w:style>
  <w:style w:type="paragraph" w:styleId="ListParagraph">
    <w:name w:val="List Paragraph"/>
    <w:basedOn w:val="Normal"/>
    <w:uiPriority w:val="34"/>
    <w:qFormat/>
    <w:rsid w:val="00C4689E"/>
    <w:pPr>
      <w:widowControl w:val="0"/>
      <w:autoSpaceDE w:val="0"/>
      <w:autoSpaceDN w:val="0"/>
      <w:adjustRightInd w:val="0"/>
      <w:spacing w:after="0" w:line="240" w:lineRule="auto"/>
    </w:pPr>
    <w:rPr>
      <w:rFonts w:eastAsiaTheme="minorEastAsia" w:cs="Times New Roman"/>
      <w:szCs w:val="24"/>
      <w:lang w:eastAsia="en-GB"/>
    </w:rPr>
  </w:style>
  <w:style w:type="paragraph" w:customStyle="1" w:styleId="TableParagraph">
    <w:name w:val="Table Paragraph"/>
    <w:basedOn w:val="Normal"/>
    <w:uiPriority w:val="1"/>
    <w:qFormat/>
    <w:rsid w:val="00C4689E"/>
    <w:pPr>
      <w:widowControl w:val="0"/>
      <w:autoSpaceDE w:val="0"/>
      <w:autoSpaceDN w:val="0"/>
      <w:adjustRightInd w:val="0"/>
      <w:spacing w:after="0" w:line="240" w:lineRule="auto"/>
    </w:pPr>
    <w:rPr>
      <w:rFonts w:eastAsiaTheme="minorEastAsia" w:cs="Times New Roman"/>
      <w:szCs w:val="24"/>
      <w:lang w:eastAsia="en-GB"/>
    </w:rPr>
  </w:style>
  <w:style w:type="character" w:styleId="CommentReference">
    <w:name w:val="annotation reference"/>
    <w:basedOn w:val="DefaultParagraphFont"/>
    <w:uiPriority w:val="99"/>
    <w:semiHidden/>
    <w:unhideWhenUsed/>
    <w:rsid w:val="00C4689E"/>
    <w:rPr>
      <w:sz w:val="16"/>
      <w:szCs w:val="16"/>
    </w:rPr>
  </w:style>
  <w:style w:type="paragraph" w:styleId="CommentText">
    <w:name w:val="annotation text"/>
    <w:basedOn w:val="Normal"/>
    <w:link w:val="CommentTextChar"/>
    <w:uiPriority w:val="99"/>
    <w:unhideWhenUsed/>
    <w:rsid w:val="00C4689E"/>
    <w:pPr>
      <w:spacing w:after="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C4689E"/>
    <w:rPr>
      <w:sz w:val="20"/>
      <w:szCs w:val="20"/>
    </w:rPr>
  </w:style>
  <w:style w:type="character" w:styleId="FootnoteReference">
    <w:name w:val="footnote reference"/>
    <w:basedOn w:val="DefaultParagraphFont"/>
    <w:uiPriority w:val="99"/>
    <w:unhideWhenUsed/>
    <w:rsid w:val="00C4689E"/>
    <w:rPr>
      <w:vertAlign w:val="superscript"/>
    </w:rPr>
  </w:style>
  <w:style w:type="paragraph" w:styleId="CommentSubject">
    <w:name w:val="annotation subject"/>
    <w:basedOn w:val="CommentText"/>
    <w:next w:val="CommentText"/>
    <w:link w:val="CommentSubjectChar"/>
    <w:uiPriority w:val="99"/>
    <w:semiHidden/>
    <w:unhideWhenUsed/>
    <w:rsid w:val="00C4689E"/>
    <w:pPr>
      <w:widowControl w:val="0"/>
      <w:autoSpaceDE w:val="0"/>
      <w:autoSpaceDN w:val="0"/>
      <w:adjustRightInd w:val="0"/>
    </w:pPr>
    <w:rPr>
      <w:rFonts w:ascii="Times New Roman" w:eastAsiaTheme="minorEastAsia" w:hAnsi="Times New Roman" w:cs="Times New Roman"/>
      <w:b/>
      <w:bCs/>
      <w:lang w:eastAsia="en-GB"/>
    </w:rPr>
  </w:style>
  <w:style w:type="character" w:customStyle="1" w:styleId="CommentSubjectChar">
    <w:name w:val="Comment Subject Char"/>
    <w:basedOn w:val="CommentTextChar"/>
    <w:link w:val="CommentSubject"/>
    <w:uiPriority w:val="99"/>
    <w:semiHidden/>
    <w:rsid w:val="00C4689E"/>
    <w:rPr>
      <w:rFonts w:ascii="Times New Roman" w:eastAsiaTheme="minorEastAsia" w:hAnsi="Times New Roman" w:cs="Times New Roman"/>
      <w:b/>
      <w:bCs/>
      <w:sz w:val="20"/>
      <w:szCs w:val="20"/>
      <w:lang w:eastAsia="en-GB"/>
    </w:rPr>
  </w:style>
  <w:style w:type="paragraph" w:styleId="FootnoteText">
    <w:name w:val="footnote text"/>
    <w:basedOn w:val="Normal"/>
    <w:link w:val="FootnoteTextChar"/>
    <w:uiPriority w:val="99"/>
    <w:unhideWhenUsed/>
    <w:rsid w:val="00C4689E"/>
    <w:pPr>
      <w:widowControl w:val="0"/>
      <w:autoSpaceDE w:val="0"/>
      <w:autoSpaceDN w:val="0"/>
      <w:adjustRightInd w:val="0"/>
      <w:spacing w:after="0" w:line="240" w:lineRule="auto"/>
    </w:pPr>
    <w:rPr>
      <w:rFonts w:eastAsiaTheme="minorEastAsia" w:cs="Times New Roman"/>
      <w:sz w:val="20"/>
      <w:szCs w:val="20"/>
      <w:lang w:eastAsia="en-GB"/>
    </w:rPr>
  </w:style>
  <w:style w:type="character" w:customStyle="1" w:styleId="FootnoteTextChar">
    <w:name w:val="Footnote Text Char"/>
    <w:basedOn w:val="DefaultParagraphFont"/>
    <w:link w:val="FootnoteText"/>
    <w:uiPriority w:val="99"/>
    <w:rsid w:val="00C4689E"/>
    <w:rPr>
      <w:rFonts w:ascii="Times New Roman" w:eastAsiaTheme="minorEastAsia" w:hAnsi="Times New Roman" w:cs="Times New Roman"/>
      <w:sz w:val="20"/>
      <w:szCs w:val="20"/>
      <w:lang w:eastAsia="en-GB"/>
    </w:rPr>
  </w:style>
  <w:style w:type="paragraph" w:styleId="Revision">
    <w:name w:val="Revision"/>
    <w:hidden/>
    <w:uiPriority w:val="99"/>
    <w:semiHidden/>
    <w:rsid w:val="00C4689E"/>
    <w:rPr>
      <w:rFonts w:ascii="Times New Roman" w:eastAsiaTheme="minorEastAsia" w:hAnsi="Times New Roman" w:cs="Times New Roman"/>
      <w:lang w:eastAsia="en-GB"/>
    </w:rPr>
  </w:style>
  <w:style w:type="character" w:styleId="EndnoteReference">
    <w:name w:val="endnote reference"/>
    <w:basedOn w:val="DefaultParagraphFont"/>
    <w:uiPriority w:val="99"/>
    <w:semiHidden/>
    <w:unhideWhenUsed/>
    <w:rsid w:val="00C4689E"/>
    <w:rPr>
      <w:vertAlign w:val="superscript"/>
    </w:rPr>
  </w:style>
  <w:style w:type="table" w:styleId="TableGrid">
    <w:name w:val="Table Grid"/>
    <w:basedOn w:val="TableNormal"/>
    <w:uiPriority w:val="39"/>
    <w:rsid w:val="00C4689E"/>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4689E"/>
    <w:pPr>
      <w:spacing w:before="100" w:beforeAutospacing="1" w:after="100" w:afterAutospacing="1" w:line="240" w:lineRule="auto"/>
    </w:pPr>
    <w:rPr>
      <w:rFonts w:eastAsia="Times New Roman" w:cs="Times New Roman"/>
      <w:szCs w:val="24"/>
      <w:lang w:eastAsia="en-GB"/>
    </w:rPr>
  </w:style>
  <w:style w:type="numbering" w:customStyle="1" w:styleId="NoList1">
    <w:name w:val="No List1"/>
    <w:next w:val="NoList"/>
    <w:uiPriority w:val="99"/>
    <w:semiHidden/>
    <w:unhideWhenUsed/>
    <w:rsid w:val="00123595"/>
  </w:style>
  <w:style w:type="paragraph" w:styleId="EndnoteText">
    <w:name w:val="endnote text"/>
    <w:basedOn w:val="Normal"/>
    <w:link w:val="EndnoteTextChar"/>
    <w:uiPriority w:val="99"/>
    <w:semiHidden/>
    <w:unhideWhenUsed/>
    <w:rsid w:val="00A423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230F"/>
    <w:rPr>
      <w:rFonts w:ascii="Times New Roman" w:hAnsi="Times New Roman"/>
      <w:sz w:val="20"/>
      <w:szCs w:val="20"/>
    </w:rPr>
  </w:style>
  <w:style w:type="paragraph" w:customStyle="1" w:styleId="EndNoteBibliographyTitle">
    <w:name w:val="EndNote Bibliography Title"/>
    <w:basedOn w:val="Normal"/>
    <w:link w:val="EndNoteBibliographyTitleChar"/>
    <w:rsid w:val="009B4683"/>
    <w:pPr>
      <w:spacing w:after="0"/>
      <w:jc w:val="center"/>
    </w:pPr>
    <w:rPr>
      <w:rFonts w:cs="Times New Roman"/>
      <w:lang w:val="en-US"/>
    </w:rPr>
  </w:style>
  <w:style w:type="character" w:customStyle="1" w:styleId="EndNoteBibliographyTitleChar">
    <w:name w:val="EndNote Bibliography Title Char"/>
    <w:basedOn w:val="DefaultParagraphFont"/>
    <w:link w:val="EndNoteBibliographyTitle"/>
    <w:rsid w:val="009B4683"/>
    <w:rPr>
      <w:rFonts w:ascii="Times New Roman" w:hAnsi="Times New Roman" w:cs="Times New Roman"/>
      <w:szCs w:val="22"/>
      <w:lang w:val="en-US"/>
    </w:rPr>
  </w:style>
  <w:style w:type="paragraph" w:customStyle="1" w:styleId="EndNoteBibliography">
    <w:name w:val="EndNote Bibliography"/>
    <w:basedOn w:val="Normal"/>
    <w:link w:val="EndNoteBibliographyChar"/>
    <w:rsid w:val="009B4683"/>
    <w:pPr>
      <w:spacing w:line="240" w:lineRule="auto"/>
    </w:pPr>
    <w:rPr>
      <w:rFonts w:cs="Times New Roman"/>
      <w:lang w:val="en-US"/>
    </w:rPr>
  </w:style>
  <w:style w:type="character" w:customStyle="1" w:styleId="EndNoteBibliographyChar">
    <w:name w:val="EndNote Bibliography Char"/>
    <w:basedOn w:val="DefaultParagraphFont"/>
    <w:link w:val="EndNoteBibliography"/>
    <w:rsid w:val="009B4683"/>
    <w:rPr>
      <w:rFonts w:ascii="Times New Roman" w:hAnsi="Times New Roman" w:cs="Times New Roman"/>
      <w:szCs w:val="22"/>
      <w:lang w:val="en-US"/>
    </w:rPr>
  </w:style>
  <w:style w:type="character" w:styleId="Emphasis">
    <w:name w:val="Emphasis"/>
    <w:basedOn w:val="DefaultParagraphFont"/>
    <w:uiPriority w:val="20"/>
    <w:qFormat/>
    <w:rsid w:val="00B856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4344">
      <w:bodyDiv w:val="1"/>
      <w:marLeft w:val="0"/>
      <w:marRight w:val="0"/>
      <w:marTop w:val="0"/>
      <w:marBottom w:val="0"/>
      <w:divBdr>
        <w:top w:val="none" w:sz="0" w:space="0" w:color="auto"/>
        <w:left w:val="none" w:sz="0" w:space="0" w:color="auto"/>
        <w:bottom w:val="none" w:sz="0" w:space="0" w:color="auto"/>
        <w:right w:val="none" w:sz="0" w:space="0" w:color="auto"/>
      </w:divBdr>
    </w:div>
    <w:div w:id="205410575">
      <w:bodyDiv w:val="1"/>
      <w:marLeft w:val="0"/>
      <w:marRight w:val="0"/>
      <w:marTop w:val="0"/>
      <w:marBottom w:val="0"/>
      <w:divBdr>
        <w:top w:val="none" w:sz="0" w:space="0" w:color="auto"/>
        <w:left w:val="none" w:sz="0" w:space="0" w:color="auto"/>
        <w:bottom w:val="none" w:sz="0" w:space="0" w:color="auto"/>
        <w:right w:val="none" w:sz="0" w:space="0" w:color="auto"/>
      </w:divBdr>
    </w:div>
    <w:div w:id="215357717">
      <w:bodyDiv w:val="1"/>
      <w:marLeft w:val="0"/>
      <w:marRight w:val="0"/>
      <w:marTop w:val="0"/>
      <w:marBottom w:val="0"/>
      <w:divBdr>
        <w:top w:val="none" w:sz="0" w:space="0" w:color="auto"/>
        <w:left w:val="none" w:sz="0" w:space="0" w:color="auto"/>
        <w:bottom w:val="none" w:sz="0" w:space="0" w:color="auto"/>
        <w:right w:val="none" w:sz="0" w:space="0" w:color="auto"/>
      </w:divBdr>
    </w:div>
    <w:div w:id="232738121">
      <w:bodyDiv w:val="1"/>
      <w:marLeft w:val="0"/>
      <w:marRight w:val="0"/>
      <w:marTop w:val="0"/>
      <w:marBottom w:val="0"/>
      <w:divBdr>
        <w:top w:val="none" w:sz="0" w:space="0" w:color="auto"/>
        <w:left w:val="none" w:sz="0" w:space="0" w:color="auto"/>
        <w:bottom w:val="none" w:sz="0" w:space="0" w:color="auto"/>
        <w:right w:val="none" w:sz="0" w:space="0" w:color="auto"/>
      </w:divBdr>
    </w:div>
    <w:div w:id="274754044">
      <w:bodyDiv w:val="1"/>
      <w:marLeft w:val="0"/>
      <w:marRight w:val="0"/>
      <w:marTop w:val="0"/>
      <w:marBottom w:val="0"/>
      <w:divBdr>
        <w:top w:val="none" w:sz="0" w:space="0" w:color="auto"/>
        <w:left w:val="none" w:sz="0" w:space="0" w:color="auto"/>
        <w:bottom w:val="none" w:sz="0" w:space="0" w:color="auto"/>
        <w:right w:val="none" w:sz="0" w:space="0" w:color="auto"/>
      </w:divBdr>
      <w:divsChild>
        <w:div w:id="1921595690">
          <w:marLeft w:val="0"/>
          <w:marRight w:val="0"/>
          <w:marTop w:val="0"/>
          <w:marBottom w:val="0"/>
          <w:divBdr>
            <w:top w:val="none" w:sz="0" w:space="0" w:color="auto"/>
            <w:left w:val="none" w:sz="0" w:space="0" w:color="auto"/>
            <w:bottom w:val="none" w:sz="0" w:space="0" w:color="auto"/>
            <w:right w:val="none" w:sz="0" w:space="0" w:color="auto"/>
          </w:divBdr>
          <w:divsChild>
            <w:div w:id="1109353889">
              <w:marLeft w:val="0"/>
              <w:marRight w:val="0"/>
              <w:marTop w:val="0"/>
              <w:marBottom w:val="0"/>
              <w:divBdr>
                <w:top w:val="none" w:sz="0" w:space="0" w:color="auto"/>
                <w:left w:val="none" w:sz="0" w:space="0" w:color="auto"/>
                <w:bottom w:val="none" w:sz="0" w:space="0" w:color="auto"/>
                <w:right w:val="none" w:sz="0" w:space="0" w:color="auto"/>
              </w:divBdr>
              <w:divsChild>
                <w:div w:id="12505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70042">
      <w:bodyDiv w:val="1"/>
      <w:marLeft w:val="0"/>
      <w:marRight w:val="0"/>
      <w:marTop w:val="0"/>
      <w:marBottom w:val="0"/>
      <w:divBdr>
        <w:top w:val="none" w:sz="0" w:space="0" w:color="auto"/>
        <w:left w:val="none" w:sz="0" w:space="0" w:color="auto"/>
        <w:bottom w:val="none" w:sz="0" w:space="0" w:color="auto"/>
        <w:right w:val="none" w:sz="0" w:space="0" w:color="auto"/>
      </w:divBdr>
      <w:divsChild>
        <w:div w:id="1184515057">
          <w:marLeft w:val="0"/>
          <w:marRight w:val="0"/>
          <w:marTop w:val="0"/>
          <w:marBottom w:val="0"/>
          <w:divBdr>
            <w:top w:val="none" w:sz="0" w:space="0" w:color="auto"/>
            <w:left w:val="none" w:sz="0" w:space="0" w:color="auto"/>
            <w:bottom w:val="none" w:sz="0" w:space="0" w:color="auto"/>
            <w:right w:val="none" w:sz="0" w:space="0" w:color="auto"/>
          </w:divBdr>
          <w:divsChild>
            <w:div w:id="476849423">
              <w:marLeft w:val="0"/>
              <w:marRight w:val="0"/>
              <w:marTop w:val="0"/>
              <w:marBottom w:val="0"/>
              <w:divBdr>
                <w:top w:val="none" w:sz="0" w:space="0" w:color="auto"/>
                <w:left w:val="none" w:sz="0" w:space="0" w:color="auto"/>
                <w:bottom w:val="none" w:sz="0" w:space="0" w:color="auto"/>
                <w:right w:val="none" w:sz="0" w:space="0" w:color="auto"/>
              </w:divBdr>
              <w:divsChild>
                <w:div w:id="9475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4610">
      <w:bodyDiv w:val="1"/>
      <w:marLeft w:val="0"/>
      <w:marRight w:val="0"/>
      <w:marTop w:val="0"/>
      <w:marBottom w:val="0"/>
      <w:divBdr>
        <w:top w:val="none" w:sz="0" w:space="0" w:color="auto"/>
        <w:left w:val="none" w:sz="0" w:space="0" w:color="auto"/>
        <w:bottom w:val="none" w:sz="0" w:space="0" w:color="auto"/>
        <w:right w:val="none" w:sz="0" w:space="0" w:color="auto"/>
      </w:divBdr>
    </w:div>
    <w:div w:id="418478583">
      <w:bodyDiv w:val="1"/>
      <w:marLeft w:val="0"/>
      <w:marRight w:val="0"/>
      <w:marTop w:val="0"/>
      <w:marBottom w:val="0"/>
      <w:divBdr>
        <w:top w:val="none" w:sz="0" w:space="0" w:color="auto"/>
        <w:left w:val="none" w:sz="0" w:space="0" w:color="auto"/>
        <w:bottom w:val="none" w:sz="0" w:space="0" w:color="auto"/>
        <w:right w:val="none" w:sz="0" w:space="0" w:color="auto"/>
      </w:divBdr>
    </w:div>
    <w:div w:id="479274301">
      <w:bodyDiv w:val="1"/>
      <w:marLeft w:val="0"/>
      <w:marRight w:val="0"/>
      <w:marTop w:val="0"/>
      <w:marBottom w:val="0"/>
      <w:divBdr>
        <w:top w:val="none" w:sz="0" w:space="0" w:color="auto"/>
        <w:left w:val="none" w:sz="0" w:space="0" w:color="auto"/>
        <w:bottom w:val="none" w:sz="0" w:space="0" w:color="auto"/>
        <w:right w:val="none" w:sz="0" w:space="0" w:color="auto"/>
      </w:divBdr>
    </w:div>
    <w:div w:id="520244107">
      <w:bodyDiv w:val="1"/>
      <w:marLeft w:val="0"/>
      <w:marRight w:val="0"/>
      <w:marTop w:val="0"/>
      <w:marBottom w:val="0"/>
      <w:divBdr>
        <w:top w:val="none" w:sz="0" w:space="0" w:color="auto"/>
        <w:left w:val="none" w:sz="0" w:space="0" w:color="auto"/>
        <w:bottom w:val="none" w:sz="0" w:space="0" w:color="auto"/>
        <w:right w:val="none" w:sz="0" w:space="0" w:color="auto"/>
      </w:divBdr>
    </w:div>
    <w:div w:id="536740462">
      <w:bodyDiv w:val="1"/>
      <w:marLeft w:val="0"/>
      <w:marRight w:val="0"/>
      <w:marTop w:val="0"/>
      <w:marBottom w:val="0"/>
      <w:divBdr>
        <w:top w:val="none" w:sz="0" w:space="0" w:color="auto"/>
        <w:left w:val="none" w:sz="0" w:space="0" w:color="auto"/>
        <w:bottom w:val="none" w:sz="0" w:space="0" w:color="auto"/>
        <w:right w:val="none" w:sz="0" w:space="0" w:color="auto"/>
      </w:divBdr>
    </w:div>
    <w:div w:id="600140500">
      <w:bodyDiv w:val="1"/>
      <w:marLeft w:val="0"/>
      <w:marRight w:val="0"/>
      <w:marTop w:val="0"/>
      <w:marBottom w:val="0"/>
      <w:divBdr>
        <w:top w:val="none" w:sz="0" w:space="0" w:color="auto"/>
        <w:left w:val="none" w:sz="0" w:space="0" w:color="auto"/>
        <w:bottom w:val="none" w:sz="0" w:space="0" w:color="auto"/>
        <w:right w:val="none" w:sz="0" w:space="0" w:color="auto"/>
      </w:divBdr>
    </w:div>
    <w:div w:id="634943536">
      <w:bodyDiv w:val="1"/>
      <w:marLeft w:val="0"/>
      <w:marRight w:val="0"/>
      <w:marTop w:val="0"/>
      <w:marBottom w:val="0"/>
      <w:divBdr>
        <w:top w:val="none" w:sz="0" w:space="0" w:color="auto"/>
        <w:left w:val="none" w:sz="0" w:space="0" w:color="auto"/>
        <w:bottom w:val="none" w:sz="0" w:space="0" w:color="auto"/>
        <w:right w:val="none" w:sz="0" w:space="0" w:color="auto"/>
      </w:divBdr>
      <w:divsChild>
        <w:div w:id="754017412">
          <w:marLeft w:val="0"/>
          <w:marRight w:val="0"/>
          <w:marTop w:val="0"/>
          <w:marBottom w:val="0"/>
          <w:divBdr>
            <w:top w:val="none" w:sz="0" w:space="0" w:color="auto"/>
            <w:left w:val="none" w:sz="0" w:space="0" w:color="auto"/>
            <w:bottom w:val="none" w:sz="0" w:space="0" w:color="auto"/>
            <w:right w:val="none" w:sz="0" w:space="0" w:color="auto"/>
          </w:divBdr>
        </w:div>
        <w:div w:id="1201548699">
          <w:marLeft w:val="0"/>
          <w:marRight w:val="0"/>
          <w:marTop w:val="0"/>
          <w:marBottom w:val="0"/>
          <w:divBdr>
            <w:top w:val="none" w:sz="0" w:space="0" w:color="auto"/>
            <w:left w:val="none" w:sz="0" w:space="0" w:color="auto"/>
            <w:bottom w:val="none" w:sz="0" w:space="0" w:color="auto"/>
            <w:right w:val="none" w:sz="0" w:space="0" w:color="auto"/>
          </w:divBdr>
        </w:div>
      </w:divsChild>
    </w:div>
    <w:div w:id="709190725">
      <w:bodyDiv w:val="1"/>
      <w:marLeft w:val="0"/>
      <w:marRight w:val="0"/>
      <w:marTop w:val="0"/>
      <w:marBottom w:val="0"/>
      <w:divBdr>
        <w:top w:val="none" w:sz="0" w:space="0" w:color="auto"/>
        <w:left w:val="none" w:sz="0" w:space="0" w:color="auto"/>
        <w:bottom w:val="none" w:sz="0" w:space="0" w:color="auto"/>
        <w:right w:val="none" w:sz="0" w:space="0" w:color="auto"/>
      </w:divBdr>
    </w:div>
    <w:div w:id="742605254">
      <w:bodyDiv w:val="1"/>
      <w:marLeft w:val="0"/>
      <w:marRight w:val="0"/>
      <w:marTop w:val="0"/>
      <w:marBottom w:val="0"/>
      <w:divBdr>
        <w:top w:val="none" w:sz="0" w:space="0" w:color="auto"/>
        <w:left w:val="none" w:sz="0" w:space="0" w:color="auto"/>
        <w:bottom w:val="none" w:sz="0" w:space="0" w:color="auto"/>
        <w:right w:val="none" w:sz="0" w:space="0" w:color="auto"/>
      </w:divBdr>
    </w:div>
    <w:div w:id="753815475">
      <w:bodyDiv w:val="1"/>
      <w:marLeft w:val="0"/>
      <w:marRight w:val="0"/>
      <w:marTop w:val="0"/>
      <w:marBottom w:val="0"/>
      <w:divBdr>
        <w:top w:val="none" w:sz="0" w:space="0" w:color="auto"/>
        <w:left w:val="none" w:sz="0" w:space="0" w:color="auto"/>
        <w:bottom w:val="none" w:sz="0" w:space="0" w:color="auto"/>
        <w:right w:val="none" w:sz="0" w:space="0" w:color="auto"/>
      </w:divBdr>
      <w:divsChild>
        <w:div w:id="1419407162">
          <w:marLeft w:val="0"/>
          <w:marRight w:val="0"/>
          <w:marTop w:val="0"/>
          <w:marBottom w:val="0"/>
          <w:divBdr>
            <w:top w:val="none" w:sz="0" w:space="0" w:color="auto"/>
            <w:left w:val="none" w:sz="0" w:space="0" w:color="auto"/>
            <w:bottom w:val="none" w:sz="0" w:space="0" w:color="auto"/>
            <w:right w:val="none" w:sz="0" w:space="0" w:color="auto"/>
          </w:divBdr>
          <w:divsChild>
            <w:div w:id="215750219">
              <w:marLeft w:val="0"/>
              <w:marRight w:val="0"/>
              <w:marTop w:val="0"/>
              <w:marBottom w:val="0"/>
              <w:divBdr>
                <w:top w:val="none" w:sz="0" w:space="0" w:color="auto"/>
                <w:left w:val="none" w:sz="0" w:space="0" w:color="auto"/>
                <w:bottom w:val="none" w:sz="0" w:space="0" w:color="auto"/>
                <w:right w:val="none" w:sz="0" w:space="0" w:color="auto"/>
              </w:divBdr>
              <w:divsChild>
                <w:div w:id="17884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02717">
      <w:bodyDiv w:val="1"/>
      <w:marLeft w:val="0"/>
      <w:marRight w:val="0"/>
      <w:marTop w:val="0"/>
      <w:marBottom w:val="0"/>
      <w:divBdr>
        <w:top w:val="none" w:sz="0" w:space="0" w:color="auto"/>
        <w:left w:val="none" w:sz="0" w:space="0" w:color="auto"/>
        <w:bottom w:val="none" w:sz="0" w:space="0" w:color="auto"/>
        <w:right w:val="none" w:sz="0" w:space="0" w:color="auto"/>
      </w:divBdr>
    </w:div>
    <w:div w:id="781608302">
      <w:bodyDiv w:val="1"/>
      <w:marLeft w:val="0"/>
      <w:marRight w:val="0"/>
      <w:marTop w:val="0"/>
      <w:marBottom w:val="0"/>
      <w:divBdr>
        <w:top w:val="none" w:sz="0" w:space="0" w:color="auto"/>
        <w:left w:val="none" w:sz="0" w:space="0" w:color="auto"/>
        <w:bottom w:val="none" w:sz="0" w:space="0" w:color="auto"/>
        <w:right w:val="none" w:sz="0" w:space="0" w:color="auto"/>
      </w:divBdr>
    </w:div>
    <w:div w:id="810908680">
      <w:bodyDiv w:val="1"/>
      <w:marLeft w:val="0"/>
      <w:marRight w:val="0"/>
      <w:marTop w:val="0"/>
      <w:marBottom w:val="0"/>
      <w:divBdr>
        <w:top w:val="none" w:sz="0" w:space="0" w:color="auto"/>
        <w:left w:val="none" w:sz="0" w:space="0" w:color="auto"/>
        <w:bottom w:val="none" w:sz="0" w:space="0" w:color="auto"/>
        <w:right w:val="none" w:sz="0" w:space="0" w:color="auto"/>
      </w:divBdr>
    </w:div>
    <w:div w:id="841966383">
      <w:bodyDiv w:val="1"/>
      <w:marLeft w:val="0"/>
      <w:marRight w:val="0"/>
      <w:marTop w:val="0"/>
      <w:marBottom w:val="0"/>
      <w:divBdr>
        <w:top w:val="none" w:sz="0" w:space="0" w:color="auto"/>
        <w:left w:val="none" w:sz="0" w:space="0" w:color="auto"/>
        <w:bottom w:val="none" w:sz="0" w:space="0" w:color="auto"/>
        <w:right w:val="none" w:sz="0" w:space="0" w:color="auto"/>
      </w:divBdr>
    </w:div>
    <w:div w:id="898974266">
      <w:bodyDiv w:val="1"/>
      <w:marLeft w:val="0"/>
      <w:marRight w:val="0"/>
      <w:marTop w:val="0"/>
      <w:marBottom w:val="0"/>
      <w:divBdr>
        <w:top w:val="none" w:sz="0" w:space="0" w:color="auto"/>
        <w:left w:val="none" w:sz="0" w:space="0" w:color="auto"/>
        <w:bottom w:val="none" w:sz="0" w:space="0" w:color="auto"/>
        <w:right w:val="none" w:sz="0" w:space="0" w:color="auto"/>
      </w:divBdr>
    </w:div>
    <w:div w:id="917398451">
      <w:bodyDiv w:val="1"/>
      <w:marLeft w:val="0"/>
      <w:marRight w:val="0"/>
      <w:marTop w:val="0"/>
      <w:marBottom w:val="0"/>
      <w:divBdr>
        <w:top w:val="none" w:sz="0" w:space="0" w:color="auto"/>
        <w:left w:val="none" w:sz="0" w:space="0" w:color="auto"/>
        <w:bottom w:val="none" w:sz="0" w:space="0" w:color="auto"/>
        <w:right w:val="none" w:sz="0" w:space="0" w:color="auto"/>
      </w:divBdr>
    </w:div>
    <w:div w:id="983856399">
      <w:bodyDiv w:val="1"/>
      <w:marLeft w:val="0"/>
      <w:marRight w:val="0"/>
      <w:marTop w:val="0"/>
      <w:marBottom w:val="0"/>
      <w:divBdr>
        <w:top w:val="none" w:sz="0" w:space="0" w:color="auto"/>
        <w:left w:val="none" w:sz="0" w:space="0" w:color="auto"/>
        <w:bottom w:val="none" w:sz="0" w:space="0" w:color="auto"/>
        <w:right w:val="none" w:sz="0" w:space="0" w:color="auto"/>
      </w:divBdr>
      <w:divsChild>
        <w:div w:id="1222672137">
          <w:marLeft w:val="0"/>
          <w:marRight w:val="0"/>
          <w:marTop w:val="0"/>
          <w:marBottom w:val="0"/>
          <w:divBdr>
            <w:top w:val="none" w:sz="0" w:space="0" w:color="auto"/>
            <w:left w:val="none" w:sz="0" w:space="0" w:color="auto"/>
            <w:bottom w:val="none" w:sz="0" w:space="0" w:color="auto"/>
            <w:right w:val="none" w:sz="0" w:space="0" w:color="auto"/>
          </w:divBdr>
          <w:divsChild>
            <w:div w:id="1675188882">
              <w:marLeft w:val="0"/>
              <w:marRight w:val="0"/>
              <w:marTop w:val="0"/>
              <w:marBottom w:val="0"/>
              <w:divBdr>
                <w:top w:val="none" w:sz="0" w:space="0" w:color="auto"/>
                <w:left w:val="none" w:sz="0" w:space="0" w:color="auto"/>
                <w:bottom w:val="none" w:sz="0" w:space="0" w:color="auto"/>
                <w:right w:val="none" w:sz="0" w:space="0" w:color="auto"/>
              </w:divBdr>
              <w:divsChild>
                <w:div w:id="30963012">
                  <w:marLeft w:val="0"/>
                  <w:marRight w:val="0"/>
                  <w:marTop w:val="0"/>
                  <w:marBottom w:val="0"/>
                  <w:divBdr>
                    <w:top w:val="none" w:sz="0" w:space="0" w:color="auto"/>
                    <w:left w:val="none" w:sz="0" w:space="0" w:color="auto"/>
                    <w:bottom w:val="none" w:sz="0" w:space="0" w:color="auto"/>
                    <w:right w:val="none" w:sz="0" w:space="0" w:color="auto"/>
                  </w:divBdr>
                  <w:divsChild>
                    <w:div w:id="17457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369710">
      <w:bodyDiv w:val="1"/>
      <w:marLeft w:val="0"/>
      <w:marRight w:val="0"/>
      <w:marTop w:val="0"/>
      <w:marBottom w:val="0"/>
      <w:divBdr>
        <w:top w:val="none" w:sz="0" w:space="0" w:color="auto"/>
        <w:left w:val="none" w:sz="0" w:space="0" w:color="auto"/>
        <w:bottom w:val="none" w:sz="0" w:space="0" w:color="auto"/>
        <w:right w:val="none" w:sz="0" w:space="0" w:color="auto"/>
      </w:divBdr>
    </w:div>
    <w:div w:id="1107575707">
      <w:bodyDiv w:val="1"/>
      <w:marLeft w:val="0"/>
      <w:marRight w:val="0"/>
      <w:marTop w:val="0"/>
      <w:marBottom w:val="0"/>
      <w:divBdr>
        <w:top w:val="none" w:sz="0" w:space="0" w:color="auto"/>
        <w:left w:val="none" w:sz="0" w:space="0" w:color="auto"/>
        <w:bottom w:val="none" w:sz="0" w:space="0" w:color="auto"/>
        <w:right w:val="none" w:sz="0" w:space="0" w:color="auto"/>
      </w:divBdr>
    </w:div>
    <w:div w:id="1136603473">
      <w:bodyDiv w:val="1"/>
      <w:marLeft w:val="0"/>
      <w:marRight w:val="0"/>
      <w:marTop w:val="0"/>
      <w:marBottom w:val="0"/>
      <w:divBdr>
        <w:top w:val="none" w:sz="0" w:space="0" w:color="auto"/>
        <w:left w:val="none" w:sz="0" w:space="0" w:color="auto"/>
        <w:bottom w:val="none" w:sz="0" w:space="0" w:color="auto"/>
        <w:right w:val="none" w:sz="0" w:space="0" w:color="auto"/>
      </w:divBdr>
    </w:div>
    <w:div w:id="1165171502">
      <w:bodyDiv w:val="1"/>
      <w:marLeft w:val="0"/>
      <w:marRight w:val="0"/>
      <w:marTop w:val="0"/>
      <w:marBottom w:val="0"/>
      <w:divBdr>
        <w:top w:val="none" w:sz="0" w:space="0" w:color="auto"/>
        <w:left w:val="none" w:sz="0" w:space="0" w:color="auto"/>
        <w:bottom w:val="none" w:sz="0" w:space="0" w:color="auto"/>
        <w:right w:val="none" w:sz="0" w:space="0" w:color="auto"/>
      </w:divBdr>
    </w:div>
    <w:div w:id="1173834780">
      <w:bodyDiv w:val="1"/>
      <w:marLeft w:val="0"/>
      <w:marRight w:val="0"/>
      <w:marTop w:val="0"/>
      <w:marBottom w:val="0"/>
      <w:divBdr>
        <w:top w:val="none" w:sz="0" w:space="0" w:color="auto"/>
        <w:left w:val="none" w:sz="0" w:space="0" w:color="auto"/>
        <w:bottom w:val="none" w:sz="0" w:space="0" w:color="auto"/>
        <w:right w:val="none" w:sz="0" w:space="0" w:color="auto"/>
      </w:divBdr>
    </w:div>
    <w:div w:id="1183209705">
      <w:bodyDiv w:val="1"/>
      <w:marLeft w:val="0"/>
      <w:marRight w:val="0"/>
      <w:marTop w:val="0"/>
      <w:marBottom w:val="0"/>
      <w:divBdr>
        <w:top w:val="none" w:sz="0" w:space="0" w:color="auto"/>
        <w:left w:val="none" w:sz="0" w:space="0" w:color="auto"/>
        <w:bottom w:val="none" w:sz="0" w:space="0" w:color="auto"/>
        <w:right w:val="none" w:sz="0" w:space="0" w:color="auto"/>
      </w:divBdr>
    </w:div>
    <w:div w:id="1186405127">
      <w:bodyDiv w:val="1"/>
      <w:marLeft w:val="0"/>
      <w:marRight w:val="0"/>
      <w:marTop w:val="0"/>
      <w:marBottom w:val="0"/>
      <w:divBdr>
        <w:top w:val="none" w:sz="0" w:space="0" w:color="auto"/>
        <w:left w:val="none" w:sz="0" w:space="0" w:color="auto"/>
        <w:bottom w:val="none" w:sz="0" w:space="0" w:color="auto"/>
        <w:right w:val="none" w:sz="0" w:space="0" w:color="auto"/>
      </w:divBdr>
      <w:divsChild>
        <w:div w:id="1016151293">
          <w:marLeft w:val="0"/>
          <w:marRight w:val="0"/>
          <w:marTop w:val="0"/>
          <w:marBottom w:val="0"/>
          <w:divBdr>
            <w:top w:val="none" w:sz="0" w:space="0" w:color="auto"/>
            <w:left w:val="none" w:sz="0" w:space="0" w:color="auto"/>
            <w:bottom w:val="none" w:sz="0" w:space="0" w:color="auto"/>
            <w:right w:val="none" w:sz="0" w:space="0" w:color="auto"/>
          </w:divBdr>
          <w:divsChild>
            <w:div w:id="2051100739">
              <w:marLeft w:val="0"/>
              <w:marRight w:val="0"/>
              <w:marTop w:val="0"/>
              <w:marBottom w:val="0"/>
              <w:divBdr>
                <w:top w:val="none" w:sz="0" w:space="0" w:color="auto"/>
                <w:left w:val="none" w:sz="0" w:space="0" w:color="auto"/>
                <w:bottom w:val="none" w:sz="0" w:space="0" w:color="auto"/>
                <w:right w:val="none" w:sz="0" w:space="0" w:color="auto"/>
              </w:divBdr>
              <w:divsChild>
                <w:div w:id="4861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429559">
      <w:bodyDiv w:val="1"/>
      <w:marLeft w:val="0"/>
      <w:marRight w:val="0"/>
      <w:marTop w:val="0"/>
      <w:marBottom w:val="0"/>
      <w:divBdr>
        <w:top w:val="none" w:sz="0" w:space="0" w:color="auto"/>
        <w:left w:val="none" w:sz="0" w:space="0" w:color="auto"/>
        <w:bottom w:val="none" w:sz="0" w:space="0" w:color="auto"/>
        <w:right w:val="none" w:sz="0" w:space="0" w:color="auto"/>
      </w:divBdr>
    </w:div>
    <w:div w:id="1320768732">
      <w:bodyDiv w:val="1"/>
      <w:marLeft w:val="0"/>
      <w:marRight w:val="0"/>
      <w:marTop w:val="0"/>
      <w:marBottom w:val="0"/>
      <w:divBdr>
        <w:top w:val="none" w:sz="0" w:space="0" w:color="auto"/>
        <w:left w:val="none" w:sz="0" w:space="0" w:color="auto"/>
        <w:bottom w:val="none" w:sz="0" w:space="0" w:color="auto"/>
        <w:right w:val="none" w:sz="0" w:space="0" w:color="auto"/>
      </w:divBdr>
    </w:div>
    <w:div w:id="1353609837">
      <w:bodyDiv w:val="1"/>
      <w:marLeft w:val="0"/>
      <w:marRight w:val="0"/>
      <w:marTop w:val="0"/>
      <w:marBottom w:val="0"/>
      <w:divBdr>
        <w:top w:val="none" w:sz="0" w:space="0" w:color="auto"/>
        <w:left w:val="none" w:sz="0" w:space="0" w:color="auto"/>
        <w:bottom w:val="none" w:sz="0" w:space="0" w:color="auto"/>
        <w:right w:val="none" w:sz="0" w:space="0" w:color="auto"/>
      </w:divBdr>
    </w:div>
    <w:div w:id="1467822079">
      <w:bodyDiv w:val="1"/>
      <w:marLeft w:val="0"/>
      <w:marRight w:val="0"/>
      <w:marTop w:val="0"/>
      <w:marBottom w:val="0"/>
      <w:divBdr>
        <w:top w:val="none" w:sz="0" w:space="0" w:color="auto"/>
        <w:left w:val="none" w:sz="0" w:space="0" w:color="auto"/>
        <w:bottom w:val="none" w:sz="0" w:space="0" w:color="auto"/>
        <w:right w:val="none" w:sz="0" w:space="0" w:color="auto"/>
      </w:divBdr>
    </w:div>
    <w:div w:id="1484739539">
      <w:bodyDiv w:val="1"/>
      <w:marLeft w:val="0"/>
      <w:marRight w:val="0"/>
      <w:marTop w:val="0"/>
      <w:marBottom w:val="0"/>
      <w:divBdr>
        <w:top w:val="none" w:sz="0" w:space="0" w:color="auto"/>
        <w:left w:val="none" w:sz="0" w:space="0" w:color="auto"/>
        <w:bottom w:val="none" w:sz="0" w:space="0" w:color="auto"/>
        <w:right w:val="none" w:sz="0" w:space="0" w:color="auto"/>
      </w:divBdr>
    </w:div>
    <w:div w:id="1492211775">
      <w:bodyDiv w:val="1"/>
      <w:marLeft w:val="0"/>
      <w:marRight w:val="0"/>
      <w:marTop w:val="0"/>
      <w:marBottom w:val="0"/>
      <w:divBdr>
        <w:top w:val="none" w:sz="0" w:space="0" w:color="auto"/>
        <w:left w:val="none" w:sz="0" w:space="0" w:color="auto"/>
        <w:bottom w:val="none" w:sz="0" w:space="0" w:color="auto"/>
        <w:right w:val="none" w:sz="0" w:space="0" w:color="auto"/>
      </w:divBdr>
    </w:div>
    <w:div w:id="1497259743">
      <w:bodyDiv w:val="1"/>
      <w:marLeft w:val="0"/>
      <w:marRight w:val="0"/>
      <w:marTop w:val="0"/>
      <w:marBottom w:val="0"/>
      <w:divBdr>
        <w:top w:val="none" w:sz="0" w:space="0" w:color="auto"/>
        <w:left w:val="none" w:sz="0" w:space="0" w:color="auto"/>
        <w:bottom w:val="none" w:sz="0" w:space="0" w:color="auto"/>
        <w:right w:val="none" w:sz="0" w:space="0" w:color="auto"/>
      </w:divBdr>
    </w:div>
    <w:div w:id="1507088094">
      <w:bodyDiv w:val="1"/>
      <w:marLeft w:val="0"/>
      <w:marRight w:val="0"/>
      <w:marTop w:val="0"/>
      <w:marBottom w:val="0"/>
      <w:divBdr>
        <w:top w:val="none" w:sz="0" w:space="0" w:color="auto"/>
        <w:left w:val="none" w:sz="0" w:space="0" w:color="auto"/>
        <w:bottom w:val="none" w:sz="0" w:space="0" w:color="auto"/>
        <w:right w:val="none" w:sz="0" w:space="0" w:color="auto"/>
      </w:divBdr>
    </w:div>
    <w:div w:id="1524780862">
      <w:bodyDiv w:val="1"/>
      <w:marLeft w:val="0"/>
      <w:marRight w:val="0"/>
      <w:marTop w:val="0"/>
      <w:marBottom w:val="0"/>
      <w:divBdr>
        <w:top w:val="none" w:sz="0" w:space="0" w:color="auto"/>
        <w:left w:val="none" w:sz="0" w:space="0" w:color="auto"/>
        <w:bottom w:val="none" w:sz="0" w:space="0" w:color="auto"/>
        <w:right w:val="none" w:sz="0" w:space="0" w:color="auto"/>
      </w:divBdr>
    </w:div>
    <w:div w:id="1546985275">
      <w:bodyDiv w:val="1"/>
      <w:marLeft w:val="0"/>
      <w:marRight w:val="0"/>
      <w:marTop w:val="0"/>
      <w:marBottom w:val="0"/>
      <w:divBdr>
        <w:top w:val="none" w:sz="0" w:space="0" w:color="auto"/>
        <w:left w:val="none" w:sz="0" w:space="0" w:color="auto"/>
        <w:bottom w:val="none" w:sz="0" w:space="0" w:color="auto"/>
        <w:right w:val="none" w:sz="0" w:space="0" w:color="auto"/>
      </w:divBdr>
    </w:div>
    <w:div w:id="1574503856">
      <w:bodyDiv w:val="1"/>
      <w:marLeft w:val="0"/>
      <w:marRight w:val="0"/>
      <w:marTop w:val="0"/>
      <w:marBottom w:val="0"/>
      <w:divBdr>
        <w:top w:val="none" w:sz="0" w:space="0" w:color="auto"/>
        <w:left w:val="none" w:sz="0" w:space="0" w:color="auto"/>
        <w:bottom w:val="none" w:sz="0" w:space="0" w:color="auto"/>
        <w:right w:val="none" w:sz="0" w:space="0" w:color="auto"/>
      </w:divBdr>
    </w:div>
    <w:div w:id="1778286329">
      <w:bodyDiv w:val="1"/>
      <w:marLeft w:val="0"/>
      <w:marRight w:val="0"/>
      <w:marTop w:val="0"/>
      <w:marBottom w:val="0"/>
      <w:divBdr>
        <w:top w:val="none" w:sz="0" w:space="0" w:color="auto"/>
        <w:left w:val="none" w:sz="0" w:space="0" w:color="auto"/>
        <w:bottom w:val="none" w:sz="0" w:space="0" w:color="auto"/>
        <w:right w:val="none" w:sz="0" w:space="0" w:color="auto"/>
      </w:divBdr>
    </w:div>
    <w:div w:id="1783501303">
      <w:bodyDiv w:val="1"/>
      <w:marLeft w:val="0"/>
      <w:marRight w:val="0"/>
      <w:marTop w:val="0"/>
      <w:marBottom w:val="0"/>
      <w:divBdr>
        <w:top w:val="none" w:sz="0" w:space="0" w:color="auto"/>
        <w:left w:val="none" w:sz="0" w:space="0" w:color="auto"/>
        <w:bottom w:val="none" w:sz="0" w:space="0" w:color="auto"/>
        <w:right w:val="none" w:sz="0" w:space="0" w:color="auto"/>
      </w:divBdr>
    </w:div>
    <w:div w:id="1835604185">
      <w:bodyDiv w:val="1"/>
      <w:marLeft w:val="0"/>
      <w:marRight w:val="0"/>
      <w:marTop w:val="0"/>
      <w:marBottom w:val="0"/>
      <w:divBdr>
        <w:top w:val="none" w:sz="0" w:space="0" w:color="auto"/>
        <w:left w:val="none" w:sz="0" w:space="0" w:color="auto"/>
        <w:bottom w:val="none" w:sz="0" w:space="0" w:color="auto"/>
        <w:right w:val="none" w:sz="0" w:space="0" w:color="auto"/>
      </w:divBdr>
    </w:div>
    <w:div w:id="1903101550">
      <w:bodyDiv w:val="1"/>
      <w:marLeft w:val="0"/>
      <w:marRight w:val="0"/>
      <w:marTop w:val="0"/>
      <w:marBottom w:val="0"/>
      <w:divBdr>
        <w:top w:val="none" w:sz="0" w:space="0" w:color="auto"/>
        <w:left w:val="none" w:sz="0" w:space="0" w:color="auto"/>
        <w:bottom w:val="none" w:sz="0" w:space="0" w:color="auto"/>
        <w:right w:val="none" w:sz="0" w:space="0" w:color="auto"/>
      </w:divBdr>
    </w:div>
    <w:div w:id="2130009566">
      <w:bodyDiv w:val="1"/>
      <w:marLeft w:val="0"/>
      <w:marRight w:val="0"/>
      <w:marTop w:val="0"/>
      <w:marBottom w:val="0"/>
      <w:divBdr>
        <w:top w:val="none" w:sz="0" w:space="0" w:color="auto"/>
        <w:left w:val="none" w:sz="0" w:space="0" w:color="auto"/>
        <w:bottom w:val="none" w:sz="0" w:space="0" w:color="auto"/>
        <w:right w:val="none" w:sz="0" w:space="0" w:color="auto"/>
      </w:divBdr>
      <w:divsChild>
        <w:div w:id="2030788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7%2F1079063218759325" TargetMode="External"/><Relationship Id="rId18" Type="http://schemas.openxmlformats.org/officeDocument/2006/relationships/hyperlink" Target="http://dx.doi.org/10.1111/j.%201559-1816.2009.00493.x." TargetMode="External"/><Relationship Id="rId26" Type="http://schemas.openxmlformats.org/officeDocument/2006/relationships/hyperlink" Target="https://doi.org/10.1515/9783110879773.234" TargetMode="External"/><Relationship Id="rId39" Type="http://schemas.openxmlformats.org/officeDocument/2006/relationships/hyperlink" Target="https://doi.org/10.1080/13552600.2011.613278" TargetMode="External"/><Relationship Id="rId21" Type="http://schemas.openxmlformats.org/officeDocument/2006/relationships/hyperlink" Target="https://doi.org/10.1093/bjc/azp013" TargetMode="External"/><Relationship Id="rId34" Type="http://schemas.openxmlformats.org/officeDocument/2006/relationships/hyperlink" Target="https://doi.org/10.1080/15614263.2020.1843458" TargetMode="External"/><Relationship Id="rId42" Type="http://schemas.openxmlformats.org/officeDocument/2006/relationships/hyperlink" Target="https://www.ncjrs.gov/App/Publications/abstract.aspx?ID=232617" TargetMode="External"/><Relationship Id="rId47" Type="http://schemas.openxmlformats.org/officeDocument/2006/relationships/hyperlink" Target="https://www.researchgate.net/publication/228847968_Different_systems_similar_outcomes_Tracking_attrition_in_reported_rape_cases_in_eleven_countries" TargetMode="External"/><Relationship Id="rId50" Type="http://schemas.openxmlformats.org/officeDocument/2006/relationships/hyperlink" Target="https://doi.org/10.1080/1068316X.2018.1503663" TargetMode="External"/><Relationship Id="rId55" Type="http://schemas.openxmlformats.org/officeDocument/2006/relationships/hyperlink" Target="https://doi.org/10.1016/j.avb.2017.03.005" TargetMode="External"/><Relationship Id="rId63" Type="http://schemas.openxmlformats.org/officeDocument/2006/relationships/hyperlink" Target="https://doi.org/10.1177/0886260514556765"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oi.org/10.1177/1077559519853042" TargetMode="External"/><Relationship Id="rId29" Type="http://schemas.openxmlformats.org/officeDocument/2006/relationships/hyperlink" Target="http://www.ncjrs.gov/App/publications/abstract.aspx?ID=180356" TargetMode="External"/><Relationship Id="rId11" Type="http://schemas.openxmlformats.org/officeDocument/2006/relationships/hyperlink" Target="https://www.bbc.com/news/uk-48086244" TargetMode="External"/><Relationship Id="rId24" Type="http://schemas.openxmlformats.org/officeDocument/2006/relationships/hyperlink" Target="https://www.ncjrs.gov/App/Publications/abstract.aspx?ID=142244" TargetMode="External"/><Relationship Id="rId32" Type="http://schemas.openxmlformats.org/officeDocument/2006/relationships/hyperlink" Target="https://doi.org/10.1016/j.jcrimjus.2017.01.001" TargetMode="External"/><Relationship Id="rId37" Type="http://schemas.openxmlformats.org/officeDocument/2006/relationships/hyperlink" Target="https://assets.publishing.service.gov.uk/government/uploads/system/uploads/attachment_data/file/877783/count-general-apr-2020.pdf" TargetMode="External"/><Relationship Id="rId40" Type="http://schemas.openxmlformats.org/officeDocument/2006/relationships/hyperlink" Target="http://dx.doi.org/10.1002/j.1556-6678.2003.tb00272.x" TargetMode="External"/><Relationship Id="rId45" Type="http://schemas.openxmlformats.org/officeDocument/2006/relationships/hyperlink" Target="https://doi.org/10.1177/1077801212440017" TargetMode="External"/><Relationship Id="rId53" Type="http://schemas.openxmlformats.org/officeDocument/2006/relationships/hyperlink" Target="https://doi.org/10.1016/S0140-6736(18)30991-7" TargetMode="External"/><Relationship Id="rId58" Type="http://schemas.openxmlformats.org/officeDocument/2006/relationships/hyperlink" Target="https://doi.org/10.1891/0886-6708.27.2.263" TargetMode="External"/><Relationship Id="rId66" Type="http://schemas.openxmlformats.org/officeDocument/2006/relationships/header" Target="header1.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10.1177/1524838005280328" TargetMode="External"/><Relationship Id="rId23" Type="http://schemas.openxmlformats.org/officeDocument/2006/relationships/hyperlink" Target="https://doi.org/10.2307/3054045" TargetMode="External"/><Relationship Id="rId28" Type="http://schemas.openxmlformats.org/officeDocument/2006/relationships/hyperlink" Target="https://doi.org/10.1348/135532507X228458" TargetMode="External"/><Relationship Id="rId36" Type="http://schemas.openxmlformats.org/officeDocument/2006/relationships/hyperlink" Target="https://www.gov.uk/government/statistics/crime-outcomes-in-england-and-wales-year-to-december-2018-data-tables" TargetMode="External"/><Relationship Id="rId49" Type="http://schemas.openxmlformats.org/officeDocument/2006/relationships/hyperlink" Target="https://www.met.police.uk/SysSiteAssets/foi-media/metropolitan-police/disclosure_2018/march_2018/information-rights-unit---cris-reports-and-the-investigators-role-in-a-reported-incident" TargetMode="External"/><Relationship Id="rId57" Type="http://schemas.openxmlformats.org/officeDocument/2006/relationships/hyperlink" Target="https://doi.org/10.1080/10926771.2018.1540448" TargetMode="External"/><Relationship Id="rId61" Type="http://schemas.openxmlformats.org/officeDocument/2006/relationships/hyperlink" Target="https://doi.org/10.1177/1077801212440020" TargetMode="External"/><Relationship Id="rId10" Type="http://schemas.openxmlformats.org/officeDocument/2006/relationships/hyperlink" Target="https://www.cps.gov.uk/sites/default/files/documents/publications/dame_elish_angiolini_rape_review_2015.pdf" TargetMode="External"/><Relationship Id="rId19" Type="http://schemas.openxmlformats.org/officeDocument/2006/relationships/hyperlink" Target="https://doi.org/10.1016/j.ijlcj.2014.07.001" TargetMode="External"/><Relationship Id="rId31" Type="http://schemas.openxmlformats.org/officeDocument/2006/relationships/hyperlink" Target="http://doi.org/10.1002/jip.1469" TargetMode="External"/><Relationship Id="rId44" Type="http://schemas.openxmlformats.org/officeDocument/2006/relationships/hyperlink" Target="https://doi.org/10.1093/bjc/azg583" TargetMode="External"/><Relationship Id="rId52" Type="http://schemas.openxmlformats.org/officeDocument/2006/relationships/hyperlink" Target="https://www.ons.gov.uk/peoplepopulationandcommunity/crimeandjustice/articles/sexualoffencesinenglandandwales/yearendingmarch2017" TargetMode="External"/><Relationship Id="rId60" Type="http://schemas.openxmlformats.org/officeDocument/2006/relationships/hyperlink" Target="https://doi.org/10.1016/j.avb.2017.02.003" TargetMode="External"/><Relationship Id="rId65" Type="http://schemas.openxmlformats.org/officeDocument/2006/relationships/hyperlink" Target="https://doi:10.1080/07448481.2010.515634"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10.1108/JACPR-01-2016-0211" TargetMode="External"/><Relationship Id="rId14" Type="http://schemas.openxmlformats.org/officeDocument/2006/relationships/hyperlink" Target="https://doi.org/10.1177/1077801205277539" TargetMode="External"/><Relationship Id="rId22" Type="http://schemas.openxmlformats.org/officeDocument/2006/relationships/hyperlink" Target="http://eprints.uwe.ac.uk/23624" TargetMode="External"/><Relationship Id="rId27" Type="http://schemas.openxmlformats.org/officeDocument/2006/relationships/hyperlink" Target="http://dx.doi.org/10.1016/j.avb.2008.06.006" TargetMode="External"/><Relationship Id="rId30" Type="http://schemas.openxmlformats.org/officeDocument/2006/relationships/hyperlink" Target="https://doi:10.1007/s10979-006-9053-9" TargetMode="External"/><Relationship Id="rId35" Type="http://schemas.openxmlformats.org/officeDocument/2006/relationships/hyperlink" Target="https://doi.org/10.1177/1477370815571949" TargetMode="External"/><Relationship Id="rId43" Type="http://schemas.openxmlformats.org/officeDocument/2006/relationships/hyperlink" Target="https://doi.org/10.1002/jcop.22223" TargetMode="External"/><Relationship Id="rId48" Type="http://schemas.openxmlformats.org/officeDocument/2006/relationships/hyperlink" Target="https://doi.org/10.1080/10439463.2014.912648" TargetMode="External"/><Relationship Id="rId56" Type="http://schemas.openxmlformats.org/officeDocument/2006/relationships/hyperlink" Target="https://doi.org/10.1006/jrpe.1998.2238" TargetMode="External"/><Relationship Id="rId64" Type="http://schemas.openxmlformats.org/officeDocument/2006/relationships/hyperlink" Target="https://doi.org/10.1177/0886260516662437" TargetMode="External"/><Relationship Id="rId69" Type="http://schemas.openxmlformats.org/officeDocument/2006/relationships/footer" Target="footer2.xml"/><Relationship Id="rId8" Type="http://schemas.openxmlformats.org/officeDocument/2006/relationships/hyperlink" Target="mailto:a.d.murphy@bham.ac.uk" TargetMode="External"/><Relationship Id="rId51" Type="http://schemas.openxmlformats.org/officeDocument/2006/relationships/hyperlink" Target="https://doi.org/10.1016/j.jflm.2011.04.010" TargetMode="External"/><Relationship Id="rId72" Type="http://schemas.openxmlformats.org/officeDocument/2006/relationships/header" Target="header4.xml"/><Relationship Id="rId3" Type="http://schemas.openxmlformats.org/officeDocument/2006/relationships/styles" Target="styles.xml"/><Relationship Id="rId12" Type="http://schemas.openxmlformats.org/officeDocument/2006/relationships/hyperlink" Target="https://doi.org/10.1177/1748895816667996" TargetMode="External"/><Relationship Id="rId17" Type="http://schemas.openxmlformats.org/officeDocument/2006/relationships/hyperlink" Target="https://doi.org/10.1177/1077801209360861" TargetMode="External"/><Relationship Id="rId25" Type="http://schemas.openxmlformats.org/officeDocument/2006/relationships/hyperlink" Target="https://doi.org/10.1093/oxfordjournals.bjc.a014060" TargetMode="External"/><Relationship Id="rId33" Type="http://schemas.openxmlformats.org/officeDocument/2006/relationships/hyperlink" Target="https://doi.org/10.1016/j.jcrimjus.2018.08.001" TargetMode="External"/><Relationship Id="rId38" Type="http://schemas.openxmlformats.org/officeDocument/2006/relationships/hyperlink" Target="https://doi.org/10.1093/bjc/41.4.679" TargetMode="External"/><Relationship Id="rId46" Type="http://schemas.openxmlformats.org/officeDocument/2006/relationships/hyperlink" Target="https://doi.org/10.1177/009385480102800602" TargetMode="External"/><Relationship Id="rId59" Type="http://schemas.openxmlformats.org/officeDocument/2006/relationships/hyperlink" Target="https://doi.org/10.1037/vio0000072" TargetMode="External"/><Relationship Id="rId67" Type="http://schemas.openxmlformats.org/officeDocument/2006/relationships/header" Target="header2.xml"/><Relationship Id="rId20" Type="http://schemas.openxmlformats.org/officeDocument/2006/relationships/hyperlink" Target="https://doi.org/10.1177/1077801202250960" TargetMode="External"/><Relationship Id="rId41" Type="http://schemas.openxmlformats.org/officeDocument/2006/relationships/hyperlink" Target="https://doi.org/10.1177/1077801210387748" TargetMode="External"/><Relationship Id="rId54" Type="http://schemas.openxmlformats.org/officeDocument/2006/relationships/hyperlink" Target="https://doi.org/10.1080/02732170802053621" TargetMode="External"/><Relationship Id="rId62" Type="http://schemas.openxmlformats.org/officeDocument/2006/relationships/hyperlink" Target="https://doi.org/10.1111/lasr.12060" TargetMode="External"/><Relationship Id="rId7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2702D-7006-42F8-84ED-48CBC2948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53</Pages>
  <Words>16675</Words>
  <Characters>95048</Characters>
  <Application>Microsoft Office Word</Application>
  <DocSecurity>0</DocSecurity>
  <Lines>792</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Yesberg, Julia</dc:creator>
  <cp:keywords/>
  <dc:description/>
  <cp:lastModifiedBy>Anthony Murphy (Psychology)</cp:lastModifiedBy>
  <cp:revision>6</cp:revision>
  <cp:lastPrinted>2020-12-17T09:26:00Z</cp:lastPrinted>
  <dcterms:created xsi:type="dcterms:W3CDTF">2020-12-17T09:06:00Z</dcterms:created>
  <dcterms:modified xsi:type="dcterms:W3CDTF">2020-12-21T07:24:00Z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http://www.zotero.org/styles/chicago-note-bibliography</vt:lpwstr>
  </property>
  <property fmtid="{D5CDD505-2E9C-101B-9397-08002B2CF9AE}" pid="9" name="Mendeley Recent Style Name 3_1">
    <vt:lpwstr>Chicago Manual of Style 17th edition (note)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http://www.zotero.org/styles/sage-harvard</vt:lpwstr>
  </property>
  <property fmtid="{D5CDD505-2E9C-101B-9397-08002B2CF9AE}" pid="17" name="Mendeley Recent Style Name 7_1">
    <vt:lpwstr>SAGE - Harvard</vt:lpwstr>
  </property>
  <property fmtid="{D5CDD505-2E9C-101B-9397-08002B2CF9AE}" pid="18" name="Mendeley Recent Style Id 8_1">
    <vt:lpwstr>http://www.zotero.org/styles/taylor-and-francis-harvard-x</vt:lpwstr>
  </property>
  <property fmtid="{D5CDD505-2E9C-101B-9397-08002B2CF9AE}" pid="19" name="Mendeley Recent Style Name 8_1">
    <vt:lpwstr>Taylor &amp; Francis - Harvard X</vt:lpwstr>
  </property>
  <property fmtid="{D5CDD505-2E9C-101B-9397-08002B2CF9AE}" pid="20" name="Mendeley Recent Style Id 9_1">
    <vt:lpwstr>http://www.zotero.org/styles/harvard-university-of-leeds</vt:lpwstr>
  </property>
  <property fmtid="{D5CDD505-2E9C-101B-9397-08002B2CF9AE}" pid="21" name="Mendeley Recent Style Name 9_1">
    <vt:lpwstr>University of Leeds - Harvard</vt:lpwstr>
  </property>
</Properties>
</file>